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C805B" w14:textId="77777777" w:rsidR="00404BB9" w:rsidRDefault="00404BB9">
      <w:pPr>
        <w:pStyle w:val="Rec"/>
        <w:spacing w:before="0"/>
      </w:pPr>
      <w:r>
        <w:t>RECOMMANDATION  UIT-R  SM.853-1</w:t>
      </w:r>
      <w:r w:rsidR="00304983">
        <w:rPr>
          <w:rStyle w:val="FootnoteReference"/>
        </w:rPr>
        <w:footnoteReference w:customMarkFollows="1" w:id="1"/>
        <w:t>*</w:t>
      </w:r>
    </w:p>
    <w:p w14:paraId="0DF4EBE4" w14:textId="77777777" w:rsidR="00404BB9" w:rsidRDefault="00404BB9">
      <w:pPr>
        <w:pStyle w:val="RecTitle"/>
      </w:pPr>
      <w:r>
        <w:t>LARGEUR  DE  BANDE  NÉCESSAIRE</w:t>
      </w:r>
    </w:p>
    <w:p w14:paraId="080A5296" w14:textId="77777777" w:rsidR="00404BB9" w:rsidRDefault="00404BB9" w:rsidP="001E296F">
      <w:pPr>
        <w:pStyle w:val="RecTitleDate"/>
        <w:spacing w:before="240"/>
      </w:pPr>
      <w:r>
        <w:t>(1992-1997)</w:t>
      </w:r>
    </w:p>
    <w:p w14:paraId="0F0F0648" w14:textId="77777777" w:rsidR="00404BB9" w:rsidRDefault="00404BB9">
      <w:pPr>
        <w:pStyle w:val="headfoot"/>
      </w:pPr>
      <w:r>
        <w:t>Rec. UIT-R SM. 853-1</w:t>
      </w:r>
    </w:p>
    <w:p w14:paraId="4E70BE10" w14:textId="77777777" w:rsidR="001E296F" w:rsidRPr="001E296F" w:rsidRDefault="001E296F" w:rsidP="001E296F">
      <w:pPr>
        <w:keepNext/>
        <w:keepLines/>
        <w:spacing w:before="360"/>
        <w:rPr>
          <w:b/>
          <w:bCs/>
          <w:lang w:eastAsia="en-US"/>
        </w:rPr>
      </w:pPr>
      <w:r w:rsidRPr="001E296F">
        <w:rPr>
          <w:b/>
          <w:bCs/>
          <w:lang w:eastAsia="en-US"/>
        </w:rPr>
        <w:t>Domaine d'application</w:t>
      </w:r>
    </w:p>
    <w:p w14:paraId="563857B5" w14:textId="77777777" w:rsidR="001E296F" w:rsidRPr="00117B36" w:rsidRDefault="001E296F" w:rsidP="001E296F">
      <w:pPr>
        <w:spacing w:before="120"/>
        <w:rPr>
          <w:lang w:eastAsia="en-US"/>
        </w:rPr>
      </w:pPr>
      <w:r w:rsidRPr="00117B36">
        <w:rPr>
          <w:lang w:eastAsia="en-US"/>
        </w:rPr>
        <w:t xml:space="preserve">La présente Recommandation fournit les formules de </w:t>
      </w:r>
      <w:r w:rsidRPr="001E296F">
        <w:rPr>
          <w:lang w:eastAsia="en-US"/>
        </w:rPr>
        <w:t>calcul de la largeur de bande nécessaire</w:t>
      </w:r>
      <w:r w:rsidRPr="00117B36">
        <w:rPr>
          <w:lang w:eastAsia="en-US"/>
        </w:rPr>
        <w:t>.</w:t>
      </w:r>
    </w:p>
    <w:p w14:paraId="4A89AA2C" w14:textId="77777777" w:rsidR="001E296F" w:rsidRPr="00117B36" w:rsidRDefault="001E296F" w:rsidP="001E296F">
      <w:pPr>
        <w:keepNext/>
        <w:keepLines/>
        <w:spacing w:before="120"/>
        <w:rPr>
          <w:rFonts w:eastAsia="Batang"/>
          <w:b/>
          <w:lang w:eastAsia="en-US"/>
        </w:rPr>
      </w:pPr>
      <w:r w:rsidRPr="00117B36">
        <w:rPr>
          <w:rFonts w:eastAsia="Batang"/>
          <w:b/>
          <w:lang w:eastAsia="en-US"/>
        </w:rPr>
        <w:t>Mots clés</w:t>
      </w:r>
    </w:p>
    <w:p w14:paraId="1E5237A6" w14:textId="77777777" w:rsidR="001E296F" w:rsidRPr="00117B36" w:rsidRDefault="001E296F" w:rsidP="001E296F">
      <w:pPr>
        <w:pStyle w:val="Normalaftertitle"/>
        <w:spacing w:before="120"/>
      </w:pPr>
      <w:r w:rsidRPr="00117B36">
        <w:rPr>
          <w:rFonts w:eastAsia="Batang"/>
          <w:lang w:eastAsia="en-US"/>
        </w:rPr>
        <w:t>Largeur de bande nécessaire, modulation de fréquence, modulation numérique, excursion par voie, formules de calcul de la largeur de bande</w:t>
      </w:r>
    </w:p>
    <w:p w14:paraId="532D90BA" w14:textId="77777777" w:rsidR="00404BB9" w:rsidRDefault="00404BB9">
      <w:pPr>
        <w:pStyle w:val="Normalaftertitle"/>
      </w:pPr>
      <w:r>
        <w:t>L'Assemblée des radiocommunications de l'UIT,</w:t>
      </w:r>
    </w:p>
    <w:p w14:paraId="16161CF8" w14:textId="77777777" w:rsidR="00404BB9" w:rsidRDefault="00404BB9">
      <w:pPr>
        <w:pStyle w:val="call"/>
      </w:pPr>
      <w:r>
        <w:t>considérant</w:t>
      </w:r>
    </w:p>
    <w:p w14:paraId="6962110F" w14:textId="77777777" w:rsidR="00404BB9" w:rsidRDefault="00404BB9">
      <w:r>
        <w:t>a)</w:t>
      </w:r>
      <w:r>
        <w:tab/>
        <w:t xml:space="preserve">que le concept de «largeur de bande nécessaire» ainsi qu'il est défini au numéro </w:t>
      </w:r>
      <w:r w:rsidRPr="00F54274">
        <w:rPr>
          <w:b/>
        </w:rPr>
        <w:t>146</w:t>
      </w:r>
      <w:r w:rsidR="00F54274">
        <w:t xml:space="preserve"> (</w:t>
      </w:r>
      <w:r>
        <w:t>1.152) du Règlement des radiocommunications est utile pour déterminer, de la manière la plus simple possible, les caractéristiques spectrales d'une émission donnée ou d'une classe d'émission;</w:t>
      </w:r>
    </w:p>
    <w:p w14:paraId="72356AC7" w14:textId="77777777" w:rsidR="00404BB9" w:rsidRDefault="00404BB9">
      <w:r>
        <w:t>b)</w:t>
      </w:r>
      <w:r>
        <w:tab/>
        <w:t>que, dans l'optique d'une utilisation efficace du spectre des fréquences radioélectriques, les largeurs de bande nécessaires aux différentes classes d'émission doivent être connues, que, dans certains cas, les formules énumérées dans la Recommandation UIT-R SM.1138 ne peuvent servir que de lignes directrices et que la largeur de bande nécessaire à certaines classes d'émission doit être évaluée en fonction d'une norme d'émission et d'une qualité requise spécifiées;</w:t>
      </w:r>
    </w:p>
    <w:p w14:paraId="064E3794" w14:textId="77777777" w:rsidR="00404BB9" w:rsidRDefault="00404BB9">
      <w:r>
        <w:t>c)</w:t>
      </w:r>
      <w:r>
        <w:tab/>
        <w:t>que l'évolution des technologies est à l'origine d'ajouts et de variations dans les modulations utilisées pour les radiocommunications;</w:t>
      </w:r>
    </w:p>
    <w:p w14:paraId="01B6CFCF" w14:textId="77777777" w:rsidR="00404BB9" w:rsidRDefault="00404BB9">
      <w:r>
        <w:t>d)</w:t>
      </w:r>
      <w:r>
        <w:tab/>
        <w:t>que les paramètres numériques utilisés dans les formules de calcul des largeurs de bande nécessaires peuvent changer du fait de variations dans les caractéristiques des signaux (par exemple, niveau de la puissance moyenne pour la personne qui parle),</w:t>
      </w:r>
    </w:p>
    <w:p w14:paraId="5D4EDDA9" w14:textId="77777777" w:rsidR="00404BB9" w:rsidRDefault="00404BB9">
      <w:pPr>
        <w:pStyle w:val="call"/>
      </w:pPr>
      <w:r>
        <w:t>recommande</w:t>
      </w:r>
    </w:p>
    <w:p w14:paraId="359A95B5" w14:textId="77777777" w:rsidR="00404BB9" w:rsidRDefault="00404BB9">
      <w:r>
        <w:t>que l'on remplace les formules de calcul des largeurs de bande nécessaires figurant dans la Recomman</w:t>
      </w:r>
      <w:r>
        <w:softHyphen/>
        <w:t>dation UIT</w:t>
      </w:r>
      <w:r>
        <w:noBreakHyphen/>
        <w:t>R SM.1138, par les formules suivantes:</w:t>
      </w:r>
    </w:p>
    <w:p w14:paraId="066E0E29" w14:textId="77777777" w:rsidR="00404BB9" w:rsidRDefault="00404BB9">
      <w:pPr>
        <w:pStyle w:val="Heading1"/>
      </w:pPr>
      <w:r>
        <w:t>1</w:t>
      </w:r>
      <w:r>
        <w:tab/>
        <w:t>Emissions multivoies MRF-MF (multiplexage par répartition en fréquence – modulation de fréquence)</w:t>
      </w:r>
    </w:p>
    <w:p w14:paraId="4721E05C" w14:textId="77777777" w:rsidR="00404BB9" w:rsidRDefault="00404BB9">
      <w:r>
        <w:t xml:space="preserve">Afin de pouvoir tenir compte des éventuels changements qui, avec le temps, pourraient toucher le niveau de la puissance moyenne pour la personne qui parle, la formule retenue pour le calcul de la largeur de bande </w:t>
      </w:r>
      <w:r>
        <w:rPr>
          <w:i/>
        </w:rPr>
        <w:t>B</w:t>
      </w:r>
      <w:r>
        <w:rPr>
          <w:i/>
          <w:position w:val="-3"/>
          <w:sz w:val="16"/>
        </w:rPr>
        <w:t>n</w:t>
      </w:r>
      <w:r>
        <w:t xml:space="preserve"> nécessaire aux émissions multivoies MRF-MF est la suivante:</w:t>
      </w:r>
    </w:p>
    <w:p w14:paraId="79A8FC5D" w14:textId="77777777" w:rsidR="00404BB9" w:rsidRDefault="00404BB9">
      <w:pPr>
        <w:pStyle w:val="Equation"/>
        <w:jc w:val="center"/>
      </w:pPr>
      <w:r>
        <w:fldChar w:fldCharType="begin"/>
      </w:r>
      <w:r>
        <w:instrText xml:space="preserve">eq </w:instrText>
      </w:r>
      <w:r>
        <w:rPr>
          <w:i/>
        </w:rPr>
        <w:instrText>B</w:instrText>
      </w:r>
      <w:r>
        <w:rPr>
          <w:i/>
          <w:position w:val="-4"/>
          <w:sz w:val="18"/>
        </w:rPr>
        <w:instrText>n</w:instrText>
      </w:r>
      <w:r>
        <w:instrText xml:space="preserve">  </w:instrText>
      </w:r>
      <w:r>
        <w:rPr>
          <w:rFonts w:ascii="Symbol" w:hAnsi="Symbol"/>
        </w:rPr>
        <w:instrText>=</w:instrText>
      </w:r>
      <w:r>
        <w:instrText xml:space="preserve">  2</w:instrText>
      </w:r>
      <w:r>
        <w:rPr>
          <w:i/>
        </w:rPr>
        <w:instrText>M</w:instrText>
      </w:r>
      <w:r>
        <w:instrText xml:space="preserve">  </w:instrText>
      </w:r>
      <w:r>
        <w:rPr>
          <w:rFonts w:ascii="Symbol" w:hAnsi="Symbol"/>
        </w:rPr>
        <w:instrText>+</w:instrText>
      </w:r>
      <w:r>
        <w:instrText xml:space="preserve">  2 \b\bc\</w:instrText>
      </w:r>
      <w:r>
        <w:rPr>
          <w:rFonts w:ascii="Symbol" w:hAnsi="Symbol"/>
        </w:rPr>
        <w:instrText>[(</w:instrText>
      </w:r>
      <w:r>
        <w:instrText>\s(</w:instrText>
      </w:r>
      <w:r>
        <w:rPr>
          <w:position w:val="-6"/>
          <w:sz w:val="10"/>
        </w:rPr>
        <w:instrText xml:space="preserve"> </w:instrText>
      </w:r>
      <w:r>
        <w:instrText>,</w:instrText>
      </w:r>
      <w:r>
        <w:rPr>
          <w:i/>
        </w:rPr>
        <w:instrText xml:space="preserve">d  </w:instrText>
      </w:r>
      <w:r>
        <w:rPr>
          <w:rFonts w:ascii="Symbol" w:hAnsi="Symbol"/>
        </w:rPr>
        <w:instrText>´</w:instrText>
      </w:r>
      <w:r>
        <w:instrText xml:space="preserve">  3\,76  </w:instrText>
      </w:r>
      <w:r>
        <w:rPr>
          <w:rFonts w:ascii="Symbol" w:hAnsi="Symbol"/>
        </w:rPr>
        <w:instrText>´</w:instrText>
      </w:r>
      <w:r>
        <w:instrText xml:space="preserve">  antilog \b\bc(\f(</w:instrText>
      </w:r>
      <w:r>
        <w:rPr>
          <w:i/>
        </w:rPr>
        <w:instrText>X</w:instrText>
      </w:r>
      <w:r>
        <w:instrText xml:space="preserve">  </w:instrText>
      </w:r>
      <w:r>
        <w:rPr>
          <w:rFonts w:ascii="Symbol" w:hAnsi="Symbol"/>
        </w:rPr>
        <w:instrText>+</w:instrText>
      </w:r>
      <w:r>
        <w:instrText xml:space="preserve">  </w:instrText>
      </w:r>
      <w:r>
        <w:rPr>
          <w:i/>
        </w:rPr>
        <w:instrText xml:space="preserve">Y </w:instrText>
      </w:r>
      <w:r>
        <w:instrText xml:space="preserve">log </w:instrText>
      </w:r>
      <w:r>
        <w:rPr>
          <w:i/>
        </w:rPr>
        <w:instrText>N</w:instrText>
      </w:r>
      <w:r>
        <w:rPr>
          <w:i/>
          <w:position w:val="-4"/>
          <w:sz w:val="18"/>
        </w:rPr>
        <w:instrText>c</w:instrText>
      </w:r>
      <w:r>
        <w:instrText>,20)),</w:instrText>
      </w:r>
      <w:r>
        <w:rPr>
          <w:position w:val="6"/>
          <w:sz w:val="10"/>
        </w:rPr>
        <w:instrText xml:space="preserve"> </w:instrText>
      </w:r>
      <w:r>
        <w:instrText xml:space="preserve">))  </w:instrText>
      </w:r>
      <w:r>
        <w:rPr>
          <w:i/>
        </w:rPr>
        <w:instrText>K</w:instrText>
      </w:r>
      <w:r>
        <w:fldChar w:fldCharType="end"/>
      </w:r>
    </w:p>
    <w:p w14:paraId="62E67EE8" w14:textId="77777777" w:rsidR="00404BB9" w:rsidRDefault="00404BB9">
      <w:r>
        <w:t>où:</w:t>
      </w:r>
    </w:p>
    <w:p w14:paraId="3F9F85B0" w14:textId="77777777" w:rsidR="00404BB9" w:rsidRDefault="00404BB9">
      <w:pPr>
        <w:pStyle w:val="enumlev1"/>
        <w:tabs>
          <w:tab w:val="left" w:pos="794"/>
        </w:tabs>
      </w:pPr>
      <w:r>
        <w:tab/>
      </w:r>
      <w:r>
        <w:rPr>
          <w:i/>
        </w:rPr>
        <w:t>M</w:t>
      </w:r>
      <w:r>
        <w:rPr>
          <w:rFonts w:ascii="Tms Rmn" w:hAnsi="Tms Rmn"/>
          <w:sz w:val="12"/>
        </w:rPr>
        <w:t> </w:t>
      </w:r>
      <w:r>
        <w:t>:</w:t>
      </w:r>
      <w:r>
        <w:tab/>
        <w:t>fréquence de modulation maximale (Hz)</w:t>
      </w:r>
    </w:p>
    <w:p w14:paraId="65D890FE" w14:textId="77777777" w:rsidR="00404BB9" w:rsidRDefault="00404BB9">
      <w:pPr>
        <w:pStyle w:val="enumlev1"/>
        <w:tabs>
          <w:tab w:val="left" w:pos="794"/>
        </w:tabs>
      </w:pPr>
      <w:r>
        <w:tab/>
      </w:r>
      <w:r>
        <w:rPr>
          <w:i/>
        </w:rPr>
        <w:t>d</w:t>
      </w:r>
      <w:r>
        <w:rPr>
          <w:rFonts w:ascii="Tms Rmn" w:hAnsi="Tms Rmn"/>
          <w:sz w:val="12"/>
        </w:rPr>
        <w:t> </w:t>
      </w:r>
      <w:r>
        <w:t>:</w:t>
      </w:r>
      <w:r>
        <w:tab/>
        <w:t>excursion par voie</w:t>
      </w:r>
    </w:p>
    <w:p w14:paraId="403F5B3B" w14:textId="77777777" w:rsidR="00404BB9" w:rsidRDefault="00404BB9">
      <w:pPr>
        <w:pStyle w:val="enumlev1"/>
        <w:tabs>
          <w:tab w:val="left" w:pos="794"/>
        </w:tabs>
      </w:pPr>
      <w:r>
        <w:tab/>
      </w:r>
      <w:r>
        <w:rPr>
          <w:i/>
        </w:rPr>
        <w:t>N</w:t>
      </w:r>
      <w:r>
        <w:rPr>
          <w:i/>
          <w:position w:val="-3"/>
          <w:sz w:val="16"/>
        </w:rPr>
        <w:t>c</w:t>
      </w:r>
      <w:r>
        <w:rPr>
          <w:rFonts w:ascii="Tms Rmn" w:hAnsi="Tms Rmn"/>
          <w:sz w:val="12"/>
        </w:rPr>
        <w:t> </w:t>
      </w:r>
      <w:r>
        <w:t>:</w:t>
      </w:r>
      <w:r>
        <w:tab/>
        <w:t>nombre de voies dans la charge de message multiplexée</w:t>
      </w:r>
    </w:p>
    <w:p w14:paraId="599BC30B" w14:textId="77777777" w:rsidR="00404BB9" w:rsidRDefault="00404BB9">
      <w:pPr>
        <w:pStyle w:val="enumlev1"/>
        <w:tabs>
          <w:tab w:val="left" w:pos="794"/>
        </w:tabs>
      </w:pPr>
      <w:r>
        <w:tab/>
      </w:r>
      <w:r>
        <w:rPr>
          <w:i/>
        </w:rPr>
        <w:t>K</w:t>
      </w:r>
      <w:r>
        <w:rPr>
          <w:rFonts w:ascii="Tms Rmn" w:hAnsi="Tms Rmn"/>
          <w:sz w:val="12"/>
        </w:rPr>
        <w:t> </w:t>
      </w:r>
      <w:r>
        <w:t>:</w:t>
      </w:r>
      <w:r>
        <w:tab/>
        <w:t>unité</w:t>
      </w:r>
    </w:p>
    <w:p w14:paraId="47966A51" w14:textId="77777777" w:rsidR="00404BB9" w:rsidRDefault="00404BB9">
      <w:pPr>
        <w:pStyle w:val="enumlev1"/>
        <w:tabs>
          <w:tab w:val="left" w:pos="794"/>
          <w:tab w:val="left" w:pos="1560"/>
          <w:tab w:val="left" w:pos="1843"/>
          <w:tab w:val="left" w:pos="2835"/>
          <w:tab w:val="left" w:pos="3402"/>
          <w:tab w:val="left" w:pos="4054"/>
          <w:tab w:val="left" w:pos="5103"/>
          <w:tab w:val="left" w:pos="5670"/>
        </w:tabs>
      </w:pPr>
      <w:r>
        <w:tab/>
      </w:r>
      <w:r>
        <w:rPr>
          <w:i/>
        </w:rPr>
        <w:t>X</w:t>
      </w:r>
      <w:r>
        <w:t> </w:t>
      </w:r>
      <w:r>
        <w:rPr>
          <w:rFonts w:ascii="Symbol" w:hAnsi="Symbol"/>
        </w:rPr>
        <w:t></w:t>
      </w:r>
      <w:r>
        <w:tab/>
        <w:t> </w:t>
      </w:r>
      <w:r>
        <w:rPr>
          <w:rFonts w:ascii="Tms Rmn" w:hAnsi="Tms Rmn"/>
          <w:sz w:val="12"/>
        </w:rPr>
        <w:t> </w:t>
      </w:r>
      <w:r>
        <w:rPr>
          <w:color w:val="000000"/>
        </w:rPr>
        <w:t>–</w:t>
      </w:r>
      <w:r>
        <w:t>2</w:t>
      </w:r>
      <w:r>
        <w:t> </w:t>
      </w:r>
      <w:r>
        <w:tab/>
        <w:t>à</w:t>
      </w:r>
      <w:r>
        <w:tab/>
      </w:r>
      <w:r>
        <w:t> </w:t>
      </w:r>
      <w:r>
        <w:t> </w:t>
      </w:r>
      <w:r>
        <w:rPr>
          <w:rFonts w:ascii="Symbol" w:hAnsi="Symbol"/>
        </w:rPr>
        <w:t></w:t>
      </w:r>
      <w:r>
        <w:t>2,6</w:t>
      </w:r>
      <w:r>
        <w:rPr>
          <w:color w:val="FFFFFF"/>
        </w:rPr>
        <w:tab/>
      </w:r>
      <w:r>
        <w:t>pour</w:t>
      </w:r>
      <w:r>
        <w:tab/>
        <w:t>12  </w:t>
      </w:r>
      <w:r>
        <w:rPr>
          <w:rFonts w:ascii="Symbol" w:hAnsi="Symbol"/>
        </w:rPr>
        <w:t></w:t>
      </w:r>
      <w:r>
        <w:tab/>
      </w:r>
      <w:r>
        <w:rPr>
          <w:i/>
        </w:rPr>
        <w:t>N</w:t>
      </w:r>
      <w:r>
        <w:rPr>
          <w:i/>
          <w:position w:val="-3"/>
          <w:sz w:val="16"/>
        </w:rPr>
        <w:t>c</w:t>
      </w:r>
      <w:r>
        <w:rPr>
          <w:i/>
        </w:rPr>
        <w:t>  </w:t>
      </w:r>
      <w:r>
        <w:rPr>
          <w:rFonts w:ascii="Symbol" w:hAnsi="Symbol"/>
        </w:rPr>
        <w:t></w:t>
      </w:r>
      <w:r>
        <w:t>  </w:t>
      </w:r>
      <w:r>
        <w:t> </w:t>
      </w:r>
      <w:r>
        <w:t>60</w:t>
      </w:r>
      <w:r>
        <w:tab/>
        <w:t>et</w:t>
      </w:r>
      <w:r>
        <w:tab/>
        <w:t>pour  </w:t>
      </w:r>
      <w:r>
        <w:rPr>
          <w:i/>
        </w:rPr>
        <w:t>Y</w:t>
      </w:r>
      <w:r>
        <w:t>  </w:t>
      </w:r>
      <w:r>
        <w:rPr>
          <w:rFonts w:ascii="Symbol" w:hAnsi="Symbol"/>
        </w:rPr>
        <w:t></w:t>
      </w:r>
      <w:r>
        <w:t>  </w:t>
      </w:r>
      <w:r>
        <w:t> </w:t>
      </w:r>
      <w:r>
        <w:t>2</w:t>
      </w:r>
    </w:p>
    <w:p w14:paraId="70797FC9" w14:textId="77777777" w:rsidR="00404BB9" w:rsidRDefault="00404BB9">
      <w:pPr>
        <w:pStyle w:val="enumlev1"/>
        <w:tabs>
          <w:tab w:val="left" w:pos="794"/>
          <w:tab w:val="left" w:pos="1560"/>
          <w:tab w:val="left" w:pos="1843"/>
          <w:tab w:val="left" w:pos="2835"/>
          <w:tab w:val="left" w:pos="3402"/>
          <w:tab w:val="left" w:pos="4054"/>
          <w:tab w:val="left" w:pos="5103"/>
          <w:tab w:val="left" w:pos="5670"/>
        </w:tabs>
      </w:pPr>
      <w:r>
        <w:tab/>
      </w:r>
      <w:r>
        <w:rPr>
          <w:i/>
        </w:rPr>
        <w:t>X</w:t>
      </w:r>
      <w:r>
        <w:t> </w:t>
      </w:r>
      <w:r>
        <w:rPr>
          <w:rFonts w:ascii="Symbol" w:hAnsi="Symbol"/>
        </w:rPr>
        <w:t></w:t>
      </w:r>
      <w:r>
        <w:tab/>
        <w:t> </w:t>
      </w:r>
      <w:r>
        <w:rPr>
          <w:rFonts w:ascii="Tms Rmn" w:hAnsi="Tms Rmn"/>
          <w:sz w:val="12"/>
        </w:rPr>
        <w:t> </w:t>
      </w:r>
      <w:r>
        <w:rPr>
          <w:color w:val="000000"/>
        </w:rPr>
        <w:t>–</w:t>
      </w:r>
      <w:r>
        <w:t>5,6</w:t>
      </w:r>
      <w:r>
        <w:tab/>
        <w:t>à</w:t>
      </w:r>
      <w:r>
        <w:tab/>
      </w:r>
      <w:r>
        <w:t> </w:t>
      </w:r>
      <w:r>
        <w:t> –1,0</w:t>
      </w:r>
      <w:r>
        <w:rPr>
          <w:color w:val="FFFFFF"/>
        </w:rPr>
        <w:tab/>
      </w:r>
      <w:r>
        <w:t>pour</w:t>
      </w:r>
      <w:r>
        <w:tab/>
        <w:t>60  </w:t>
      </w:r>
      <w:r>
        <w:rPr>
          <w:rFonts w:ascii="Symbol" w:hAnsi="Symbol"/>
        </w:rPr>
        <w:t></w:t>
      </w:r>
      <w:r>
        <w:tab/>
      </w:r>
      <w:r>
        <w:rPr>
          <w:i/>
        </w:rPr>
        <w:t>N</w:t>
      </w:r>
      <w:r>
        <w:rPr>
          <w:i/>
          <w:position w:val="-3"/>
          <w:sz w:val="16"/>
        </w:rPr>
        <w:t>c</w:t>
      </w:r>
      <w:r>
        <w:rPr>
          <w:i/>
        </w:rPr>
        <w:t>  </w:t>
      </w:r>
      <w:r>
        <w:rPr>
          <w:rFonts w:ascii="Symbol" w:hAnsi="Symbol"/>
        </w:rPr>
        <w:t></w:t>
      </w:r>
      <w:r>
        <w:t>  240</w:t>
      </w:r>
      <w:r>
        <w:tab/>
        <w:t>et</w:t>
      </w:r>
      <w:r>
        <w:tab/>
        <w:t>pour  </w:t>
      </w:r>
      <w:r>
        <w:rPr>
          <w:i/>
        </w:rPr>
        <w:t>Y</w:t>
      </w:r>
      <w:r>
        <w:t>  </w:t>
      </w:r>
      <w:r>
        <w:rPr>
          <w:rFonts w:ascii="Symbol" w:hAnsi="Symbol"/>
        </w:rPr>
        <w:t></w:t>
      </w:r>
      <w:r>
        <w:t>  </w:t>
      </w:r>
      <w:r>
        <w:t> </w:t>
      </w:r>
      <w:r>
        <w:t>4</w:t>
      </w:r>
    </w:p>
    <w:p w14:paraId="00284479" w14:textId="77777777" w:rsidR="00404BB9" w:rsidRDefault="00404BB9">
      <w:pPr>
        <w:pStyle w:val="enumlev1"/>
        <w:tabs>
          <w:tab w:val="left" w:pos="794"/>
          <w:tab w:val="left" w:pos="1560"/>
          <w:tab w:val="left" w:pos="1843"/>
          <w:tab w:val="left" w:pos="2835"/>
          <w:tab w:val="left" w:pos="3402"/>
          <w:tab w:val="left" w:pos="4054"/>
          <w:tab w:val="left" w:pos="5103"/>
          <w:tab w:val="left" w:pos="5670"/>
        </w:tabs>
      </w:pPr>
      <w:r>
        <w:lastRenderedPageBreak/>
        <w:tab/>
      </w:r>
      <w:r>
        <w:rPr>
          <w:i/>
        </w:rPr>
        <w:t>X</w:t>
      </w:r>
      <w:r>
        <w:t> </w:t>
      </w:r>
      <w:r>
        <w:rPr>
          <w:rFonts w:ascii="Symbol" w:hAnsi="Symbol"/>
        </w:rPr>
        <w:t></w:t>
      </w:r>
      <w:r>
        <w:tab/>
        <w:t>–19,6</w:t>
      </w:r>
      <w:r>
        <w:tab/>
        <w:t>à</w:t>
      </w:r>
      <w:r>
        <w:tab/>
        <w:t> –15,0</w:t>
      </w:r>
      <w:r>
        <w:rPr>
          <w:color w:val="FFFFFF"/>
        </w:rPr>
        <w:tab/>
      </w:r>
      <w:r>
        <w:t>pour</w:t>
      </w:r>
      <w:r>
        <w:tab/>
      </w:r>
      <w:r>
        <w:rPr>
          <w:color w:val="FFFFFF"/>
        </w:rPr>
        <w:tab/>
      </w:r>
      <w:r>
        <w:rPr>
          <w:i/>
        </w:rPr>
        <w:t>N</w:t>
      </w:r>
      <w:r>
        <w:rPr>
          <w:i/>
          <w:position w:val="-3"/>
          <w:sz w:val="16"/>
        </w:rPr>
        <w:t>c</w:t>
      </w:r>
      <w:r>
        <w:rPr>
          <w:i/>
        </w:rPr>
        <w:t>  </w:t>
      </w:r>
      <w:r>
        <w:rPr>
          <w:rFonts w:ascii="Symbol" w:hAnsi="Symbol"/>
        </w:rPr>
        <w:t></w:t>
      </w:r>
      <w:r>
        <w:t>  240</w:t>
      </w:r>
      <w:r>
        <w:tab/>
        <w:t>et</w:t>
      </w:r>
      <w:r>
        <w:tab/>
        <w:t>pour  </w:t>
      </w:r>
      <w:r>
        <w:rPr>
          <w:i/>
        </w:rPr>
        <w:t>Y</w:t>
      </w:r>
      <w:r>
        <w:t>  </w:t>
      </w:r>
      <w:r>
        <w:rPr>
          <w:rFonts w:ascii="Symbol" w:hAnsi="Symbol"/>
        </w:rPr>
        <w:t></w:t>
      </w:r>
      <w:r>
        <w:t>  10.</w:t>
      </w:r>
    </w:p>
    <w:p w14:paraId="23D79293" w14:textId="77777777" w:rsidR="00404BB9" w:rsidRDefault="00404BB9">
      <w:r>
        <w:t xml:space="preserve">Le terme entre crochets est l'excursion de crête </w:t>
      </w:r>
      <w:r>
        <w:rPr>
          <w:i/>
        </w:rPr>
        <w:t>D</w:t>
      </w:r>
      <w:r>
        <w:t>. Le numérateur (</w:t>
      </w:r>
      <w:r>
        <w:rPr>
          <w:i/>
        </w:rPr>
        <w:t>X</w:t>
      </w:r>
      <w:r>
        <w:t> </w:t>
      </w:r>
      <w:r>
        <w:rPr>
          <w:rFonts w:ascii="Symbol" w:hAnsi="Symbol"/>
        </w:rPr>
        <w:t></w:t>
      </w:r>
      <w:r>
        <w:t> </w:t>
      </w:r>
      <w:r>
        <w:rPr>
          <w:i/>
        </w:rPr>
        <w:t>Y</w:t>
      </w:r>
      <w:r>
        <w:t> log </w:t>
      </w:r>
      <w:r>
        <w:rPr>
          <w:i/>
        </w:rPr>
        <w:t>N</w:t>
      </w:r>
      <w:r>
        <w:rPr>
          <w:i/>
          <w:position w:val="-6"/>
          <w:sz w:val="16"/>
        </w:rPr>
        <w:t>c</w:t>
      </w:r>
      <w:r>
        <w:t>) de la fraction représente la puissance moyenne du signal composite à l'entrée du modulateur de l'émetteur.</w:t>
      </w:r>
    </w:p>
    <w:p w14:paraId="201EE939" w14:textId="77777777" w:rsidR="00404BB9" w:rsidRDefault="00404BB9">
      <w:r>
        <w:t xml:space="preserve">Les fondements de cette formule figurent au § 1 de l'Annexe 1. Celle-ci indique notamment comment déterminer la valeur appropriée de la variable </w:t>
      </w:r>
      <w:r>
        <w:rPr>
          <w:i/>
        </w:rPr>
        <w:t>X</w:t>
      </w:r>
      <w:r>
        <w:t xml:space="preserve"> dans la formule.</w:t>
      </w:r>
    </w:p>
    <w:p w14:paraId="5CE5ED12" w14:textId="77777777" w:rsidR="00404BB9" w:rsidRDefault="00404BB9">
      <w:pPr>
        <w:pStyle w:val="Heading1"/>
      </w:pPr>
      <w:r>
        <w:t>2</w:t>
      </w:r>
      <w:r>
        <w:tab/>
        <w:t>Emissions par impulsions non modulées</w:t>
      </w:r>
    </w:p>
    <w:p w14:paraId="7BC4C2AC" w14:textId="77777777" w:rsidR="00404BB9" w:rsidRDefault="00404BB9">
      <w:r>
        <w:t>Le Tableau 1 donne la largeur de bande nécessaire dans les cas d'impulsions non modulées, rectangulaires ou trapézoïdales.</w:t>
      </w:r>
    </w:p>
    <w:p w14:paraId="466D3958" w14:textId="77777777" w:rsidR="00404BB9" w:rsidRDefault="00404BB9">
      <w:pPr>
        <w:pStyle w:val="Table"/>
      </w:pPr>
      <w:r>
        <w:t>TABLEAU  1</w:t>
      </w:r>
    </w:p>
    <w:p w14:paraId="673DBE5B" w14:textId="77777777" w:rsidR="00404BB9" w:rsidRDefault="00404BB9">
      <w:pPr>
        <w:pStyle w:val="TableTitle"/>
      </w:pPr>
      <w:r>
        <w:t>Emissions par impulsions non modulées</w:t>
      </w:r>
    </w:p>
    <w:p w14:paraId="46BC9DA6" w14:textId="77777777" w:rsidR="00404BB9" w:rsidRDefault="00404BB9">
      <w:pPr>
        <w:pStyle w:val="Blanc"/>
      </w:pPr>
    </w:p>
    <w:tbl>
      <w:tblPr>
        <w:tblW w:w="0" w:type="auto"/>
        <w:jc w:val="center"/>
        <w:tblLayout w:type="fixed"/>
        <w:tblLook w:val="0000" w:firstRow="0" w:lastRow="0" w:firstColumn="0" w:lastColumn="0" w:noHBand="0" w:noVBand="0"/>
      </w:tblPr>
      <w:tblGrid>
        <w:gridCol w:w="1418"/>
        <w:gridCol w:w="3402"/>
        <w:gridCol w:w="3402"/>
        <w:gridCol w:w="1304"/>
      </w:tblGrid>
      <w:tr w:rsidR="00A937E0" w14:paraId="56F20D47" w14:textId="77777777" w:rsidTr="00A937E0">
        <w:trPr>
          <w:cantSplit/>
          <w:jc w:val="center"/>
        </w:trPr>
        <w:tc>
          <w:tcPr>
            <w:tcW w:w="1418" w:type="dxa"/>
            <w:tcBorders>
              <w:top w:val="single" w:sz="6" w:space="0" w:color="auto"/>
              <w:left w:val="single" w:sz="6" w:space="0" w:color="auto"/>
              <w:right w:val="single" w:sz="6" w:space="0" w:color="auto"/>
            </w:tcBorders>
          </w:tcPr>
          <w:p w14:paraId="4CF8B50F" w14:textId="77777777" w:rsidR="00404BB9" w:rsidRDefault="00404BB9">
            <w:pPr>
              <w:pStyle w:val="TableText"/>
              <w:framePr w:hSpace="181" w:wrap="notBeside" w:vAnchor="text" w:hAnchor="page" w:xAlign="center" w:y="1"/>
              <w:spacing w:before="300" w:after="0"/>
              <w:jc w:val="center"/>
            </w:pPr>
            <w:r>
              <w:br/>
              <w:t>Description</w:t>
            </w:r>
          </w:p>
        </w:tc>
        <w:tc>
          <w:tcPr>
            <w:tcW w:w="6804" w:type="dxa"/>
            <w:gridSpan w:val="2"/>
            <w:tcBorders>
              <w:top w:val="single" w:sz="6" w:space="0" w:color="auto"/>
              <w:left w:val="single" w:sz="6" w:space="0" w:color="auto"/>
              <w:bottom w:val="single" w:sz="6" w:space="0" w:color="auto"/>
            </w:tcBorders>
          </w:tcPr>
          <w:p w14:paraId="7C46CC6C" w14:textId="77777777" w:rsidR="00404BB9" w:rsidRDefault="00404BB9">
            <w:pPr>
              <w:pStyle w:val="TableText"/>
              <w:framePr w:hSpace="181" w:wrap="notBeside" w:vAnchor="text" w:hAnchor="page" w:xAlign="center" w:y="1"/>
              <w:spacing w:before="240" w:after="160"/>
              <w:jc w:val="center"/>
            </w:pPr>
            <w:r>
              <w:t>Largeur de bande nécessaire</w:t>
            </w:r>
          </w:p>
        </w:tc>
        <w:tc>
          <w:tcPr>
            <w:tcW w:w="1304" w:type="dxa"/>
            <w:tcBorders>
              <w:top w:val="single" w:sz="6" w:space="0" w:color="auto"/>
              <w:left w:val="single" w:sz="6" w:space="0" w:color="auto"/>
              <w:right w:val="single" w:sz="6" w:space="0" w:color="auto"/>
            </w:tcBorders>
          </w:tcPr>
          <w:p w14:paraId="431D527B" w14:textId="77777777" w:rsidR="00404BB9" w:rsidRDefault="00404BB9">
            <w:pPr>
              <w:pStyle w:val="TableText"/>
              <w:framePr w:hSpace="181" w:wrap="notBeside" w:vAnchor="text" w:hAnchor="page" w:xAlign="center" w:y="1"/>
              <w:spacing w:before="300" w:after="0"/>
              <w:jc w:val="center"/>
            </w:pPr>
            <w:r>
              <w:br/>
              <w:t>Désignation</w:t>
            </w:r>
          </w:p>
        </w:tc>
      </w:tr>
      <w:tr w:rsidR="00404BB9" w14:paraId="722F379B" w14:textId="77777777">
        <w:trPr>
          <w:cantSplit/>
          <w:jc w:val="center"/>
        </w:trPr>
        <w:tc>
          <w:tcPr>
            <w:tcW w:w="1418" w:type="dxa"/>
            <w:tcBorders>
              <w:left w:val="single" w:sz="6" w:space="0" w:color="auto"/>
              <w:bottom w:val="single" w:sz="6" w:space="0" w:color="auto"/>
              <w:right w:val="single" w:sz="6" w:space="0" w:color="auto"/>
            </w:tcBorders>
          </w:tcPr>
          <w:p w14:paraId="1EF43968" w14:textId="77777777" w:rsidR="00404BB9" w:rsidRDefault="00404BB9">
            <w:pPr>
              <w:pStyle w:val="TableText"/>
              <w:framePr w:hSpace="181" w:wrap="notBeside" w:vAnchor="text" w:hAnchor="page" w:xAlign="center" w:y="1"/>
              <w:spacing w:before="0" w:after="160"/>
              <w:jc w:val="center"/>
            </w:pPr>
            <w:r>
              <w:t>de l'émission</w:t>
            </w:r>
          </w:p>
        </w:tc>
        <w:tc>
          <w:tcPr>
            <w:tcW w:w="3402" w:type="dxa"/>
            <w:tcBorders>
              <w:top w:val="single" w:sz="6" w:space="0" w:color="auto"/>
              <w:left w:val="single" w:sz="6" w:space="0" w:color="auto"/>
              <w:bottom w:val="single" w:sz="6" w:space="0" w:color="auto"/>
              <w:right w:val="single" w:sz="6" w:space="0" w:color="auto"/>
            </w:tcBorders>
          </w:tcPr>
          <w:p w14:paraId="1A4B11BE" w14:textId="77777777" w:rsidR="00404BB9" w:rsidRDefault="00404BB9">
            <w:pPr>
              <w:pStyle w:val="TableText"/>
              <w:framePr w:hSpace="181" w:wrap="notBeside" w:vAnchor="text" w:hAnchor="page" w:xAlign="center" w:y="1"/>
              <w:spacing w:before="160" w:after="160"/>
              <w:jc w:val="center"/>
            </w:pPr>
            <w:r>
              <w:t>Formule</w:t>
            </w:r>
          </w:p>
        </w:tc>
        <w:tc>
          <w:tcPr>
            <w:tcW w:w="3402" w:type="dxa"/>
            <w:tcBorders>
              <w:top w:val="single" w:sz="6" w:space="0" w:color="auto"/>
              <w:left w:val="single" w:sz="6" w:space="0" w:color="auto"/>
              <w:bottom w:val="single" w:sz="6" w:space="0" w:color="auto"/>
            </w:tcBorders>
          </w:tcPr>
          <w:p w14:paraId="4CF45A06" w14:textId="77777777" w:rsidR="00404BB9" w:rsidRDefault="00404BB9">
            <w:pPr>
              <w:pStyle w:val="TableText"/>
              <w:framePr w:hSpace="181" w:wrap="notBeside" w:vAnchor="text" w:hAnchor="page" w:xAlign="center" w:y="1"/>
              <w:spacing w:before="160" w:after="160"/>
              <w:jc w:val="center"/>
            </w:pPr>
            <w:r>
              <w:t>Exemples de calcul</w:t>
            </w:r>
          </w:p>
        </w:tc>
        <w:tc>
          <w:tcPr>
            <w:tcW w:w="1304" w:type="dxa"/>
            <w:tcBorders>
              <w:left w:val="single" w:sz="6" w:space="0" w:color="auto"/>
              <w:bottom w:val="single" w:sz="6" w:space="0" w:color="auto"/>
              <w:right w:val="single" w:sz="6" w:space="0" w:color="auto"/>
            </w:tcBorders>
          </w:tcPr>
          <w:p w14:paraId="552E7444" w14:textId="77777777" w:rsidR="00404BB9" w:rsidRDefault="00404BB9">
            <w:pPr>
              <w:pStyle w:val="TableText"/>
              <w:framePr w:hSpace="181" w:wrap="notBeside" w:vAnchor="text" w:hAnchor="page" w:xAlign="center" w:y="1"/>
              <w:spacing w:before="0" w:after="160"/>
              <w:jc w:val="center"/>
            </w:pPr>
            <w:r>
              <w:t>de l'émission</w:t>
            </w:r>
          </w:p>
        </w:tc>
      </w:tr>
      <w:tr w:rsidR="00404BB9" w14:paraId="62540F92" w14:textId="77777777">
        <w:trPr>
          <w:cantSplit/>
          <w:jc w:val="center"/>
        </w:trPr>
        <w:tc>
          <w:tcPr>
            <w:tcW w:w="1418" w:type="dxa"/>
            <w:tcBorders>
              <w:left w:val="single" w:sz="6" w:space="0" w:color="auto"/>
              <w:right w:val="single" w:sz="6" w:space="0" w:color="auto"/>
            </w:tcBorders>
          </w:tcPr>
          <w:p w14:paraId="18752C86" w14:textId="77777777" w:rsidR="00404BB9" w:rsidRDefault="00404BB9">
            <w:pPr>
              <w:pStyle w:val="TableText"/>
              <w:framePr w:hSpace="181" w:wrap="notBeside" w:vAnchor="text" w:hAnchor="page" w:xAlign="center" w:y="1"/>
              <w:spacing w:before="160" w:after="160"/>
              <w:jc w:val="left"/>
            </w:pPr>
            <w:r>
              <w:t>Emission en impulsions non modulées</w:t>
            </w:r>
          </w:p>
        </w:tc>
        <w:tc>
          <w:tcPr>
            <w:tcW w:w="3402" w:type="dxa"/>
            <w:tcBorders>
              <w:top w:val="single" w:sz="6" w:space="0" w:color="auto"/>
              <w:left w:val="single" w:sz="6" w:space="0" w:color="auto"/>
              <w:right w:val="single" w:sz="6" w:space="0" w:color="auto"/>
            </w:tcBorders>
          </w:tcPr>
          <w:p w14:paraId="6239C3DB" w14:textId="77777777" w:rsidR="00404BB9" w:rsidRDefault="00404BB9">
            <w:pPr>
              <w:pStyle w:val="TableText"/>
              <w:framePr w:hSpace="181" w:wrap="notBeside" w:vAnchor="text" w:hAnchor="page" w:xAlign="center" w:y="1"/>
              <w:spacing w:before="160" w:after="160" w:line="240" w:lineRule="auto"/>
              <w:jc w:val="center"/>
            </w:pPr>
            <w:r>
              <w:t>Cas 1:</w:t>
            </w:r>
          </w:p>
        </w:tc>
        <w:tc>
          <w:tcPr>
            <w:tcW w:w="3402" w:type="dxa"/>
            <w:tcBorders>
              <w:top w:val="single" w:sz="6" w:space="0" w:color="auto"/>
              <w:left w:val="single" w:sz="6" w:space="0" w:color="auto"/>
            </w:tcBorders>
          </w:tcPr>
          <w:p w14:paraId="5D1B84B8" w14:textId="77777777" w:rsidR="00404BB9" w:rsidRDefault="00404BB9">
            <w:pPr>
              <w:pStyle w:val="Equation"/>
              <w:framePr w:hSpace="181" w:wrap="notBeside" w:vAnchor="text" w:hAnchor="page" w:xAlign="center" w:y="1"/>
              <w:spacing w:before="160" w:after="160"/>
              <w:rPr>
                <w:sz w:val="18"/>
              </w:rPr>
            </w:pPr>
          </w:p>
        </w:tc>
        <w:tc>
          <w:tcPr>
            <w:tcW w:w="1304" w:type="dxa"/>
            <w:tcBorders>
              <w:top w:val="single" w:sz="6" w:space="0" w:color="auto"/>
              <w:left w:val="single" w:sz="6" w:space="0" w:color="auto"/>
              <w:right w:val="single" w:sz="6" w:space="0" w:color="auto"/>
            </w:tcBorders>
          </w:tcPr>
          <w:p w14:paraId="03BF70B9" w14:textId="77777777" w:rsidR="00404BB9" w:rsidRDefault="00404BB9">
            <w:pPr>
              <w:pStyle w:val="TableText"/>
              <w:framePr w:hSpace="181" w:wrap="notBeside" w:vAnchor="text" w:hAnchor="page" w:xAlign="center" w:y="1"/>
              <w:spacing w:before="160" w:after="160"/>
              <w:jc w:val="center"/>
            </w:pPr>
            <w:r>
              <w:t>4M00P0N</w:t>
            </w:r>
          </w:p>
        </w:tc>
      </w:tr>
      <w:tr w:rsidR="00404BB9" w14:paraId="5513AA4E" w14:textId="77777777">
        <w:trPr>
          <w:cantSplit/>
          <w:jc w:val="center"/>
        </w:trPr>
        <w:tc>
          <w:tcPr>
            <w:tcW w:w="1418" w:type="dxa"/>
            <w:tcBorders>
              <w:left w:val="single" w:sz="6" w:space="0" w:color="auto"/>
              <w:right w:val="single" w:sz="6" w:space="0" w:color="auto"/>
            </w:tcBorders>
          </w:tcPr>
          <w:p w14:paraId="4DE62DE1" w14:textId="77777777" w:rsidR="00404BB9" w:rsidRDefault="00404BB9">
            <w:pPr>
              <w:pStyle w:val="TableText"/>
              <w:framePr w:hSpace="181" w:wrap="notBeside" w:vAnchor="text" w:hAnchor="page" w:xAlign="center" w:y="1"/>
              <w:spacing w:before="160" w:after="160"/>
              <w:jc w:val="left"/>
            </w:pPr>
          </w:p>
        </w:tc>
        <w:tc>
          <w:tcPr>
            <w:tcW w:w="3402" w:type="dxa"/>
            <w:tcBorders>
              <w:left w:val="single" w:sz="6" w:space="0" w:color="auto"/>
              <w:right w:val="single" w:sz="6" w:space="0" w:color="auto"/>
            </w:tcBorders>
          </w:tcPr>
          <w:p w14:paraId="127AE26A" w14:textId="77777777" w:rsidR="00404BB9" w:rsidRDefault="00404BB9">
            <w:pPr>
              <w:pStyle w:val="TableText"/>
              <w:framePr w:hSpace="181" w:wrap="notBeside" w:vAnchor="text" w:hAnchor="page" w:xAlign="center" w:y="1"/>
              <w:spacing w:before="160" w:after="160" w:line="240" w:lineRule="auto"/>
              <w:jc w:val="left"/>
            </w:pPr>
            <w:r>
              <w:fldChar w:fldCharType="begin"/>
            </w:r>
            <w:r>
              <w:instrText xml:space="preserve">eq </w:instrText>
            </w:r>
            <w:r>
              <w:rPr>
                <w:i/>
              </w:rPr>
              <w:instrText>B</w:instrText>
            </w:r>
            <w:r>
              <w:rPr>
                <w:i/>
                <w:position w:val="-3"/>
                <w:sz w:val="14"/>
              </w:rPr>
              <w:instrText>n</w:instrText>
            </w:r>
            <w:r>
              <w:rPr>
                <w:b/>
              </w:rPr>
              <w:instrText xml:space="preserve">  </w:instrText>
            </w:r>
            <w:r>
              <w:rPr>
                <w:rFonts w:ascii="Symbol" w:hAnsi="Symbol"/>
                <w:b/>
              </w:rPr>
              <w:instrText>=</w:instrText>
            </w:r>
            <w:r>
              <w:rPr>
                <w:b/>
              </w:rPr>
              <w:instrText xml:space="preserve">  </w:instrText>
            </w:r>
            <w:r>
              <w:instrText>\f(1\,79,\r(</w:instrText>
            </w:r>
            <w:r>
              <w:rPr>
                <w:i/>
              </w:rPr>
              <w:instrText>t</w:instrText>
            </w:r>
            <w:r>
              <w:instrText xml:space="preserve">  </w:instrText>
            </w:r>
            <w:r>
              <w:rPr>
                <w:rFonts w:ascii="Symbol" w:hAnsi="Symbol"/>
              </w:rPr>
              <w:instrText>×</w:instrText>
            </w:r>
            <w:r>
              <w:instrText xml:space="preserve">  </w:instrText>
            </w:r>
            <w:r>
              <w:rPr>
                <w:i/>
              </w:rPr>
              <w:instrText>t</w:instrText>
            </w:r>
            <w:r>
              <w:rPr>
                <w:i/>
                <w:position w:val="-3"/>
                <w:sz w:val="14"/>
              </w:rPr>
              <w:instrText>r</w:instrText>
            </w:r>
            <w:r>
              <w:instrText>))</w:instrText>
            </w:r>
            <w:r>
              <w:fldChar w:fldCharType="end"/>
            </w:r>
            <w:r>
              <w:t xml:space="preserve">     Hz</w:t>
            </w:r>
          </w:p>
        </w:tc>
        <w:tc>
          <w:tcPr>
            <w:tcW w:w="3402" w:type="dxa"/>
            <w:tcBorders>
              <w:left w:val="single" w:sz="6" w:space="0" w:color="auto"/>
            </w:tcBorders>
          </w:tcPr>
          <w:p w14:paraId="0F4CAF8A" w14:textId="77777777" w:rsidR="00404BB9" w:rsidRDefault="00404BB9">
            <w:pPr>
              <w:pStyle w:val="TableText"/>
              <w:framePr w:hSpace="181" w:wrap="notBeside" w:vAnchor="text" w:hAnchor="page" w:xAlign="center" w:y="1"/>
              <w:spacing w:before="160" w:after="0"/>
              <w:jc w:val="left"/>
            </w:pPr>
            <w:r>
              <w:rPr>
                <w:i/>
              </w:rPr>
              <w:t>t</w:t>
            </w:r>
            <w:r>
              <w:t>   </w:t>
            </w:r>
            <w:r>
              <w:rPr>
                <w:rFonts w:ascii="Symbol" w:hAnsi="Symbol"/>
              </w:rPr>
              <w:t></w:t>
            </w:r>
            <w:r>
              <w:t>  3  </w:t>
            </w:r>
            <w:r>
              <w:rPr>
                <w:rFonts w:ascii="Symbol" w:hAnsi="Symbol"/>
              </w:rPr>
              <w:t></w:t>
            </w:r>
            <w:r>
              <w:t>  10</w:t>
            </w:r>
            <w:r>
              <w:rPr>
                <w:position w:val="6"/>
                <w:sz w:val="14"/>
              </w:rPr>
              <w:t>–</w:t>
            </w:r>
            <w:r>
              <w:rPr>
                <w:rFonts w:ascii="Tms Rmn" w:hAnsi="Tms Rmn"/>
                <w:position w:val="6"/>
                <w:sz w:val="8"/>
              </w:rPr>
              <w:t> </w:t>
            </w:r>
            <w:r>
              <w:rPr>
                <w:position w:val="6"/>
                <w:sz w:val="14"/>
              </w:rPr>
              <w:t>6</w:t>
            </w:r>
            <w:r>
              <w:t xml:space="preserve"> s</w:t>
            </w:r>
          </w:p>
          <w:p w14:paraId="0BF6E900" w14:textId="77777777" w:rsidR="00404BB9" w:rsidRDefault="00404BB9">
            <w:pPr>
              <w:pStyle w:val="TableText"/>
              <w:framePr w:hSpace="181" w:wrap="notBeside" w:vAnchor="text" w:hAnchor="page" w:xAlign="center" w:y="1"/>
              <w:spacing w:before="160" w:after="160"/>
              <w:jc w:val="left"/>
            </w:pPr>
            <w:r>
              <w:rPr>
                <w:i/>
              </w:rPr>
              <w:t>t</w:t>
            </w:r>
            <w:r>
              <w:rPr>
                <w:i/>
                <w:position w:val="-3"/>
                <w:sz w:val="14"/>
              </w:rPr>
              <w:t>r</w:t>
            </w:r>
            <w:r>
              <w:t>  </w:t>
            </w:r>
            <w:r>
              <w:rPr>
                <w:rFonts w:ascii="Symbol" w:hAnsi="Symbol"/>
              </w:rPr>
              <w:t></w:t>
            </w:r>
            <w:r>
              <w:t>  0,06675  </w:t>
            </w:r>
            <w:r>
              <w:rPr>
                <w:rFonts w:ascii="Symbol" w:hAnsi="Symbol"/>
              </w:rPr>
              <w:t></w:t>
            </w:r>
            <w:r>
              <w:t>  10</w:t>
            </w:r>
            <w:r>
              <w:rPr>
                <w:position w:val="6"/>
                <w:sz w:val="14"/>
              </w:rPr>
              <w:t>–</w:t>
            </w:r>
            <w:r>
              <w:rPr>
                <w:rFonts w:ascii="Tms Rmn" w:hAnsi="Tms Rmn"/>
                <w:position w:val="6"/>
                <w:sz w:val="8"/>
              </w:rPr>
              <w:t> </w:t>
            </w:r>
            <w:r>
              <w:rPr>
                <w:position w:val="6"/>
                <w:sz w:val="14"/>
              </w:rPr>
              <w:t>6</w:t>
            </w:r>
            <w:r>
              <w:t xml:space="preserve"> s</w:t>
            </w:r>
          </w:p>
        </w:tc>
        <w:tc>
          <w:tcPr>
            <w:tcW w:w="1304" w:type="dxa"/>
            <w:tcBorders>
              <w:left w:val="single" w:sz="6" w:space="0" w:color="auto"/>
              <w:right w:val="single" w:sz="6" w:space="0" w:color="auto"/>
            </w:tcBorders>
          </w:tcPr>
          <w:p w14:paraId="1A554A64" w14:textId="77777777" w:rsidR="00404BB9" w:rsidRDefault="00404BB9">
            <w:pPr>
              <w:pStyle w:val="TableText"/>
              <w:framePr w:hSpace="181" w:wrap="notBeside" w:vAnchor="text" w:hAnchor="page" w:xAlign="center" w:y="1"/>
              <w:spacing w:before="160" w:after="160"/>
              <w:jc w:val="center"/>
            </w:pPr>
          </w:p>
        </w:tc>
      </w:tr>
      <w:tr w:rsidR="00404BB9" w14:paraId="6230AF1F" w14:textId="77777777">
        <w:trPr>
          <w:cantSplit/>
          <w:jc w:val="center"/>
        </w:trPr>
        <w:tc>
          <w:tcPr>
            <w:tcW w:w="1418" w:type="dxa"/>
            <w:tcBorders>
              <w:left w:val="single" w:sz="6" w:space="0" w:color="auto"/>
              <w:right w:val="single" w:sz="6" w:space="0" w:color="auto"/>
            </w:tcBorders>
          </w:tcPr>
          <w:p w14:paraId="6E795337" w14:textId="77777777" w:rsidR="00404BB9" w:rsidRDefault="00404BB9">
            <w:pPr>
              <w:pStyle w:val="TableText"/>
              <w:framePr w:hSpace="181" w:wrap="notBeside" w:vAnchor="text" w:hAnchor="page" w:xAlign="center" w:y="1"/>
              <w:spacing w:before="160" w:after="160"/>
              <w:jc w:val="left"/>
            </w:pPr>
          </w:p>
        </w:tc>
        <w:tc>
          <w:tcPr>
            <w:tcW w:w="3402" w:type="dxa"/>
            <w:tcBorders>
              <w:left w:val="single" w:sz="6" w:space="0" w:color="auto"/>
              <w:bottom w:val="single" w:sz="6" w:space="0" w:color="auto"/>
              <w:right w:val="single" w:sz="6" w:space="0" w:color="auto"/>
            </w:tcBorders>
          </w:tcPr>
          <w:p w14:paraId="3F7A5FDD" w14:textId="77777777" w:rsidR="00404BB9" w:rsidRDefault="00404BB9">
            <w:pPr>
              <w:pStyle w:val="TableText"/>
              <w:framePr w:hSpace="181" w:wrap="notBeside" w:vAnchor="text" w:hAnchor="page" w:xAlign="center" w:y="1"/>
              <w:spacing w:before="160" w:after="160" w:line="240" w:lineRule="auto"/>
              <w:jc w:val="left"/>
            </w:pPr>
            <w:r>
              <w:t>à 20 dB au-dessous de la valeur de crête de l'enveloppe du spectre d'une impulsion trapézoïdale</w:t>
            </w:r>
          </w:p>
        </w:tc>
        <w:tc>
          <w:tcPr>
            <w:tcW w:w="3402" w:type="dxa"/>
            <w:tcBorders>
              <w:left w:val="single" w:sz="6" w:space="0" w:color="auto"/>
              <w:bottom w:val="single" w:sz="6" w:space="0" w:color="auto"/>
            </w:tcBorders>
          </w:tcPr>
          <w:p w14:paraId="54BC76ED" w14:textId="77777777" w:rsidR="00404BB9" w:rsidRDefault="00404BB9">
            <w:pPr>
              <w:pStyle w:val="TableText"/>
              <w:framePr w:hSpace="181" w:wrap="notBeside" w:vAnchor="text" w:hAnchor="page" w:xAlign="center" w:y="1"/>
              <w:spacing w:before="160" w:after="160"/>
              <w:jc w:val="left"/>
            </w:pPr>
            <w:r>
              <w:t>Largeur de bande:  4  </w:t>
            </w:r>
            <w:r>
              <w:rPr>
                <w:rFonts w:ascii="Symbol" w:hAnsi="Symbol"/>
              </w:rPr>
              <w:t></w:t>
            </w:r>
            <w:r>
              <w:t>  10</w:t>
            </w:r>
            <w:r>
              <w:rPr>
                <w:position w:val="6"/>
                <w:sz w:val="14"/>
              </w:rPr>
              <w:t>6</w:t>
            </w:r>
            <w:r>
              <w:t> Hz</w:t>
            </w:r>
          </w:p>
        </w:tc>
        <w:tc>
          <w:tcPr>
            <w:tcW w:w="1304" w:type="dxa"/>
            <w:tcBorders>
              <w:left w:val="single" w:sz="6" w:space="0" w:color="auto"/>
              <w:bottom w:val="single" w:sz="6" w:space="0" w:color="auto"/>
              <w:right w:val="single" w:sz="6" w:space="0" w:color="auto"/>
            </w:tcBorders>
          </w:tcPr>
          <w:p w14:paraId="5D2B538A" w14:textId="77777777" w:rsidR="00404BB9" w:rsidRDefault="00404BB9">
            <w:pPr>
              <w:pStyle w:val="TableText"/>
              <w:framePr w:hSpace="181" w:wrap="notBeside" w:vAnchor="text" w:hAnchor="page" w:xAlign="center" w:y="1"/>
              <w:spacing w:before="160" w:after="160"/>
              <w:jc w:val="center"/>
            </w:pPr>
          </w:p>
        </w:tc>
      </w:tr>
      <w:tr w:rsidR="00404BB9" w14:paraId="3DB08F7C" w14:textId="77777777">
        <w:trPr>
          <w:cantSplit/>
          <w:jc w:val="center"/>
        </w:trPr>
        <w:tc>
          <w:tcPr>
            <w:tcW w:w="1418" w:type="dxa"/>
            <w:tcBorders>
              <w:left w:val="single" w:sz="6" w:space="0" w:color="auto"/>
              <w:right w:val="single" w:sz="6" w:space="0" w:color="auto"/>
            </w:tcBorders>
          </w:tcPr>
          <w:p w14:paraId="00BB17E0" w14:textId="77777777" w:rsidR="00404BB9" w:rsidRDefault="00404BB9">
            <w:pPr>
              <w:pStyle w:val="TableText"/>
              <w:framePr w:hSpace="181" w:wrap="notBeside" w:vAnchor="text" w:hAnchor="page" w:xAlign="center" w:y="1"/>
              <w:spacing w:before="160" w:after="160"/>
              <w:jc w:val="left"/>
            </w:pPr>
          </w:p>
        </w:tc>
        <w:tc>
          <w:tcPr>
            <w:tcW w:w="3402" w:type="dxa"/>
            <w:tcBorders>
              <w:top w:val="single" w:sz="6" w:space="0" w:color="auto"/>
              <w:left w:val="single" w:sz="6" w:space="0" w:color="auto"/>
              <w:right w:val="single" w:sz="6" w:space="0" w:color="auto"/>
            </w:tcBorders>
          </w:tcPr>
          <w:p w14:paraId="248F9729" w14:textId="77777777" w:rsidR="00404BB9" w:rsidRDefault="00404BB9">
            <w:pPr>
              <w:pStyle w:val="TableText"/>
              <w:framePr w:hSpace="181" w:wrap="notBeside" w:vAnchor="text" w:hAnchor="page" w:xAlign="center" w:y="1"/>
              <w:spacing w:before="160" w:after="160" w:line="240" w:lineRule="auto"/>
              <w:jc w:val="center"/>
            </w:pPr>
            <w:r>
              <w:t>Cas 2:</w:t>
            </w:r>
          </w:p>
        </w:tc>
        <w:tc>
          <w:tcPr>
            <w:tcW w:w="3402" w:type="dxa"/>
            <w:tcBorders>
              <w:top w:val="single" w:sz="6" w:space="0" w:color="auto"/>
              <w:left w:val="single" w:sz="6" w:space="0" w:color="auto"/>
            </w:tcBorders>
          </w:tcPr>
          <w:p w14:paraId="33A6CEDF" w14:textId="77777777" w:rsidR="00404BB9" w:rsidRDefault="00404BB9">
            <w:pPr>
              <w:pStyle w:val="Equation"/>
              <w:framePr w:hSpace="181" w:wrap="notBeside" w:vAnchor="text" w:hAnchor="page" w:xAlign="center" w:y="1"/>
              <w:spacing w:before="160" w:after="160"/>
              <w:rPr>
                <w:sz w:val="18"/>
              </w:rPr>
            </w:pPr>
          </w:p>
        </w:tc>
        <w:tc>
          <w:tcPr>
            <w:tcW w:w="1304" w:type="dxa"/>
            <w:tcBorders>
              <w:top w:val="single" w:sz="6" w:space="0" w:color="auto"/>
              <w:left w:val="single" w:sz="6" w:space="0" w:color="auto"/>
              <w:right w:val="single" w:sz="6" w:space="0" w:color="auto"/>
            </w:tcBorders>
          </w:tcPr>
          <w:p w14:paraId="215B113A" w14:textId="77777777" w:rsidR="00404BB9" w:rsidRDefault="00404BB9">
            <w:pPr>
              <w:pStyle w:val="TableText"/>
              <w:framePr w:hSpace="181" w:wrap="notBeside" w:vAnchor="text" w:hAnchor="page" w:xAlign="center" w:y="1"/>
              <w:spacing w:before="160" w:after="160"/>
              <w:jc w:val="center"/>
            </w:pPr>
            <w:r>
              <w:t>3M36P0N</w:t>
            </w:r>
          </w:p>
        </w:tc>
      </w:tr>
      <w:tr w:rsidR="00404BB9" w14:paraId="6C5A5FF5" w14:textId="77777777">
        <w:trPr>
          <w:cantSplit/>
          <w:jc w:val="center"/>
        </w:trPr>
        <w:tc>
          <w:tcPr>
            <w:tcW w:w="1418" w:type="dxa"/>
            <w:tcBorders>
              <w:left w:val="single" w:sz="6" w:space="0" w:color="auto"/>
              <w:right w:val="single" w:sz="6" w:space="0" w:color="auto"/>
            </w:tcBorders>
          </w:tcPr>
          <w:p w14:paraId="397D6D17" w14:textId="77777777" w:rsidR="00404BB9" w:rsidRDefault="00404BB9">
            <w:pPr>
              <w:pStyle w:val="TableText"/>
              <w:framePr w:hSpace="181" w:wrap="notBeside" w:vAnchor="text" w:hAnchor="page" w:xAlign="center" w:y="1"/>
              <w:spacing w:before="160" w:after="160"/>
              <w:jc w:val="left"/>
            </w:pPr>
          </w:p>
        </w:tc>
        <w:tc>
          <w:tcPr>
            <w:tcW w:w="3402" w:type="dxa"/>
            <w:tcBorders>
              <w:left w:val="single" w:sz="6" w:space="0" w:color="auto"/>
              <w:right w:val="single" w:sz="6" w:space="0" w:color="auto"/>
            </w:tcBorders>
          </w:tcPr>
          <w:p w14:paraId="1BCECFD8" w14:textId="77777777" w:rsidR="00404BB9" w:rsidRDefault="00404BB9">
            <w:pPr>
              <w:pStyle w:val="TableText"/>
              <w:framePr w:hSpace="181" w:wrap="notBeside" w:vAnchor="text" w:hAnchor="page" w:xAlign="center" w:y="1"/>
              <w:spacing w:before="160" w:after="160" w:line="240" w:lineRule="auto"/>
              <w:jc w:val="left"/>
            </w:pPr>
            <w:r>
              <w:fldChar w:fldCharType="begin"/>
            </w:r>
            <w:r>
              <w:instrText xml:space="preserve">eq </w:instrText>
            </w:r>
            <w:r>
              <w:rPr>
                <w:i/>
              </w:rPr>
              <w:instrText>B</w:instrText>
            </w:r>
            <w:r>
              <w:rPr>
                <w:i/>
                <w:position w:val="-3"/>
                <w:sz w:val="14"/>
              </w:rPr>
              <w:instrText>n</w:instrText>
            </w:r>
            <w:r>
              <w:rPr>
                <w:b/>
              </w:rPr>
              <w:instrText xml:space="preserve">  </w:instrText>
            </w:r>
            <w:r>
              <w:rPr>
                <w:rFonts w:ascii="Symbol" w:hAnsi="Symbol"/>
                <w:b/>
              </w:rPr>
              <w:instrText>=</w:instrText>
            </w:r>
            <w:r>
              <w:rPr>
                <w:b/>
              </w:rPr>
              <w:instrText xml:space="preserve">  </w:instrText>
            </w:r>
            <w:r>
              <w:instrText>1\,27 \r(\f(\f(1,</w:instrText>
            </w:r>
            <w:r>
              <w:rPr>
                <w:i/>
              </w:rPr>
              <w:instrText>t</w:instrText>
            </w:r>
            <w:r>
              <w:rPr>
                <w:i/>
                <w:position w:val="-3"/>
                <w:sz w:val="14"/>
              </w:rPr>
              <w:instrText>r</w:instrText>
            </w:r>
            <w:r>
              <w:instrText xml:space="preserve">)  </w:instrText>
            </w:r>
            <w:r>
              <w:rPr>
                <w:rFonts w:ascii="Symbol" w:hAnsi="Symbol"/>
              </w:rPr>
              <w:instrText>+</w:instrText>
            </w:r>
            <w:r>
              <w:instrText xml:space="preserve">   \f(1,</w:instrText>
            </w:r>
            <w:r>
              <w:rPr>
                <w:i/>
              </w:rPr>
              <w:instrText>t</w:instrText>
            </w:r>
            <w:r>
              <w:rPr>
                <w:i/>
                <w:position w:val="-3"/>
                <w:sz w:val="14"/>
              </w:rPr>
              <w:instrText>f</w:instrText>
            </w:r>
            <w:r>
              <w:instrText>\s\do4()),</w:instrText>
            </w:r>
            <w:r>
              <w:rPr>
                <w:i/>
              </w:rPr>
              <w:instrText>t</w:instrText>
            </w:r>
            <w:r>
              <w:instrText>))</w:instrText>
            </w:r>
            <w:r>
              <w:fldChar w:fldCharType="end"/>
            </w:r>
          </w:p>
        </w:tc>
        <w:tc>
          <w:tcPr>
            <w:tcW w:w="3402" w:type="dxa"/>
            <w:tcBorders>
              <w:left w:val="single" w:sz="6" w:space="0" w:color="auto"/>
            </w:tcBorders>
          </w:tcPr>
          <w:p w14:paraId="680845B1" w14:textId="77777777" w:rsidR="00404BB9" w:rsidRDefault="00404BB9">
            <w:pPr>
              <w:pStyle w:val="TableText"/>
              <w:framePr w:hSpace="181" w:wrap="notBeside" w:vAnchor="text" w:hAnchor="page" w:xAlign="center" w:y="1"/>
              <w:spacing w:before="160" w:after="0"/>
              <w:jc w:val="left"/>
            </w:pPr>
            <w:r>
              <w:rPr>
                <w:i/>
              </w:rPr>
              <w:t>t</w:t>
            </w:r>
            <w:r>
              <w:t>  </w:t>
            </w:r>
            <w:r>
              <w:rPr>
                <w:i/>
              </w:rPr>
              <w:t> </w:t>
            </w:r>
            <w:r>
              <w:rPr>
                <w:rFonts w:ascii="Symbol" w:hAnsi="Symbol"/>
              </w:rPr>
              <w:t></w:t>
            </w:r>
            <w:r>
              <w:t>  3  </w:t>
            </w:r>
            <w:r>
              <w:rPr>
                <w:rFonts w:ascii="Symbol" w:hAnsi="Symbol"/>
              </w:rPr>
              <w:t></w:t>
            </w:r>
            <w:r>
              <w:t>  10</w:t>
            </w:r>
            <w:r>
              <w:rPr>
                <w:position w:val="6"/>
                <w:sz w:val="14"/>
              </w:rPr>
              <w:t>–</w:t>
            </w:r>
            <w:r>
              <w:rPr>
                <w:rFonts w:ascii="Tms Rmn" w:hAnsi="Tms Rmn"/>
                <w:position w:val="6"/>
                <w:sz w:val="8"/>
              </w:rPr>
              <w:t> </w:t>
            </w:r>
            <w:r>
              <w:rPr>
                <w:position w:val="6"/>
                <w:sz w:val="14"/>
              </w:rPr>
              <w:t>6</w:t>
            </w:r>
            <w:r>
              <w:t xml:space="preserve"> s</w:t>
            </w:r>
          </w:p>
          <w:p w14:paraId="2066884B" w14:textId="77777777" w:rsidR="00404BB9" w:rsidRDefault="00404BB9">
            <w:pPr>
              <w:pStyle w:val="TableText"/>
              <w:framePr w:hSpace="181" w:wrap="notBeside" w:vAnchor="text" w:hAnchor="page" w:xAlign="center" w:y="1"/>
              <w:spacing w:before="160" w:after="0"/>
              <w:jc w:val="left"/>
            </w:pPr>
            <w:r>
              <w:rPr>
                <w:i/>
              </w:rPr>
              <w:t>t</w:t>
            </w:r>
            <w:r>
              <w:rPr>
                <w:i/>
                <w:position w:val="-3"/>
                <w:sz w:val="14"/>
              </w:rPr>
              <w:t>r</w:t>
            </w:r>
            <w:r>
              <w:t>  </w:t>
            </w:r>
            <w:r>
              <w:rPr>
                <w:rFonts w:ascii="Symbol" w:hAnsi="Symbol"/>
              </w:rPr>
              <w:t></w:t>
            </w:r>
            <w:r>
              <w:t>  0,06675  </w:t>
            </w:r>
            <w:r>
              <w:rPr>
                <w:rFonts w:ascii="Symbol" w:hAnsi="Symbol"/>
              </w:rPr>
              <w:t></w:t>
            </w:r>
            <w:r>
              <w:t>  10</w:t>
            </w:r>
            <w:r>
              <w:rPr>
                <w:position w:val="6"/>
                <w:sz w:val="14"/>
              </w:rPr>
              <w:t>–</w:t>
            </w:r>
            <w:r>
              <w:rPr>
                <w:rFonts w:ascii="Tms Rmn" w:hAnsi="Tms Rmn"/>
                <w:position w:val="6"/>
                <w:sz w:val="8"/>
              </w:rPr>
              <w:t> </w:t>
            </w:r>
            <w:r>
              <w:rPr>
                <w:position w:val="6"/>
                <w:sz w:val="14"/>
              </w:rPr>
              <w:t>6</w:t>
            </w:r>
            <w:r>
              <w:t> s</w:t>
            </w:r>
          </w:p>
          <w:p w14:paraId="18877BCA" w14:textId="77777777" w:rsidR="00404BB9" w:rsidRDefault="00404BB9">
            <w:pPr>
              <w:pStyle w:val="TableText"/>
              <w:framePr w:hSpace="181" w:wrap="notBeside" w:vAnchor="text" w:hAnchor="page" w:xAlign="center" w:y="1"/>
              <w:spacing w:before="160" w:after="160"/>
              <w:jc w:val="left"/>
            </w:pPr>
            <w:r>
              <w:rPr>
                <w:i/>
              </w:rPr>
              <w:t>t</w:t>
            </w:r>
            <w:r>
              <w:rPr>
                <w:i/>
                <w:position w:val="-3"/>
                <w:sz w:val="14"/>
              </w:rPr>
              <w:t>f</w:t>
            </w:r>
            <w:r>
              <w:t>  </w:t>
            </w:r>
            <w:r>
              <w:rPr>
                <w:rFonts w:ascii="Symbol" w:hAnsi="Symbol"/>
              </w:rPr>
              <w:t></w:t>
            </w:r>
            <w:r>
              <w:t>  0,167  </w:t>
            </w:r>
            <w:r>
              <w:rPr>
                <w:rFonts w:ascii="Symbol" w:hAnsi="Symbol"/>
              </w:rPr>
              <w:t></w:t>
            </w:r>
            <w:r>
              <w:t>  10</w:t>
            </w:r>
            <w:r>
              <w:rPr>
                <w:position w:val="6"/>
                <w:sz w:val="14"/>
              </w:rPr>
              <w:t>–</w:t>
            </w:r>
            <w:r>
              <w:rPr>
                <w:rFonts w:ascii="Tms Rmn" w:hAnsi="Tms Rmn"/>
                <w:position w:val="6"/>
                <w:sz w:val="8"/>
              </w:rPr>
              <w:t> </w:t>
            </w:r>
            <w:r>
              <w:rPr>
                <w:position w:val="6"/>
                <w:sz w:val="14"/>
              </w:rPr>
              <w:t>6</w:t>
            </w:r>
            <w:r>
              <w:t xml:space="preserve"> s</w:t>
            </w:r>
          </w:p>
        </w:tc>
        <w:tc>
          <w:tcPr>
            <w:tcW w:w="1304" w:type="dxa"/>
            <w:tcBorders>
              <w:left w:val="single" w:sz="6" w:space="0" w:color="auto"/>
              <w:right w:val="single" w:sz="6" w:space="0" w:color="auto"/>
            </w:tcBorders>
          </w:tcPr>
          <w:p w14:paraId="20A4C65B" w14:textId="77777777" w:rsidR="00404BB9" w:rsidRDefault="00404BB9">
            <w:pPr>
              <w:pStyle w:val="TableText"/>
              <w:framePr w:hSpace="181" w:wrap="notBeside" w:vAnchor="text" w:hAnchor="page" w:xAlign="center" w:y="1"/>
              <w:spacing w:before="160" w:after="160"/>
              <w:jc w:val="center"/>
            </w:pPr>
          </w:p>
        </w:tc>
      </w:tr>
      <w:tr w:rsidR="00404BB9" w14:paraId="5793AB98" w14:textId="77777777">
        <w:trPr>
          <w:cantSplit/>
          <w:jc w:val="center"/>
        </w:trPr>
        <w:tc>
          <w:tcPr>
            <w:tcW w:w="1418" w:type="dxa"/>
            <w:tcBorders>
              <w:left w:val="single" w:sz="6" w:space="0" w:color="auto"/>
              <w:right w:val="single" w:sz="6" w:space="0" w:color="auto"/>
            </w:tcBorders>
          </w:tcPr>
          <w:p w14:paraId="62201E1B" w14:textId="77777777" w:rsidR="00404BB9" w:rsidRDefault="00404BB9">
            <w:pPr>
              <w:pStyle w:val="TableText"/>
              <w:framePr w:hSpace="181" w:wrap="notBeside" w:vAnchor="text" w:hAnchor="page" w:xAlign="center" w:y="1"/>
              <w:spacing w:before="160" w:after="160"/>
              <w:jc w:val="left"/>
            </w:pPr>
          </w:p>
        </w:tc>
        <w:tc>
          <w:tcPr>
            <w:tcW w:w="3402" w:type="dxa"/>
            <w:tcBorders>
              <w:left w:val="single" w:sz="6" w:space="0" w:color="auto"/>
              <w:bottom w:val="single" w:sz="6" w:space="0" w:color="auto"/>
              <w:right w:val="single" w:sz="6" w:space="0" w:color="auto"/>
            </w:tcBorders>
          </w:tcPr>
          <w:p w14:paraId="052FE56D" w14:textId="77777777" w:rsidR="00404BB9" w:rsidRDefault="00404BB9">
            <w:pPr>
              <w:pStyle w:val="TableText"/>
              <w:framePr w:hSpace="181" w:wrap="notBeside" w:vAnchor="text" w:hAnchor="page" w:xAlign="center" w:y="1"/>
              <w:spacing w:before="160" w:after="160" w:line="240" w:lineRule="auto"/>
              <w:jc w:val="left"/>
            </w:pPr>
            <w:r>
              <w:t>à 20 dB au-dessous de la valeur de crête de l'enveloppe du spectre d'une impulsion trapézoïdale dissymétrique</w:t>
            </w:r>
          </w:p>
        </w:tc>
        <w:tc>
          <w:tcPr>
            <w:tcW w:w="3402" w:type="dxa"/>
            <w:tcBorders>
              <w:left w:val="single" w:sz="6" w:space="0" w:color="auto"/>
              <w:bottom w:val="single" w:sz="6" w:space="0" w:color="auto"/>
            </w:tcBorders>
          </w:tcPr>
          <w:p w14:paraId="1981447E" w14:textId="77777777" w:rsidR="00404BB9" w:rsidRDefault="00404BB9">
            <w:pPr>
              <w:pStyle w:val="TableText"/>
              <w:framePr w:hSpace="181" w:wrap="notBeside" w:vAnchor="text" w:hAnchor="page" w:xAlign="center" w:y="1"/>
              <w:spacing w:before="160" w:after="160"/>
            </w:pPr>
            <w:r>
              <w:t>Largeur de bande:  3,36  </w:t>
            </w:r>
            <w:r>
              <w:rPr>
                <w:rFonts w:ascii="Symbol" w:hAnsi="Symbol"/>
              </w:rPr>
              <w:t></w:t>
            </w:r>
            <w:r>
              <w:t>  10</w:t>
            </w:r>
            <w:r>
              <w:rPr>
                <w:position w:val="6"/>
                <w:sz w:val="14"/>
              </w:rPr>
              <w:t>6</w:t>
            </w:r>
            <w:r>
              <w:t xml:space="preserve"> Hz</w:t>
            </w:r>
          </w:p>
        </w:tc>
        <w:tc>
          <w:tcPr>
            <w:tcW w:w="1304" w:type="dxa"/>
            <w:tcBorders>
              <w:left w:val="single" w:sz="6" w:space="0" w:color="auto"/>
              <w:bottom w:val="single" w:sz="6" w:space="0" w:color="auto"/>
              <w:right w:val="single" w:sz="6" w:space="0" w:color="auto"/>
            </w:tcBorders>
          </w:tcPr>
          <w:p w14:paraId="0F2D4A9A" w14:textId="77777777" w:rsidR="00404BB9" w:rsidRDefault="00404BB9">
            <w:pPr>
              <w:pStyle w:val="TableText"/>
              <w:framePr w:hSpace="181" w:wrap="notBeside" w:vAnchor="text" w:hAnchor="page" w:xAlign="center" w:y="1"/>
              <w:spacing w:before="160" w:after="160"/>
              <w:jc w:val="center"/>
            </w:pPr>
          </w:p>
        </w:tc>
      </w:tr>
      <w:tr w:rsidR="00404BB9" w14:paraId="2878B247" w14:textId="77777777">
        <w:trPr>
          <w:cantSplit/>
          <w:jc w:val="center"/>
        </w:trPr>
        <w:tc>
          <w:tcPr>
            <w:tcW w:w="1418" w:type="dxa"/>
            <w:tcBorders>
              <w:left w:val="single" w:sz="6" w:space="0" w:color="auto"/>
              <w:right w:val="single" w:sz="6" w:space="0" w:color="auto"/>
            </w:tcBorders>
          </w:tcPr>
          <w:p w14:paraId="572AC228" w14:textId="77777777" w:rsidR="00404BB9" w:rsidRDefault="00404BB9">
            <w:pPr>
              <w:pStyle w:val="TableText"/>
              <w:framePr w:hSpace="181" w:wrap="notBeside" w:vAnchor="text" w:hAnchor="page" w:xAlign="center" w:y="1"/>
              <w:spacing w:before="160" w:after="160"/>
              <w:jc w:val="left"/>
            </w:pPr>
          </w:p>
        </w:tc>
        <w:tc>
          <w:tcPr>
            <w:tcW w:w="3402" w:type="dxa"/>
            <w:tcBorders>
              <w:top w:val="single" w:sz="6" w:space="0" w:color="auto"/>
              <w:left w:val="single" w:sz="6" w:space="0" w:color="auto"/>
              <w:right w:val="single" w:sz="6" w:space="0" w:color="auto"/>
            </w:tcBorders>
          </w:tcPr>
          <w:p w14:paraId="1E674D81" w14:textId="77777777" w:rsidR="00404BB9" w:rsidRDefault="00404BB9">
            <w:pPr>
              <w:pStyle w:val="TableText"/>
              <w:framePr w:hSpace="181" w:wrap="notBeside" w:vAnchor="text" w:hAnchor="page" w:xAlign="center" w:y="1"/>
              <w:spacing w:before="160" w:after="160" w:line="240" w:lineRule="auto"/>
              <w:jc w:val="center"/>
            </w:pPr>
            <w:r>
              <w:t>Cas 3:</w:t>
            </w:r>
          </w:p>
        </w:tc>
        <w:tc>
          <w:tcPr>
            <w:tcW w:w="3402" w:type="dxa"/>
            <w:tcBorders>
              <w:top w:val="single" w:sz="6" w:space="0" w:color="auto"/>
              <w:left w:val="single" w:sz="6" w:space="0" w:color="auto"/>
            </w:tcBorders>
          </w:tcPr>
          <w:p w14:paraId="7C150096" w14:textId="77777777" w:rsidR="00404BB9" w:rsidRDefault="00404BB9">
            <w:pPr>
              <w:pStyle w:val="TableText"/>
            </w:pPr>
          </w:p>
        </w:tc>
        <w:tc>
          <w:tcPr>
            <w:tcW w:w="1304" w:type="dxa"/>
            <w:tcBorders>
              <w:top w:val="single" w:sz="6" w:space="0" w:color="auto"/>
              <w:left w:val="single" w:sz="6" w:space="0" w:color="auto"/>
              <w:right w:val="single" w:sz="6" w:space="0" w:color="auto"/>
            </w:tcBorders>
          </w:tcPr>
          <w:p w14:paraId="4CC47992" w14:textId="77777777" w:rsidR="00404BB9" w:rsidRDefault="00404BB9">
            <w:pPr>
              <w:pStyle w:val="TableText"/>
              <w:framePr w:hSpace="181" w:wrap="notBeside" w:vAnchor="text" w:hAnchor="page" w:xAlign="center" w:y="1"/>
              <w:spacing w:before="160" w:after="160"/>
              <w:jc w:val="center"/>
            </w:pPr>
            <w:r>
              <w:t>4M50P0N</w:t>
            </w:r>
          </w:p>
        </w:tc>
      </w:tr>
      <w:tr w:rsidR="00404BB9" w14:paraId="3D000A29" w14:textId="77777777">
        <w:trPr>
          <w:cantSplit/>
          <w:jc w:val="center"/>
        </w:trPr>
        <w:tc>
          <w:tcPr>
            <w:tcW w:w="1418" w:type="dxa"/>
            <w:tcBorders>
              <w:left w:val="single" w:sz="6" w:space="0" w:color="auto"/>
              <w:right w:val="single" w:sz="6" w:space="0" w:color="auto"/>
            </w:tcBorders>
          </w:tcPr>
          <w:p w14:paraId="395C1846" w14:textId="77777777" w:rsidR="00404BB9" w:rsidRDefault="00404BB9">
            <w:pPr>
              <w:pStyle w:val="TableText"/>
              <w:framePr w:hSpace="181" w:wrap="notBeside" w:vAnchor="text" w:hAnchor="page" w:xAlign="center" w:y="1"/>
              <w:spacing w:before="160" w:after="160"/>
              <w:jc w:val="left"/>
            </w:pPr>
          </w:p>
        </w:tc>
        <w:tc>
          <w:tcPr>
            <w:tcW w:w="3402" w:type="dxa"/>
            <w:tcBorders>
              <w:left w:val="single" w:sz="6" w:space="0" w:color="auto"/>
              <w:right w:val="single" w:sz="6" w:space="0" w:color="auto"/>
            </w:tcBorders>
          </w:tcPr>
          <w:p w14:paraId="1D1BFE0A" w14:textId="77777777" w:rsidR="00404BB9" w:rsidRDefault="00404BB9">
            <w:pPr>
              <w:pStyle w:val="TableText"/>
              <w:framePr w:hSpace="181" w:wrap="notBeside" w:vAnchor="text" w:hAnchor="page" w:xAlign="center" w:y="1"/>
              <w:spacing w:before="160" w:after="160" w:line="240" w:lineRule="auto"/>
              <w:jc w:val="left"/>
            </w:pPr>
            <w:r>
              <w:fldChar w:fldCharType="begin"/>
            </w:r>
            <w:r>
              <w:instrText xml:space="preserve">eq </w:instrText>
            </w:r>
            <w:r>
              <w:rPr>
                <w:i/>
              </w:rPr>
              <w:instrText>B</w:instrText>
            </w:r>
            <w:r>
              <w:rPr>
                <w:i/>
                <w:position w:val="-3"/>
                <w:sz w:val="14"/>
              </w:rPr>
              <w:instrText>n</w:instrText>
            </w:r>
            <w:r>
              <w:rPr>
                <w:b/>
              </w:rPr>
              <w:instrText xml:space="preserve">  </w:instrText>
            </w:r>
            <w:r>
              <w:rPr>
                <w:rFonts w:ascii="Symbol" w:hAnsi="Symbol"/>
                <w:b/>
              </w:rPr>
              <w:instrText>=</w:instrText>
            </w:r>
            <w:r>
              <w:rPr>
                <w:b/>
              </w:rPr>
              <w:instrText xml:space="preserve">  </w:instrText>
            </w:r>
            <w:r>
              <w:instrText>\f(6\,36,</w:instrText>
            </w:r>
            <w:r>
              <w:rPr>
                <w:i/>
              </w:rPr>
              <w:instrText>t</w:instrText>
            </w:r>
            <w:r>
              <w:instrText>)</w:instrText>
            </w:r>
            <w:r>
              <w:fldChar w:fldCharType="end"/>
            </w:r>
            <w:r>
              <w:t xml:space="preserve">     </w:t>
            </w:r>
            <w:r>
              <w:rPr>
                <w:color w:val="000000"/>
              </w:rPr>
              <w:t>Hz</w:t>
            </w:r>
          </w:p>
        </w:tc>
        <w:tc>
          <w:tcPr>
            <w:tcW w:w="3402" w:type="dxa"/>
            <w:tcBorders>
              <w:left w:val="single" w:sz="6" w:space="0" w:color="auto"/>
            </w:tcBorders>
          </w:tcPr>
          <w:p w14:paraId="55ED797B" w14:textId="77777777" w:rsidR="00404BB9" w:rsidRDefault="00404BB9">
            <w:pPr>
              <w:pStyle w:val="TableText"/>
              <w:framePr w:hSpace="181" w:wrap="notBeside" w:vAnchor="text" w:hAnchor="page" w:xAlign="center" w:y="1"/>
              <w:spacing w:before="160" w:after="0"/>
              <w:jc w:val="left"/>
            </w:pPr>
            <w:r>
              <w:rPr>
                <w:i/>
              </w:rPr>
              <w:t>t</w:t>
            </w:r>
            <w:r>
              <w:t>    </w:t>
            </w:r>
            <w:r>
              <w:rPr>
                <w:rFonts w:ascii="Symbol" w:hAnsi="Symbol"/>
              </w:rPr>
              <w:t></w:t>
            </w:r>
            <w:r>
              <w:t>  1,41  </w:t>
            </w:r>
            <w:r>
              <w:rPr>
                <w:rFonts w:ascii="Symbol" w:hAnsi="Symbol"/>
              </w:rPr>
              <w:t></w:t>
            </w:r>
            <w:r>
              <w:t>  10</w:t>
            </w:r>
            <w:r>
              <w:rPr>
                <w:position w:val="6"/>
                <w:sz w:val="14"/>
              </w:rPr>
              <w:t>–</w:t>
            </w:r>
            <w:r>
              <w:rPr>
                <w:rFonts w:ascii="Tms Rmn" w:hAnsi="Tms Rmn"/>
                <w:position w:val="6"/>
                <w:sz w:val="8"/>
              </w:rPr>
              <w:t> </w:t>
            </w:r>
            <w:r>
              <w:rPr>
                <w:position w:val="6"/>
                <w:sz w:val="14"/>
              </w:rPr>
              <w:t>6</w:t>
            </w:r>
            <w:r>
              <w:t xml:space="preserve"> s</w:t>
            </w:r>
          </w:p>
          <w:p w14:paraId="125A5833" w14:textId="77777777" w:rsidR="00404BB9" w:rsidRDefault="00404BB9">
            <w:pPr>
              <w:pStyle w:val="TableText"/>
              <w:framePr w:hSpace="181" w:wrap="notBeside" w:vAnchor="text" w:hAnchor="page" w:xAlign="center" w:y="1"/>
              <w:spacing w:before="160" w:after="160"/>
              <w:jc w:val="left"/>
              <w:rPr>
                <w:i/>
              </w:rPr>
            </w:pPr>
            <w:r>
              <w:rPr>
                <w:i/>
              </w:rPr>
              <w:t>B</w:t>
            </w:r>
            <w:r>
              <w:rPr>
                <w:i/>
                <w:position w:val="-3"/>
                <w:sz w:val="14"/>
              </w:rPr>
              <w:t>n</w:t>
            </w:r>
            <w:r>
              <w:t>  </w:t>
            </w:r>
            <w:r>
              <w:rPr>
                <w:rFonts w:ascii="Symbol" w:hAnsi="Symbol"/>
              </w:rPr>
              <w:t></w:t>
            </w:r>
            <w:r>
              <w:t>  4,5  </w:t>
            </w:r>
            <w:r>
              <w:rPr>
                <w:rFonts w:ascii="Symbol" w:hAnsi="Symbol"/>
              </w:rPr>
              <w:t></w:t>
            </w:r>
            <w:r>
              <w:t>  10</w:t>
            </w:r>
            <w:r>
              <w:rPr>
                <w:position w:val="6"/>
                <w:sz w:val="14"/>
              </w:rPr>
              <w:t>6</w:t>
            </w:r>
            <w:r>
              <w:t xml:space="preserve"> Hz</w:t>
            </w:r>
          </w:p>
        </w:tc>
        <w:tc>
          <w:tcPr>
            <w:tcW w:w="1304" w:type="dxa"/>
            <w:tcBorders>
              <w:left w:val="single" w:sz="6" w:space="0" w:color="auto"/>
              <w:right w:val="single" w:sz="6" w:space="0" w:color="auto"/>
            </w:tcBorders>
          </w:tcPr>
          <w:p w14:paraId="2EF66150" w14:textId="77777777" w:rsidR="00404BB9" w:rsidRDefault="00404BB9">
            <w:pPr>
              <w:pStyle w:val="TableText"/>
              <w:framePr w:hSpace="181" w:wrap="notBeside" w:vAnchor="text" w:hAnchor="page" w:xAlign="center" w:y="1"/>
              <w:spacing w:before="160" w:after="160"/>
              <w:jc w:val="center"/>
            </w:pPr>
          </w:p>
        </w:tc>
      </w:tr>
      <w:tr w:rsidR="00404BB9" w14:paraId="4F200C06" w14:textId="77777777">
        <w:trPr>
          <w:cantSplit/>
          <w:jc w:val="center"/>
        </w:trPr>
        <w:tc>
          <w:tcPr>
            <w:tcW w:w="1418" w:type="dxa"/>
            <w:tcBorders>
              <w:left w:val="single" w:sz="6" w:space="0" w:color="auto"/>
              <w:bottom w:val="single" w:sz="6" w:space="0" w:color="auto"/>
              <w:right w:val="single" w:sz="6" w:space="0" w:color="auto"/>
            </w:tcBorders>
          </w:tcPr>
          <w:p w14:paraId="4592A767" w14:textId="77777777" w:rsidR="00404BB9" w:rsidRDefault="00404BB9">
            <w:pPr>
              <w:pStyle w:val="TableText"/>
              <w:framePr w:hSpace="181" w:wrap="notBeside" w:vAnchor="text" w:hAnchor="page" w:xAlign="center" w:y="1"/>
              <w:spacing w:before="160" w:after="160"/>
              <w:jc w:val="left"/>
            </w:pPr>
          </w:p>
        </w:tc>
        <w:tc>
          <w:tcPr>
            <w:tcW w:w="3402" w:type="dxa"/>
            <w:tcBorders>
              <w:left w:val="single" w:sz="6" w:space="0" w:color="auto"/>
              <w:bottom w:val="single" w:sz="6" w:space="0" w:color="auto"/>
              <w:right w:val="single" w:sz="6" w:space="0" w:color="auto"/>
            </w:tcBorders>
          </w:tcPr>
          <w:p w14:paraId="262CF276" w14:textId="77777777" w:rsidR="00404BB9" w:rsidRDefault="00404BB9">
            <w:pPr>
              <w:pStyle w:val="TableText"/>
              <w:framePr w:hSpace="181" w:wrap="notBeside" w:vAnchor="text" w:hAnchor="page" w:xAlign="center" w:y="1"/>
              <w:spacing w:before="160" w:after="160" w:line="240" w:lineRule="auto"/>
              <w:jc w:val="left"/>
            </w:pPr>
            <w:r>
              <w:t>à 20 dB au-dessous de la valeur de crête de l'enveloppe du spectre d'une impulsion rectangulaire (idéale)</w:t>
            </w:r>
          </w:p>
        </w:tc>
        <w:tc>
          <w:tcPr>
            <w:tcW w:w="3402" w:type="dxa"/>
            <w:tcBorders>
              <w:left w:val="single" w:sz="6" w:space="0" w:color="auto"/>
              <w:bottom w:val="single" w:sz="6" w:space="0" w:color="auto"/>
            </w:tcBorders>
          </w:tcPr>
          <w:p w14:paraId="255E5CC1" w14:textId="77777777" w:rsidR="00404BB9" w:rsidRDefault="00404BB9">
            <w:pPr>
              <w:pStyle w:val="TableText"/>
            </w:pPr>
          </w:p>
        </w:tc>
        <w:tc>
          <w:tcPr>
            <w:tcW w:w="1304" w:type="dxa"/>
            <w:tcBorders>
              <w:left w:val="single" w:sz="6" w:space="0" w:color="auto"/>
              <w:bottom w:val="single" w:sz="6" w:space="0" w:color="auto"/>
              <w:right w:val="single" w:sz="6" w:space="0" w:color="auto"/>
            </w:tcBorders>
          </w:tcPr>
          <w:p w14:paraId="30192152" w14:textId="77777777" w:rsidR="00404BB9" w:rsidRDefault="00404BB9">
            <w:pPr>
              <w:pStyle w:val="TableText"/>
              <w:framePr w:hSpace="181" w:wrap="notBeside" w:vAnchor="text" w:hAnchor="page" w:xAlign="center" w:y="1"/>
              <w:spacing w:before="160" w:after="160"/>
              <w:jc w:val="center"/>
            </w:pPr>
          </w:p>
        </w:tc>
      </w:tr>
    </w:tbl>
    <w:p w14:paraId="1B7A15BA" w14:textId="77777777" w:rsidR="00404BB9" w:rsidRDefault="00404BB9">
      <w:pPr>
        <w:pStyle w:val="Tablefin"/>
      </w:pPr>
    </w:p>
    <w:p w14:paraId="35A0485A" w14:textId="77777777" w:rsidR="00404BB9" w:rsidRDefault="00404BB9">
      <w:r>
        <w:t>La méthode utilisée pour déterminer la largeur de bande nécessaire pour des impulsions non modulées est donnée dans l'Annexe 2.</w:t>
      </w:r>
    </w:p>
    <w:p w14:paraId="61047EFB" w14:textId="77777777" w:rsidR="00404BB9" w:rsidRDefault="00404BB9">
      <w:pPr>
        <w:pStyle w:val="Heading1"/>
      </w:pPr>
      <w:r>
        <w:lastRenderedPageBreak/>
        <w:t>3</w:t>
      </w:r>
      <w:r>
        <w:tab/>
        <w:t>Modulation numérique</w:t>
      </w:r>
    </w:p>
    <w:p w14:paraId="04885EAB" w14:textId="77777777" w:rsidR="00404BB9" w:rsidRDefault="00404BB9">
      <w:r>
        <w:t xml:space="preserve">Dans le Tableau 2 figurent la largeur de bande nécessaire et un certain nombre de valeurs de </w:t>
      </w:r>
      <w:r>
        <w:rPr>
          <w:i/>
        </w:rPr>
        <w:t>K</w:t>
      </w:r>
      <w:r>
        <w:t xml:space="preserve"> données à titre d'exemple pour plusieurs modulations numériques.</w:t>
      </w:r>
    </w:p>
    <w:p w14:paraId="7EA486C8" w14:textId="77777777" w:rsidR="00404BB9" w:rsidRDefault="00404BB9">
      <w:r>
        <w:t>Les méthodes utilisées pour déterminer les largeurs de bande nécessaires en cas de modulation numérique sont données dans l'Annexe 3.</w:t>
      </w:r>
    </w:p>
    <w:p w14:paraId="08D39D7F" w14:textId="77777777" w:rsidR="00404BB9" w:rsidRDefault="00404BB9">
      <w:pPr>
        <w:pStyle w:val="Table"/>
      </w:pPr>
      <w:r>
        <w:t>TABLEAU  2</w:t>
      </w:r>
    </w:p>
    <w:p w14:paraId="394DC7E9" w14:textId="77777777" w:rsidR="00404BB9" w:rsidRDefault="00404BB9">
      <w:pPr>
        <w:pStyle w:val="TableTitle"/>
      </w:pPr>
      <w:r>
        <w:t>Modulation numérique</w:t>
      </w:r>
    </w:p>
    <w:p w14:paraId="77FB0703" w14:textId="77777777" w:rsidR="00404BB9" w:rsidRDefault="00404BB9">
      <w:pPr>
        <w:pStyle w:val="Blanc"/>
      </w:pPr>
    </w:p>
    <w:tbl>
      <w:tblPr>
        <w:tblW w:w="0" w:type="auto"/>
        <w:jc w:val="center"/>
        <w:tblBorders>
          <w:top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2552"/>
        <w:gridCol w:w="1871"/>
        <w:gridCol w:w="1871"/>
      </w:tblGrid>
      <w:tr w:rsidR="00404BB9" w14:paraId="4EDF8C77" w14:textId="77777777">
        <w:trPr>
          <w:cantSplit/>
          <w:jc w:val="center"/>
        </w:trPr>
        <w:tc>
          <w:tcPr>
            <w:tcW w:w="3119" w:type="dxa"/>
            <w:tcBorders>
              <w:left w:val="single" w:sz="6" w:space="0" w:color="auto"/>
              <w:bottom w:val="single" w:sz="6" w:space="0" w:color="auto"/>
            </w:tcBorders>
          </w:tcPr>
          <w:p w14:paraId="74490854" w14:textId="77777777" w:rsidR="00404BB9" w:rsidRDefault="00404BB9">
            <w:pPr>
              <w:pStyle w:val="TableText"/>
              <w:framePr w:hSpace="181" w:wrap="notBeside" w:vAnchor="text" w:hAnchor="page" w:xAlign="center" w:y="1"/>
              <w:spacing w:before="160" w:after="160"/>
              <w:jc w:val="center"/>
            </w:pPr>
            <w:r>
              <w:br/>
              <w:t>Modulation et conditions</w:t>
            </w:r>
          </w:p>
        </w:tc>
        <w:tc>
          <w:tcPr>
            <w:tcW w:w="2552" w:type="dxa"/>
          </w:tcPr>
          <w:p w14:paraId="30D183AA" w14:textId="77777777" w:rsidR="00404BB9" w:rsidRDefault="00404BB9">
            <w:pPr>
              <w:pStyle w:val="TableText"/>
              <w:framePr w:hSpace="181" w:wrap="notBeside" w:vAnchor="text" w:hAnchor="page" w:xAlign="center" w:y="1"/>
              <w:spacing w:before="160" w:after="160"/>
              <w:jc w:val="center"/>
            </w:pPr>
            <w:r>
              <w:t>Formule pour la détermination de la largeur de bande nécessaire</w:t>
            </w:r>
          </w:p>
        </w:tc>
        <w:tc>
          <w:tcPr>
            <w:tcW w:w="1871" w:type="dxa"/>
          </w:tcPr>
          <w:p w14:paraId="70B4E20D" w14:textId="77777777" w:rsidR="00404BB9" w:rsidRDefault="00404BB9">
            <w:pPr>
              <w:pStyle w:val="TableText"/>
              <w:framePr w:hSpace="181" w:wrap="notBeside" w:vAnchor="text" w:hAnchor="page" w:xAlign="center" w:y="1"/>
              <w:spacing w:before="240" w:after="160"/>
              <w:jc w:val="center"/>
            </w:pPr>
            <w:r>
              <w:t xml:space="preserve">Valeur de </w:t>
            </w:r>
            <w:r>
              <w:rPr>
                <w:i/>
                <w:smallCaps/>
              </w:rPr>
              <w:t>K</w:t>
            </w:r>
            <w:r>
              <w:rPr>
                <w:smallCaps/>
              </w:rPr>
              <w:t xml:space="preserve"> </w:t>
            </w:r>
            <w:r>
              <w:t>donnée</w:t>
            </w:r>
            <w:r>
              <w:br/>
              <w:t>à titre d'exemple</w:t>
            </w:r>
          </w:p>
        </w:tc>
        <w:tc>
          <w:tcPr>
            <w:tcW w:w="1871" w:type="dxa"/>
            <w:tcBorders>
              <w:bottom w:val="single" w:sz="6" w:space="0" w:color="auto"/>
              <w:right w:val="single" w:sz="6" w:space="0" w:color="auto"/>
            </w:tcBorders>
          </w:tcPr>
          <w:p w14:paraId="66510FFF" w14:textId="77777777" w:rsidR="00404BB9" w:rsidRDefault="00404BB9">
            <w:pPr>
              <w:pStyle w:val="TableText"/>
              <w:framePr w:hSpace="181" w:wrap="notBeside" w:vAnchor="text" w:hAnchor="page" w:xAlign="center" w:y="1"/>
              <w:spacing w:before="160" w:after="160"/>
              <w:jc w:val="center"/>
            </w:pPr>
            <w:r>
              <w:t>Pourcentage de confinement dans la largeur de bande</w:t>
            </w:r>
            <w:r>
              <w:rPr>
                <w:position w:val="6"/>
                <w:sz w:val="14"/>
              </w:rPr>
              <w:t>(1)</w:t>
            </w:r>
          </w:p>
        </w:tc>
      </w:tr>
      <w:tr w:rsidR="00404BB9" w14:paraId="3BFAEB7C" w14:textId="77777777">
        <w:trPr>
          <w:cantSplit/>
          <w:jc w:val="center"/>
        </w:trPr>
        <w:tc>
          <w:tcPr>
            <w:tcW w:w="3119" w:type="dxa"/>
            <w:tcBorders>
              <w:left w:val="single" w:sz="6" w:space="0" w:color="auto"/>
              <w:bottom w:val="single" w:sz="6" w:space="0" w:color="auto"/>
            </w:tcBorders>
          </w:tcPr>
          <w:p w14:paraId="711CA178" w14:textId="77777777" w:rsidR="00404BB9" w:rsidRDefault="00404BB9">
            <w:pPr>
              <w:pStyle w:val="TableText"/>
              <w:framePr w:hSpace="181" w:wrap="notBeside" w:vAnchor="text" w:hAnchor="page" w:xAlign="center" w:y="1"/>
              <w:spacing w:before="160" w:after="160"/>
              <w:jc w:val="left"/>
            </w:pPr>
            <w:r>
              <w:t>MDP-2 (non filtrée)</w:t>
            </w:r>
            <w:r>
              <w:br/>
            </w:r>
            <w:r>
              <w:rPr>
                <w:i/>
              </w:rPr>
              <w:t>S</w:t>
            </w:r>
            <w:r>
              <w:t xml:space="preserve">  </w:t>
            </w:r>
            <w:r>
              <w:rPr>
                <w:rFonts w:ascii="Symbol" w:hAnsi="Symbol"/>
              </w:rPr>
              <w:t></w:t>
            </w:r>
            <w:r>
              <w:t xml:space="preserve">  2  (calculée)</w:t>
            </w:r>
          </w:p>
        </w:tc>
        <w:tc>
          <w:tcPr>
            <w:tcW w:w="2552" w:type="dxa"/>
          </w:tcPr>
          <w:p w14:paraId="726B7C8A" w14:textId="77777777" w:rsidR="00404BB9" w:rsidRDefault="00404BB9">
            <w:pPr>
              <w:pStyle w:val="TableText"/>
              <w:framePr w:hSpace="181" w:wrap="notBeside" w:vAnchor="text" w:hAnchor="page" w:xAlign="center" w:y="1"/>
              <w:spacing w:before="160" w:after="160" w:line="240" w:lineRule="auto"/>
              <w:jc w:val="center"/>
            </w:pPr>
            <w:r>
              <w:fldChar w:fldCharType="begin"/>
            </w:r>
            <w:r>
              <w:instrText xml:space="preserve">eq </w:instrText>
            </w:r>
            <w:r>
              <w:rPr>
                <w:i/>
              </w:rPr>
              <w:instrText>B</w:instrText>
            </w:r>
            <w:r>
              <w:rPr>
                <w:i/>
                <w:position w:val="-3"/>
                <w:sz w:val="14"/>
              </w:rPr>
              <w:instrText>n</w:instrText>
            </w:r>
            <w:r>
              <w:instrText xml:space="preserve">  </w:instrText>
            </w:r>
            <w:r>
              <w:rPr>
                <w:rFonts w:ascii="Symbol" w:hAnsi="Symbol"/>
              </w:rPr>
              <w:instrText>=</w:instrText>
            </w:r>
            <w:r>
              <w:instrText xml:space="preserve">  \f(2 </w:instrText>
            </w:r>
            <w:r>
              <w:rPr>
                <w:i/>
              </w:rPr>
              <w:instrText>RK</w:instrText>
            </w:r>
            <w:r>
              <w:instrText>,log</w:instrText>
            </w:r>
            <w:r>
              <w:rPr>
                <w:position w:val="-3"/>
                <w:sz w:val="14"/>
              </w:rPr>
              <w:instrText>2</w:instrText>
            </w:r>
            <w:r>
              <w:instrText xml:space="preserve"> </w:instrText>
            </w:r>
            <w:r>
              <w:rPr>
                <w:i/>
              </w:rPr>
              <w:instrText>S</w:instrText>
            </w:r>
            <w:r>
              <w:instrText>)</w:instrText>
            </w:r>
            <w:r>
              <w:fldChar w:fldCharType="end"/>
            </w:r>
          </w:p>
        </w:tc>
        <w:tc>
          <w:tcPr>
            <w:tcW w:w="1871" w:type="dxa"/>
          </w:tcPr>
          <w:p w14:paraId="2095B564" w14:textId="77777777" w:rsidR="00404BB9" w:rsidRDefault="00404BB9">
            <w:pPr>
              <w:pStyle w:val="TableText"/>
              <w:framePr w:hSpace="181" w:wrap="notBeside" w:vAnchor="text" w:hAnchor="page" w:xAlign="center" w:y="1"/>
              <w:tabs>
                <w:tab w:val="clear" w:pos="794"/>
                <w:tab w:val="clear" w:pos="1191"/>
                <w:tab w:val="clear" w:pos="1588"/>
                <w:tab w:val="clear" w:pos="1985"/>
                <w:tab w:val="decimal" w:pos="737"/>
              </w:tabs>
              <w:spacing w:before="160" w:after="160"/>
              <w:jc w:val="left"/>
            </w:pPr>
            <w:r>
              <w:t>10,28</w:t>
            </w:r>
            <w:r>
              <w:br/>
              <w:t>2,0</w:t>
            </w:r>
          </w:p>
        </w:tc>
        <w:tc>
          <w:tcPr>
            <w:tcW w:w="1871" w:type="dxa"/>
            <w:tcBorders>
              <w:bottom w:val="single" w:sz="6" w:space="0" w:color="auto"/>
              <w:right w:val="single" w:sz="6" w:space="0" w:color="auto"/>
            </w:tcBorders>
          </w:tcPr>
          <w:p w14:paraId="2A5C8F87" w14:textId="77777777" w:rsidR="00404BB9" w:rsidRDefault="00404BB9">
            <w:pPr>
              <w:pStyle w:val="TableText"/>
              <w:framePr w:hSpace="181" w:wrap="notBeside" w:vAnchor="text" w:hAnchor="page" w:xAlign="center" w:y="1"/>
              <w:tabs>
                <w:tab w:val="clear" w:pos="794"/>
                <w:tab w:val="clear" w:pos="1191"/>
                <w:tab w:val="clear" w:pos="1588"/>
                <w:tab w:val="clear" w:pos="1985"/>
                <w:tab w:val="decimal" w:pos="907"/>
              </w:tabs>
              <w:spacing w:before="160" w:after="160"/>
              <w:jc w:val="left"/>
            </w:pPr>
            <w:r>
              <w:t>99</w:t>
            </w:r>
            <w:r>
              <w:br/>
              <w:t>95</w:t>
            </w:r>
          </w:p>
        </w:tc>
      </w:tr>
      <w:tr w:rsidR="00404BB9" w14:paraId="4CC32BB1" w14:textId="77777777">
        <w:trPr>
          <w:cantSplit/>
          <w:jc w:val="center"/>
        </w:trPr>
        <w:tc>
          <w:tcPr>
            <w:tcW w:w="3119" w:type="dxa"/>
            <w:tcBorders>
              <w:left w:val="single" w:sz="6" w:space="0" w:color="auto"/>
              <w:bottom w:val="single" w:sz="6" w:space="0" w:color="auto"/>
            </w:tcBorders>
          </w:tcPr>
          <w:p w14:paraId="2428CBCA" w14:textId="77777777" w:rsidR="00404BB9" w:rsidRDefault="00404BB9">
            <w:pPr>
              <w:pStyle w:val="TableText"/>
              <w:framePr w:hSpace="181" w:wrap="notBeside" w:vAnchor="text" w:hAnchor="page" w:xAlign="center" w:y="1"/>
              <w:spacing w:before="160" w:after="160"/>
              <w:jc w:val="left"/>
            </w:pPr>
            <w:r>
              <w:t xml:space="preserve">MDP-2 (filtrée, TEB  </w:t>
            </w:r>
            <w:r>
              <w:rPr>
                <w:rFonts w:ascii="Symbol" w:hAnsi="Symbol"/>
              </w:rPr>
              <w:t></w:t>
            </w:r>
            <w:r>
              <w:t xml:space="preserve">  1  </w:t>
            </w:r>
            <w:r>
              <w:rPr>
                <w:rFonts w:ascii="Symbol" w:hAnsi="Symbol"/>
              </w:rPr>
              <w:t></w:t>
            </w:r>
            <w:r>
              <w:t xml:space="preserve">  10</w:t>
            </w:r>
            <w:r>
              <w:rPr>
                <w:position w:val="6"/>
                <w:sz w:val="14"/>
              </w:rPr>
              <w:t>–3</w:t>
            </w:r>
            <w:r>
              <w:t>)</w:t>
            </w:r>
            <w:r>
              <w:br/>
            </w:r>
            <w:r>
              <w:rPr>
                <w:i/>
              </w:rPr>
              <w:t>S</w:t>
            </w:r>
            <w:r>
              <w:t xml:space="preserve">  </w:t>
            </w:r>
            <w:r>
              <w:rPr>
                <w:rFonts w:ascii="Symbol" w:hAnsi="Symbol"/>
              </w:rPr>
              <w:t></w:t>
            </w:r>
            <w:r>
              <w:t xml:space="preserve">  2  (calculée)</w:t>
            </w:r>
          </w:p>
        </w:tc>
        <w:tc>
          <w:tcPr>
            <w:tcW w:w="2552" w:type="dxa"/>
          </w:tcPr>
          <w:p w14:paraId="4C1ED2C2" w14:textId="77777777" w:rsidR="00404BB9" w:rsidRDefault="00404BB9">
            <w:pPr>
              <w:pStyle w:val="TableText"/>
              <w:framePr w:hSpace="181" w:wrap="notBeside" w:vAnchor="text" w:hAnchor="page" w:xAlign="center" w:y="1"/>
              <w:spacing w:before="160" w:after="160" w:line="240" w:lineRule="auto"/>
              <w:jc w:val="center"/>
            </w:pPr>
            <w:r>
              <w:fldChar w:fldCharType="begin"/>
            </w:r>
            <w:r>
              <w:instrText xml:space="preserve">eq </w:instrText>
            </w:r>
            <w:r>
              <w:rPr>
                <w:i/>
              </w:rPr>
              <w:instrText>B</w:instrText>
            </w:r>
            <w:r>
              <w:rPr>
                <w:i/>
                <w:position w:val="-3"/>
                <w:sz w:val="14"/>
              </w:rPr>
              <w:instrText>n</w:instrText>
            </w:r>
            <w:r>
              <w:instrText xml:space="preserve">  </w:instrText>
            </w:r>
            <w:r>
              <w:rPr>
                <w:rFonts w:ascii="Symbol" w:hAnsi="Symbol"/>
              </w:rPr>
              <w:instrText>=</w:instrText>
            </w:r>
            <w:r>
              <w:instrText xml:space="preserve">  \f(2 </w:instrText>
            </w:r>
            <w:r>
              <w:rPr>
                <w:i/>
              </w:rPr>
              <w:instrText>RK</w:instrText>
            </w:r>
            <w:r>
              <w:instrText>,log</w:instrText>
            </w:r>
            <w:r>
              <w:rPr>
                <w:position w:val="-3"/>
                <w:sz w:val="14"/>
              </w:rPr>
              <w:instrText>2</w:instrText>
            </w:r>
            <w:r>
              <w:instrText xml:space="preserve"> </w:instrText>
            </w:r>
            <w:r>
              <w:rPr>
                <w:i/>
              </w:rPr>
              <w:instrText>S</w:instrText>
            </w:r>
            <w:r>
              <w:instrText>)</w:instrText>
            </w:r>
            <w:r>
              <w:fldChar w:fldCharType="end"/>
            </w:r>
          </w:p>
        </w:tc>
        <w:tc>
          <w:tcPr>
            <w:tcW w:w="1871" w:type="dxa"/>
          </w:tcPr>
          <w:p w14:paraId="5588362A" w14:textId="77777777" w:rsidR="00404BB9" w:rsidRDefault="00404BB9">
            <w:pPr>
              <w:pStyle w:val="TableText"/>
              <w:framePr w:hSpace="181" w:wrap="notBeside" w:vAnchor="text" w:hAnchor="page" w:xAlign="center" w:y="1"/>
              <w:tabs>
                <w:tab w:val="clear" w:pos="794"/>
                <w:tab w:val="clear" w:pos="1191"/>
                <w:tab w:val="clear" w:pos="1588"/>
                <w:tab w:val="clear" w:pos="1985"/>
                <w:tab w:val="decimal" w:pos="737"/>
              </w:tabs>
              <w:spacing w:before="160" w:after="160"/>
              <w:jc w:val="left"/>
            </w:pPr>
            <w:r>
              <w:t>1,0</w:t>
            </w:r>
            <w:r>
              <w:rPr>
                <w:position w:val="6"/>
                <w:sz w:val="14"/>
              </w:rPr>
              <w:t>(2)</w:t>
            </w:r>
            <w:r>
              <w:rPr>
                <w:position w:val="4"/>
                <w:sz w:val="16"/>
              </w:rPr>
              <w:br/>
            </w:r>
            <w:r>
              <w:t>0,75</w:t>
            </w:r>
            <w:r>
              <w:rPr>
                <w:position w:val="6"/>
                <w:sz w:val="14"/>
              </w:rPr>
              <w:t>(3)</w:t>
            </w:r>
          </w:p>
        </w:tc>
        <w:tc>
          <w:tcPr>
            <w:tcW w:w="1871" w:type="dxa"/>
            <w:tcBorders>
              <w:bottom w:val="single" w:sz="6" w:space="0" w:color="auto"/>
              <w:right w:val="single" w:sz="6" w:space="0" w:color="auto"/>
            </w:tcBorders>
          </w:tcPr>
          <w:p w14:paraId="6592D35B" w14:textId="77777777" w:rsidR="00404BB9" w:rsidRDefault="00404BB9">
            <w:pPr>
              <w:pStyle w:val="TableText"/>
              <w:framePr w:hSpace="181" w:wrap="notBeside" w:vAnchor="text" w:hAnchor="page" w:xAlign="center" w:y="1"/>
              <w:tabs>
                <w:tab w:val="clear" w:pos="794"/>
                <w:tab w:val="clear" w:pos="1191"/>
                <w:tab w:val="clear" w:pos="1588"/>
                <w:tab w:val="clear" w:pos="1985"/>
                <w:tab w:val="decimal" w:pos="907"/>
              </w:tabs>
              <w:spacing w:before="160" w:after="160"/>
              <w:jc w:val="left"/>
            </w:pPr>
            <w:r>
              <w:t>100</w:t>
            </w:r>
            <w:r>
              <w:br/>
              <w:t>100</w:t>
            </w:r>
          </w:p>
        </w:tc>
      </w:tr>
      <w:tr w:rsidR="00404BB9" w14:paraId="6086B118" w14:textId="77777777">
        <w:trPr>
          <w:cantSplit/>
          <w:jc w:val="center"/>
        </w:trPr>
        <w:tc>
          <w:tcPr>
            <w:tcW w:w="3119" w:type="dxa"/>
            <w:tcBorders>
              <w:left w:val="single" w:sz="6" w:space="0" w:color="auto"/>
              <w:bottom w:val="single" w:sz="6" w:space="0" w:color="auto"/>
            </w:tcBorders>
          </w:tcPr>
          <w:p w14:paraId="766FF2C6" w14:textId="77777777" w:rsidR="00404BB9" w:rsidRDefault="00404BB9">
            <w:pPr>
              <w:pStyle w:val="TableText"/>
              <w:framePr w:hSpace="181" w:wrap="notBeside" w:vAnchor="text" w:hAnchor="page" w:xAlign="center" w:y="1"/>
              <w:spacing w:before="160" w:after="160"/>
              <w:jc w:val="left"/>
            </w:pPr>
            <w:r>
              <w:t>MDM (non filtrée)</w:t>
            </w:r>
            <w:r>
              <w:br/>
            </w:r>
            <w:r>
              <w:rPr>
                <w:i/>
              </w:rPr>
              <w:t>S</w:t>
            </w:r>
            <w:r>
              <w:t xml:space="preserve">   </w:t>
            </w:r>
            <w:r>
              <w:rPr>
                <w:rFonts w:ascii="Symbol" w:hAnsi="Symbol"/>
              </w:rPr>
              <w:t></w:t>
            </w:r>
            <w:r>
              <w:t xml:space="preserve">  2  (calculée)</w:t>
            </w:r>
            <w:r>
              <w:br/>
            </w:r>
            <w:r>
              <w:rPr>
                <w:i/>
              </w:rPr>
              <w:t>D</w:t>
            </w:r>
            <w:r>
              <w:t xml:space="preserve">  </w:t>
            </w:r>
            <w:r>
              <w:rPr>
                <w:rFonts w:ascii="Symbol" w:hAnsi="Symbol"/>
              </w:rPr>
              <w:t></w:t>
            </w:r>
            <w:r>
              <w:t xml:space="preserve">  0,25 </w:t>
            </w:r>
            <w:r>
              <w:rPr>
                <w:i/>
              </w:rPr>
              <w:t>R</w:t>
            </w:r>
          </w:p>
        </w:tc>
        <w:tc>
          <w:tcPr>
            <w:tcW w:w="2552" w:type="dxa"/>
          </w:tcPr>
          <w:p w14:paraId="3FC18F17" w14:textId="77777777" w:rsidR="00404BB9" w:rsidRDefault="00404BB9">
            <w:pPr>
              <w:pStyle w:val="TableText"/>
              <w:framePr w:hSpace="181" w:wrap="notBeside" w:vAnchor="text" w:hAnchor="page" w:xAlign="center" w:y="1"/>
              <w:spacing w:before="160" w:after="160" w:line="240" w:lineRule="auto"/>
              <w:jc w:val="center"/>
            </w:pPr>
            <w:r>
              <w:fldChar w:fldCharType="begin"/>
            </w:r>
            <w:r>
              <w:instrText xml:space="preserve">eq </w:instrText>
            </w:r>
            <w:r>
              <w:rPr>
                <w:i/>
              </w:rPr>
              <w:instrText>B</w:instrText>
            </w:r>
            <w:r>
              <w:rPr>
                <w:i/>
                <w:position w:val="-3"/>
                <w:sz w:val="14"/>
              </w:rPr>
              <w:instrText>n</w:instrText>
            </w:r>
            <w:r>
              <w:instrText xml:space="preserve">  </w:instrText>
            </w:r>
            <w:r>
              <w:rPr>
                <w:rFonts w:ascii="Symbol" w:hAnsi="Symbol"/>
              </w:rPr>
              <w:instrText>=</w:instrText>
            </w:r>
            <w:r>
              <w:instrText xml:space="preserve">  \f(</w:instrText>
            </w:r>
            <w:r>
              <w:rPr>
                <w:i/>
              </w:rPr>
              <w:instrText>R</w:instrText>
            </w:r>
            <w:r>
              <w:instrText>,log</w:instrText>
            </w:r>
            <w:r>
              <w:rPr>
                <w:position w:val="-3"/>
                <w:sz w:val="14"/>
              </w:rPr>
              <w:instrText>2</w:instrText>
            </w:r>
            <w:r>
              <w:instrText xml:space="preserve"> </w:instrText>
            </w:r>
            <w:r>
              <w:rPr>
                <w:i/>
              </w:rPr>
              <w:instrText>S</w:instrText>
            </w:r>
            <w:r>
              <w:instrText xml:space="preserve">)  </w:instrText>
            </w:r>
            <w:r>
              <w:rPr>
                <w:rFonts w:ascii="Symbol" w:hAnsi="Symbol"/>
              </w:rPr>
              <w:instrText>+</w:instrText>
            </w:r>
            <w:r>
              <w:instrText xml:space="preserve">  2 </w:instrText>
            </w:r>
            <w:r>
              <w:rPr>
                <w:i/>
              </w:rPr>
              <w:instrText>DK</w:instrText>
            </w:r>
            <w:r>
              <w:fldChar w:fldCharType="end"/>
            </w:r>
          </w:p>
        </w:tc>
        <w:tc>
          <w:tcPr>
            <w:tcW w:w="1871" w:type="dxa"/>
          </w:tcPr>
          <w:p w14:paraId="7F9B3440" w14:textId="77777777" w:rsidR="00404BB9" w:rsidRDefault="00404BB9">
            <w:pPr>
              <w:pStyle w:val="TableText"/>
              <w:framePr w:hSpace="181" w:wrap="notBeside" w:vAnchor="text" w:hAnchor="page" w:xAlign="center" w:y="1"/>
              <w:tabs>
                <w:tab w:val="clear" w:pos="794"/>
                <w:tab w:val="clear" w:pos="1191"/>
                <w:tab w:val="clear" w:pos="1588"/>
                <w:tab w:val="clear" w:pos="1985"/>
                <w:tab w:val="decimal" w:pos="737"/>
              </w:tabs>
              <w:spacing w:before="160" w:after="160"/>
              <w:jc w:val="left"/>
            </w:pPr>
            <w:r>
              <w:t>0,36</w:t>
            </w:r>
            <w:r>
              <w:br/>
              <w:t>3,52</w:t>
            </w:r>
          </w:p>
        </w:tc>
        <w:tc>
          <w:tcPr>
            <w:tcW w:w="1871" w:type="dxa"/>
            <w:tcBorders>
              <w:bottom w:val="single" w:sz="6" w:space="0" w:color="auto"/>
              <w:right w:val="single" w:sz="6" w:space="0" w:color="auto"/>
            </w:tcBorders>
          </w:tcPr>
          <w:p w14:paraId="003085B9" w14:textId="77777777" w:rsidR="00404BB9" w:rsidRDefault="00404BB9">
            <w:pPr>
              <w:pStyle w:val="TableText"/>
              <w:framePr w:hSpace="181" w:wrap="notBeside" w:vAnchor="text" w:hAnchor="page" w:xAlign="center" w:y="1"/>
              <w:tabs>
                <w:tab w:val="clear" w:pos="794"/>
                <w:tab w:val="clear" w:pos="1191"/>
                <w:tab w:val="clear" w:pos="1588"/>
                <w:tab w:val="clear" w:pos="1985"/>
                <w:tab w:val="decimal" w:pos="907"/>
              </w:tabs>
              <w:spacing w:before="160" w:after="160"/>
              <w:jc w:val="left"/>
            </w:pPr>
            <w:r>
              <w:t>99</w:t>
            </w:r>
            <w:r>
              <w:br/>
              <w:t>99,9</w:t>
            </w:r>
          </w:p>
        </w:tc>
      </w:tr>
      <w:tr w:rsidR="00404BB9" w14:paraId="7F7852A9" w14:textId="77777777">
        <w:trPr>
          <w:cantSplit/>
          <w:jc w:val="center"/>
        </w:trPr>
        <w:tc>
          <w:tcPr>
            <w:tcW w:w="3119" w:type="dxa"/>
            <w:tcBorders>
              <w:left w:val="single" w:sz="6" w:space="0" w:color="auto"/>
              <w:bottom w:val="single" w:sz="6" w:space="0" w:color="auto"/>
            </w:tcBorders>
          </w:tcPr>
          <w:p w14:paraId="2A44C9FA" w14:textId="77777777" w:rsidR="00404BB9" w:rsidRDefault="00404BB9">
            <w:pPr>
              <w:pStyle w:val="TableText"/>
              <w:framePr w:hSpace="181" w:wrap="notBeside" w:vAnchor="text" w:hAnchor="page" w:xAlign="center" w:y="1"/>
              <w:spacing w:before="160" w:after="160"/>
              <w:jc w:val="left"/>
            </w:pPr>
            <w:r>
              <w:t>MDM avec filtrage gaussien (MDMG)</w:t>
            </w:r>
            <w:r>
              <w:br/>
              <w:t>Largeur de bande à 3 dB du filtre</w:t>
            </w:r>
            <w:r>
              <w:br/>
              <w:t xml:space="preserve">gaussien de prémodulation  </w:t>
            </w:r>
            <w:r>
              <w:rPr>
                <w:rFonts w:ascii="Symbol" w:hAnsi="Symbol"/>
              </w:rPr>
              <w:t></w:t>
            </w:r>
            <w:r>
              <w:t xml:space="preserve">  0,25 </w:t>
            </w:r>
            <w:r>
              <w:rPr>
                <w:i/>
              </w:rPr>
              <w:t>R</w:t>
            </w:r>
            <w:r>
              <w:br/>
            </w:r>
            <w:r>
              <w:rPr>
                <w:i/>
              </w:rPr>
              <w:t>S</w:t>
            </w:r>
            <w:r>
              <w:t xml:space="preserve">   </w:t>
            </w:r>
            <w:r>
              <w:rPr>
                <w:rFonts w:ascii="Symbol" w:hAnsi="Symbol"/>
              </w:rPr>
              <w:t></w:t>
            </w:r>
            <w:r>
              <w:t xml:space="preserve">  2  (calculée)</w:t>
            </w:r>
            <w:r>
              <w:br/>
            </w:r>
            <w:r>
              <w:rPr>
                <w:i/>
              </w:rPr>
              <w:t>D</w:t>
            </w:r>
            <w:r>
              <w:t xml:space="preserve">  </w:t>
            </w:r>
            <w:r>
              <w:rPr>
                <w:rFonts w:ascii="Symbol" w:hAnsi="Symbol"/>
              </w:rPr>
              <w:t></w:t>
            </w:r>
            <w:r>
              <w:t xml:space="preserve">  0,25 </w:t>
            </w:r>
            <w:r>
              <w:rPr>
                <w:i/>
              </w:rPr>
              <w:t>R</w:t>
            </w:r>
          </w:p>
        </w:tc>
        <w:tc>
          <w:tcPr>
            <w:tcW w:w="2552" w:type="dxa"/>
          </w:tcPr>
          <w:p w14:paraId="2C053F08" w14:textId="77777777" w:rsidR="00404BB9" w:rsidRDefault="00404BB9">
            <w:pPr>
              <w:pStyle w:val="TableText"/>
              <w:framePr w:hSpace="181" w:wrap="notBeside" w:vAnchor="text" w:hAnchor="page" w:xAlign="center" w:y="1"/>
              <w:spacing w:before="160" w:after="160" w:line="240" w:lineRule="auto"/>
              <w:jc w:val="center"/>
            </w:pPr>
            <w:r>
              <w:br/>
            </w:r>
            <w:r>
              <w:fldChar w:fldCharType="begin"/>
            </w:r>
            <w:r>
              <w:instrText xml:space="preserve">eq </w:instrText>
            </w:r>
            <w:r>
              <w:rPr>
                <w:i/>
              </w:rPr>
              <w:instrText>B</w:instrText>
            </w:r>
            <w:r>
              <w:rPr>
                <w:i/>
                <w:position w:val="-3"/>
                <w:sz w:val="14"/>
              </w:rPr>
              <w:instrText>n</w:instrText>
            </w:r>
            <w:r>
              <w:instrText xml:space="preserve">  </w:instrText>
            </w:r>
            <w:r>
              <w:rPr>
                <w:rFonts w:ascii="Symbol" w:hAnsi="Symbol"/>
              </w:rPr>
              <w:instrText>=</w:instrText>
            </w:r>
            <w:r>
              <w:instrText xml:space="preserve">  \f(</w:instrText>
            </w:r>
            <w:r>
              <w:rPr>
                <w:i/>
              </w:rPr>
              <w:instrText>R</w:instrText>
            </w:r>
            <w:r>
              <w:instrText>,log</w:instrText>
            </w:r>
            <w:r>
              <w:rPr>
                <w:position w:val="-3"/>
                <w:sz w:val="14"/>
              </w:rPr>
              <w:instrText>2</w:instrText>
            </w:r>
            <w:r>
              <w:instrText xml:space="preserve"> </w:instrText>
            </w:r>
            <w:r>
              <w:rPr>
                <w:i/>
              </w:rPr>
              <w:instrText>S</w:instrText>
            </w:r>
            <w:r>
              <w:instrText xml:space="preserve">)  </w:instrText>
            </w:r>
            <w:r>
              <w:rPr>
                <w:rFonts w:ascii="Symbol" w:hAnsi="Symbol"/>
              </w:rPr>
              <w:instrText>+</w:instrText>
            </w:r>
            <w:r>
              <w:instrText xml:space="preserve">  2 </w:instrText>
            </w:r>
            <w:r>
              <w:rPr>
                <w:i/>
              </w:rPr>
              <w:instrText>DK</w:instrText>
            </w:r>
            <w:r>
              <w:fldChar w:fldCharType="end"/>
            </w:r>
          </w:p>
        </w:tc>
        <w:tc>
          <w:tcPr>
            <w:tcW w:w="1871" w:type="dxa"/>
          </w:tcPr>
          <w:p w14:paraId="604FED1F" w14:textId="77777777" w:rsidR="00404BB9" w:rsidRDefault="00404BB9">
            <w:pPr>
              <w:pStyle w:val="TableText"/>
              <w:framePr w:hSpace="181" w:wrap="notBeside" w:vAnchor="text" w:hAnchor="page" w:xAlign="center" w:y="1"/>
              <w:tabs>
                <w:tab w:val="clear" w:pos="794"/>
                <w:tab w:val="clear" w:pos="1191"/>
                <w:tab w:val="clear" w:pos="1588"/>
                <w:tab w:val="clear" w:pos="1985"/>
                <w:tab w:val="decimal" w:pos="737"/>
              </w:tabs>
              <w:spacing w:before="160" w:after="160"/>
              <w:jc w:val="left"/>
            </w:pPr>
            <w:r>
              <w:br/>
            </w:r>
            <w:r>
              <w:br/>
              <w:t>–0,28</w:t>
            </w:r>
            <w:r>
              <w:br/>
              <w:t>0,18</w:t>
            </w:r>
          </w:p>
        </w:tc>
        <w:tc>
          <w:tcPr>
            <w:tcW w:w="1871" w:type="dxa"/>
            <w:tcBorders>
              <w:bottom w:val="single" w:sz="6" w:space="0" w:color="auto"/>
              <w:right w:val="single" w:sz="6" w:space="0" w:color="auto"/>
            </w:tcBorders>
          </w:tcPr>
          <w:p w14:paraId="7548A895" w14:textId="77777777" w:rsidR="00404BB9" w:rsidRDefault="00404BB9">
            <w:pPr>
              <w:pStyle w:val="TableText"/>
              <w:framePr w:hSpace="181" w:wrap="notBeside" w:vAnchor="text" w:hAnchor="page" w:xAlign="center" w:y="1"/>
              <w:tabs>
                <w:tab w:val="clear" w:pos="794"/>
                <w:tab w:val="clear" w:pos="1191"/>
                <w:tab w:val="clear" w:pos="1588"/>
                <w:tab w:val="clear" w:pos="1985"/>
                <w:tab w:val="decimal" w:pos="907"/>
              </w:tabs>
              <w:spacing w:before="160" w:after="160"/>
              <w:jc w:val="left"/>
            </w:pPr>
            <w:r>
              <w:br/>
            </w:r>
            <w:r>
              <w:br/>
              <w:t>99</w:t>
            </w:r>
            <w:r>
              <w:br/>
              <w:t>99,9</w:t>
            </w:r>
          </w:p>
        </w:tc>
      </w:tr>
      <w:tr w:rsidR="00404BB9" w14:paraId="2F6423B5" w14:textId="77777777">
        <w:trPr>
          <w:cantSplit/>
          <w:jc w:val="center"/>
        </w:trPr>
        <w:tc>
          <w:tcPr>
            <w:tcW w:w="3119" w:type="dxa"/>
            <w:tcBorders>
              <w:left w:val="single" w:sz="6" w:space="0" w:color="auto"/>
              <w:bottom w:val="single" w:sz="6" w:space="0" w:color="auto"/>
            </w:tcBorders>
          </w:tcPr>
          <w:p w14:paraId="46082B62" w14:textId="77777777" w:rsidR="00404BB9" w:rsidRDefault="00404BB9">
            <w:pPr>
              <w:pStyle w:val="TableText"/>
              <w:framePr w:hSpace="181" w:wrap="notBeside" w:vAnchor="text" w:hAnchor="page" w:xAlign="center" w:y="1"/>
              <w:spacing w:before="160" w:after="160"/>
              <w:jc w:val="left"/>
            </w:pPr>
            <w:r>
              <w:t>MF numérique (MDF à phase continue) impulsions rectangulaires</w:t>
            </w:r>
            <w:r>
              <w:br/>
            </w:r>
            <w:r>
              <w:rPr>
                <w:i/>
              </w:rPr>
              <w:t>S</w:t>
            </w:r>
            <w:r>
              <w:t xml:space="preserve">   </w:t>
            </w:r>
            <w:r>
              <w:rPr>
                <w:rFonts w:ascii="Symbol" w:hAnsi="Symbol"/>
              </w:rPr>
              <w:t></w:t>
            </w:r>
            <w:r>
              <w:t xml:space="preserve">  2  (calculée)</w:t>
            </w:r>
            <w:r>
              <w:br/>
            </w:r>
            <w:r>
              <w:rPr>
                <w:i/>
              </w:rPr>
              <w:t>D</w:t>
            </w:r>
            <w:r>
              <w:t xml:space="preserve">  </w:t>
            </w:r>
            <w:r>
              <w:rPr>
                <w:rFonts w:ascii="Symbol" w:hAnsi="Symbol"/>
              </w:rPr>
              <w:t></w:t>
            </w:r>
            <w:r>
              <w:t xml:space="preserve">  0,35 </w:t>
            </w:r>
            <w:r>
              <w:rPr>
                <w:i/>
              </w:rPr>
              <w:t>R</w:t>
            </w:r>
          </w:p>
        </w:tc>
        <w:tc>
          <w:tcPr>
            <w:tcW w:w="2552" w:type="dxa"/>
          </w:tcPr>
          <w:p w14:paraId="42753088" w14:textId="77777777" w:rsidR="00404BB9" w:rsidRDefault="00404BB9">
            <w:pPr>
              <w:pStyle w:val="TableText"/>
              <w:framePr w:hSpace="181" w:wrap="notBeside" w:vAnchor="text" w:hAnchor="page" w:xAlign="center" w:y="1"/>
              <w:spacing w:before="160" w:after="160" w:line="240" w:lineRule="auto"/>
              <w:jc w:val="center"/>
            </w:pPr>
            <w:r>
              <w:br/>
            </w:r>
            <w:r>
              <w:fldChar w:fldCharType="begin"/>
            </w:r>
            <w:r>
              <w:instrText xml:space="preserve">eq </w:instrText>
            </w:r>
            <w:r>
              <w:rPr>
                <w:i/>
              </w:rPr>
              <w:instrText>B</w:instrText>
            </w:r>
            <w:r>
              <w:rPr>
                <w:i/>
                <w:position w:val="-3"/>
                <w:sz w:val="14"/>
              </w:rPr>
              <w:instrText>n</w:instrText>
            </w:r>
            <w:r>
              <w:instrText xml:space="preserve">  </w:instrText>
            </w:r>
            <w:r>
              <w:rPr>
                <w:rFonts w:ascii="Symbol" w:hAnsi="Symbol"/>
              </w:rPr>
              <w:instrText>=</w:instrText>
            </w:r>
            <w:r>
              <w:instrText xml:space="preserve">  \f(</w:instrText>
            </w:r>
            <w:r>
              <w:rPr>
                <w:i/>
              </w:rPr>
              <w:instrText>R</w:instrText>
            </w:r>
            <w:r>
              <w:instrText>,log</w:instrText>
            </w:r>
            <w:r>
              <w:rPr>
                <w:position w:val="-3"/>
                <w:sz w:val="14"/>
              </w:rPr>
              <w:instrText>2</w:instrText>
            </w:r>
            <w:r>
              <w:instrText xml:space="preserve"> </w:instrText>
            </w:r>
            <w:r>
              <w:rPr>
                <w:i/>
              </w:rPr>
              <w:instrText>S</w:instrText>
            </w:r>
            <w:r>
              <w:instrText xml:space="preserve">)  </w:instrText>
            </w:r>
            <w:r>
              <w:rPr>
                <w:rFonts w:ascii="Symbol" w:hAnsi="Symbol"/>
              </w:rPr>
              <w:instrText>+</w:instrText>
            </w:r>
            <w:r>
              <w:instrText xml:space="preserve">  2 </w:instrText>
            </w:r>
            <w:r>
              <w:rPr>
                <w:i/>
              </w:rPr>
              <w:instrText>DK</w:instrText>
            </w:r>
            <w:r>
              <w:fldChar w:fldCharType="end"/>
            </w:r>
          </w:p>
        </w:tc>
        <w:tc>
          <w:tcPr>
            <w:tcW w:w="1871" w:type="dxa"/>
          </w:tcPr>
          <w:p w14:paraId="24D3BAC2" w14:textId="77777777" w:rsidR="00404BB9" w:rsidRDefault="00404BB9">
            <w:pPr>
              <w:pStyle w:val="TableText"/>
              <w:framePr w:hSpace="181" w:wrap="notBeside" w:vAnchor="text" w:hAnchor="page" w:xAlign="center" w:y="1"/>
              <w:tabs>
                <w:tab w:val="clear" w:pos="794"/>
                <w:tab w:val="clear" w:pos="1191"/>
                <w:tab w:val="clear" w:pos="1588"/>
                <w:tab w:val="clear" w:pos="1985"/>
                <w:tab w:val="decimal" w:pos="737"/>
              </w:tabs>
              <w:spacing w:before="160" w:after="160"/>
              <w:jc w:val="left"/>
            </w:pPr>
            <w:r>
              <w:br/>
              <w:t>0,89</w:t>
            </w:r>
          </w:p>
        </w:tc>
        <w:tc>
          <w:tcPr>
            <w:tcW w:w="1871" w:type="dxa"/>
            <w:tcBorders>
              <w:bottom w:val="single" w:sz="6" w:space="0" w:color="auto"/>
              <w:right w:val="single" w:sz="6" w:space="0" w:color="auto"/>
            </w:tcBorders>
          </w:tcPr>
          <w:p w14:paraId="69B066C9" w14:textId="77777777" w:rsidR="00404BB9" w:rsidRDefault="00404BB9">
            <w:pPr>
              <w:pStyle w:val="TableText"/>
              <w:framePr w:hSpace="181" w:wrap="notBeside" w:vAnchor="text" w:hAnchor="page" w:xAlign="center" w:y="1"/>
              <w:tabs>
                <w:tab w:val="clear" w:pos="794"/>
                <w:tab w:val="clear" w:pos="1191"/>
                <w:tab w:val="clear" w:pos="1588"/>
                <w:tab w:val="clear" w:pos="1985"/>
                <w:tab w:val="decimal" w:pos="907"/>
              </w:tabs>
              <w:spacing w:before="160" w:after="160"/>
              <w:jc w:val="left"/>
            </w:pPr>
            <w:r>
              <w:br/>
              <w:t>99</w:t>
            </w:r>
          </w:p>
        </w:tc>
      </w:tr>
      <w:tr w:rsidR="00404BB9" w14:paraId="19527DA9" w14:textId="77777777">
        <w:trPr>
          <w:cantSplit/>
          <w:jc w:val="center"/>
        </w:trPr>
        <w:tc>
          <w:tcPr>
            <w:tcW w:w="3119" w:type="dxa"/>
            <w:tcBorders>
              <w:left w:val="single" w:sz="6" w:space="0" w:color="auto"/>
              <w:bottom w:val="nil"/>
            </w:tcBorders>
          </w:tcPr>
          <w:p w14:paraId="2FBAA5CE" w14:textId="77777777" w:rsidR="00404BB9" w:rsidRDefault="00404BB9">
            <w:pPr>
              <w:pStyle w:val="TableText"/>
              <w:framePr w:hSpace="181" w:wrap="notBeside" w:vAnchor="text" w:hAnchor="page" w:xAlign="center" w:y="1"/>
              <w:spacing w:before="160" w:after="160"/>
              <w:jc w:val="left"/>
            </w:pPr>
            <w:r>
              <w:t>MAQ-</w:t>
            </w:r>
            <w:r>
              <w:rPr>
                <w:i/>
              </w:rPr>
              <w:t>m</w:t>
            </w:r>
            <w:r>
              <w:br/>
              <w:t>Hyperfréquence à modulation numérique</w:t>
            </w:r>
            <w:r>
              <w:br/>
            </w:r>
            <w:r>
              <w:rPr>
                <w:i/>
              </w:rPr>
              <w:t>S</w:t>
            </w:r>
            <w:r>
              <w:t xml:space="preserve">   </w:t>
            </w:r>
            <w:r>
              <w:rPr>
                <w:rFonts w:ascii="Symbol" w:hAnsi="Symbol"/>
              </w:rPr>
              <w:t></w:t>
            </w:r>
            <w:r>
              <w:t xml:space="preserve">  2</w:t>
            </w:r>
            <w:r>
              <w:rPr>
                <w:i/>
                <w:position w:val="6"/>
                <w:sz w:val="14"/>
              </w:rPr>
              <w:t>n</w:t>
            </w:r>
            <w:r>
              <w:t xml:space="preserve">  (</w:t>
            </w:r>
            <w:r>
              <w:rPr>
                <w:i/>
              </w:rPr>
              <w:t>n</w:t>
            </w:r>
            <w:r>
              <w:t xml:space="preserve"> </w:t>
            </w:r>
            <w:r>
              <w:rPr>
                <w:rFonts w:ascii="Symbol" w:hAnsi="Symbol"/>
              </w:rPr>
              <w:t></w:t>
            </w:r>
            <w:r>
              <w:t xml:space="preserve"> 2)</w:t>
            </w:r>
            <w:r>
              <w:br/>
              <w:t>Pente: 0 à 1</w:t>
            </w:r>
            <w:r>
              <w:br/>
              <w:t>Ventilation à 50% entre émission et réception avec filtrage optimal (calculé)</w:t>
            </w:r>
            <w:r>
              <w:rPr>
                <w:position w:val="6"/>
                <w:sz w:val="14"/>
              </w:rPr>
              <w:t>(4),</w:t>
            </w:r>
            <w:r>
              <w:t xml:space="preserve"> </w:t>
            </w:r>
            <w:r>
              <w:rPr>
                <w:position w:val="6"/>
                <w:sz w:val="14"/>
              </w:rPr>
              <w:t>(5)</w:t>
            </w:r>
          </w:p>
        </w:tc>
        <w:tc>
          <w:tcPr>
            <w:tcW w:w="2552" w:type="dxa"/>
          </w:tcPr>
          <w:p w14:paraId="26779B84" w14:textId="77777777" w:rsidR="00404BB9" w:rsidRDefault="00404BB9">
            <w:pPr>
              <w:pStyle w:val="TableText"/>
              <w:framePr w:hSpace="181" w:wrap="notBeside" w:vAnchor="text" w:hAnchor="page" w:xAlign="center" w:y="1"/>
              <w:spacing w:before="160" w:after="160" w:line="240" w:lineRule="auto"/>
              <w:jc w:val="center"/>
            </w:pPr>
            <w:r>
              <w:br/>
            </w:r>
            <w:r>
              <w:br/>
            </w:r>
            <w:r>
              <w:fldChar w:fldCharType="begin"/>
            </w:r>
            <w:r>
              <w:instrText xml:space="preserve">eq </w:instrText>
            </w:r>
            <w:r>
              <w:rPr>
                <w:i/>
              </w:rPr>
              <w:instrText>B</w:instrText>
            </w:r>
            <w:r>
              <w:rPr>
                <w:i/>
                <w:position w:val="-3"/>
                <w:sz w:val="14"/>
              </w:rPr>
              <w:instrText>n</w:instrText>
            </w:r>
            <w:r>
              <w:instrText xml:space="preserve">  </w:instrText>
            </w:r>
            <w:r>
              <w:rPr>
                <w:rFonts w:ascii="Symbol" w:hAnsi="Symbol"/>
              </w:rPr>
              <w:instrText>=</w:instrText>
            </w:r>
            <w:r>
              <w:instrText xml:space="preserve">  \f(2 </w:instrText>
            </w:r>
            <w:r>
              <w:rPr>
                <w:i/>
              </w:rPr>
              <w:instrText>RK</w:instrText>
            </w:r>
            <w:r>
              <w:instrText>,log</w:instrText>
            </w:r>
            <w:r>
              <w:rPr>
                <w:position w:val="-3"/>
                <w:sz w:val="14"/>
              </w:rPr>
              <w:instrText>2</w:instrText>
            </w:r>
            <w:r>
              <w:instrText xml:space="preserve"> </w:instrText>
            </w:r>
            <w:r>
              <w:rPr>
                <w:i/>
              </w:rPr>
              <w:instrText>S</w:instrText>
            </w:r>
            <w:r>
              <w:instrText>)</w:instrText>
            </w:r>
            <w:r>
              <w:fldChar w:fldCharType="end"/>
            </w:r>
          </w:p>
        </w:tc>
        <w:tc>
          <w:tcPr>
            <w:tcW w:w="1871" w:type="dxa"/>
          </w:tcPr>
          <w:p w14:paraId="5595DBF6" w14:textId="77777777" w:rsidR="00404BB9" w:rsidRDefault="00404BB9">
            <w:pPr>
              <w:pStyle w:val="TableText"/>
              <w:framePr w:hSpace="181" w:wrap="notBeside" w:vAnchor="text" w:hAnchor="page" w:xAlign="center" w:y="1"/>
              <w:spacing w:before="160" w:after="160"/>
              <w:jc w:val="center"/>
            </w:pPr>
            <w:r>
              <w:br/>
            </w:r>
            <w:r>
              <w:br/>
              <w:t>Voir la Fig. 1</w:t>
            </w:r>
          </w:p>
        </w:tc>
        <w:tc>
          <w:tcPr>
            <w:tcW w:w="1871" w:type="dxa"/>
            <w:tcBorders>
              <w:bottom w:val="nil"/>
              <w:right w:val="single" w:sz="6" w:space="0" w:color="auto"/>
            </w:tcBorders>
          </w:tcPr>
          <w:p w14:paraId="7124515E" w14:textId="77777777" w:rsidR="00404BB9" w:rsidRDefault="00404BB9">
            <w:pPr>
              <w:pStyle w:val="TableText"/>
              <w:framePr w:hSpace="181" w:wrap="notBeside" w:vAnchor="text" w:hAnchor="page" w:xAlign="center" w:y="1"/>
              <w:spacing w:before="160" w:after="160"/>
              <w:jc w:val="center"/>
            </w:pPr>
            <w:r>
              <w:br/>
            </w:r>
            <w:r>
              <w:br/>
              <w:t>Voir la Fig. 1</w:t>
            </w:r>
          </w:p>
        </w:tc>
      </w:tr>
      <w:tr w:rsidR="00404BB9" w14:paraId="65F21240" w14:textId="77777777">
        <w:trPr>
          <w:cantSplit/>
          <w:jc w:val="center"/>
        </w:trPr>
        <w:tc>
          <w:tcPr>
            <w:tcW w:w="9413" w:type="dxa"/>
            <w:gridSpan w:val="4"/>
            <w:tcBorders>
              <w:bottom w:val="nil"/>
            </w:tcBorders>
          </w:tcPr>
          <w:p w14:paraId="0CAB6F46" w14:textId="77777777" w:rsidR="00404BB9" w:rsidRDefault="00404BB9">
            <w:pPr>
              <w:pStyle w:val="TableLegend"/>
              <w:framePr w:hSpace="181" w:wrap="notBeside" w:vAnchor="text" w:hAnchor="page" w:xAlign="center" w:y="1"/>
              <w:tabs>
                <w:tab w:val="clear" w:pos="794"/>
                <w:tab w:val="clear" w:pos="1191"/>
                <w:tab w:val="clear" w:pos="1588"/>
                <w:tab w:val="clear" w:pos="1985"/>
                <w:tab w:val="left" w:pos="567"/>
              </w:tabs>
              <w:spacing w:before="200"/>
            </w:pPr>
            <w:r>
              <w:t>MAQ:</w:t>
            </w:r>
            <w:r>
              <w:tab/>
              <w:t>modulation d'amplitude en quadrature</w:t>
            </w:r>
          </w:p>
          <w:p w14:paraId="27D890B8" w14:textId="77777777" w:rsidR="00404BB9" w:rsidRDefault="00404BB9">
            <w:pPr>
              <w:pStyle w:val="TableLegend"/>
              <w:framePr w:hSpace="181" w:wrap="notBeside" w:vAnchor="text" w:hAnchor="page" w:xAlign="center" w:y="1"/>
              <w:tabs>
                <w:tab w:val="clear" w:pos="794"/>
                <w:tab w:val="clear" w:pos="1191"/>
                <w:tab w:val="clear" w:pos="1588"/>
                <w:tab w:val="clear" w:pos="1985"/>
                <w:tab w:val="left" w:pos="567"/>
              </w:tabs>
            </w:pPr>
            <w:r>
              <w:t>MDF:</w:t>
            </w:r>
            <w:r>
              <w:tab/>
              <w:t>modulation par déplacement de fréquence</w:t>
            </w:r>
          </w:p>
          <w:p w14:paraId="3A34B6D7" w14:textId="77777777" w:rsidR="00404BB9" w:rsidRDefault="00404BB9">
            <w:pPr>
              <w:pStyle w:val="TableLegend"/>
              <w:framePr w:hSpace="181" w:wrap="notBeside" w:vAnchor="text" w:hAnchor="page" w:xAlign="center" w:y="1"/>
              <w:tabs>
                <w:tab w:val="clear" w:pos="794"/>
                <w:tab w:val="clear" w:pos="1191"/>
                <w:tab w:val="clear" w:pos="1588"/>
                <w:tab w:val="clear" w:pos="1985"/>
                <w:tab w:val="left" w:pos="567"/>
              </w:tabs>
            </w:pPr>
            <w:r>
              <w:t>MDM:</w:t>
            </w:r>
            <w:r>
              <w:tab/>
              <w:t>modulation par déplacement minimal</w:t>
            </w:r>
          </w:p>
          <w:p w14:paraId="13572156" w14:textId="77777777" w:rsidR="00404BB9" w:rsidRDefault="00404BB9">
            <w:pPr>
              <w:pStyle w:val="TableLegend"/>
              <w:framePr w:hSpace="181" w:wrap="notBeside" w:vAnchor="text" w:hAnchor="page" w:xAlign="center" w:y="1"/>
              <w:tabs>
                <w:tab w:val="clear" w:pos="794"/>
                <w:tab w:val="clear" w:pos="1191"/>
                <w:tab w:val="clear" w:pos="1588"/>
                <w:tab w:val="clear" w:pos="1985"/>
                <w:tab w:val="left" w:pos="567"/>
              </w:tabs>
            </w:pPr>
            <w:r>
              <w:t>MDP:</w:t>
            </w:r>
            <w:r>
              <w:tab/>
              <w:t>modulation par déplacement de phase</w:t>
            </w:r>
          </w:p>
          <w:p w14:paraId="10A6A1CF" w14:textId="77777777" w:rsidR="00404BB9" w:rsidRDefault="00404BB9">
            <w:pPr>
              <w:pStyle w:val="TableLegend"/>
              <w:framePr w:hSpace="181" w:wrap="notBeside" w:vAnchor="text" w:hAnchor="page" w:xAlign="center" w:y="1"/>
              <w:tabs>
                <w:tab w:val="clear" w:pos="794"/>
                <w:tab w:val="clear" w:pos="1191"/>
                <w:tab w:val="clear" w:pos="1588"/>
                <w:tab w:val="clear" w:pos="1985"/>
                <w:tab w:val="left" w:pos="567"/>
              </w:tabs>
            </w:pPr>
            <w:r>
              <w:t>TEB:</w:t>
            </w:r>
            <w:r>
              <w:tab/>
              <w:t>taux d'erreur binaire.</w:t>
            </w:r>
          </w:p>
          <w:p w14:paraId="639A3333" w14:textId="77777777" w:rsidR="00404BB9" w:rsidRDefault="00404BB9">
            <w:pPr>
              <w:pStyle w:val="TableLegend"/>
              <w:framePr w:hSpace="181" w:wrap="notBeside" w:vAnchor="text" w:hAnchor="page" w:xAlign="center" w:y="1"/>
              <w:tabs>
                <w:tab w:val="clear" w:pos="794"/>
                <w:tab w:val="clear" w:pos="1191"/>
                <w:tab w:val="clear" w:pos="1588"/>
                <w:tab w:val="clear" w:pos="1985"/>
                <w:tab w:val="left" w:pos="340"/>
              </w:tabs>
              <w:spacing w:before="200"/>
              <w:ind w:left="255" w:hanging="340"/>
            </w:pPr>
            <w:r>
              <w:rPr>
                <w:position w:val="6"/>
                <w:sz w:val="14"/>
              </w:rPr>
              <w:t>(1)</w:t>
            </w:r>
            <w:r>
              <w:tab/>
              <w:t>Il est prévu, dans la Recommandation UIT-R F.1191, que pour le service fixe à modulation numérique, la largeur de bande nécessaire soit définie pour un pourcentage de concentration de la puissance égal à 99%.</w:t>
            </w:r>
          </w:p>
          <w:p w14:paraId="2DAB23CA" w14:textId="77777777" w:rsidR="00404BB9" w:rsidRDefault="00404BB9">
            <w:pPr>
              <w:pStyle w:val="TableLegend"/>
              <w:framePr w:hSpace="181" w:wrap="notBeside" w:vAnchor="text" w:hAnchor="page" w:xAlign="center" w:y="1"/>
              <w:tabs>
                <w:tab w:val="clear" w:pos="794"/>
                <w:tab w:val="clear" w:pos="1191"/>
                <w:tab w:val="clear" w:pos="1588"/>
                <w:tab w:val="clear" w:pos="1985"/>
                <w:tab w:val="left" w:pos="340"/>
              </w:tabs>
              <w:ind w:left="255" w:hanging="340"/>
            </w:pPr>
            <w:r>
              <w:rPr>
                <w:position w:val="6"/>
                <w:sz w:val="14"/>
              </w:rPr>
              <w:t>(2)</w:t>
            </w:r>
            <w:r>
              <w:tab/>
              <w:t xml:space="preserve">Dans ce cas </w:t>
            </w:r>
            <w:r>
              <w:rPr>
                <w:i/>
              </w:rPr>
              <w:t>E</w:t>
            </w:r>
            <w:r>
              <w:rPr>
                <w:i/>
                <w:position w:val="-3"/>
                <w:sz w:val="14"/>
              </w:rPr>
              <w:t>b</w:t>
            </w:r>
            <w:r>
              <w:rPr>
                <w:position w:val="-3"/>
                <w:sz w:val="8"/>
              </w:rPr>
              <w:t> </w:t>
            </w:r>
            <w:r>
              <w:t>/</w:t>
            </w:r>
            <w:r>
              <w:rPr>
                <w:i/>
              </w:rPr>
              <w:t>N</w:t>
            </w:r>
            <w:r>
              <w:rPr>
                <w:position w:val="-3"/>
                <w:sz w:val="14"/>
              </w:rPr>
              <w:t>0</w:t>
            </w:r>
            <w:r>
              <w:t xml:space="preserve">  </w:t>
            </w:r>
            <w:r>
              <w:rPr>
                <w:rFonts w:ascii="Symbol" w:hAnsi="Symbol"/>
              </w:rPr>
              <w:t></w:t>
            </w:r>
            <w:r>
              <w:t xml:space="preserve">  7,5 dB.</w:t>
            </w:r>
          </w:p>
          <w:p w14:paraId="1988C451" w14:textId="77777777" w:rsidR="00404BB9" w:rsidRDefault="00404BB9">
            <w:pPr>
              <w:pStyle w:val="TableLegend"/>
              <w:framePr w:hSpace="181" w:wrap="notBeside" w:vAnchor="text" w:hAnchor="page" w:xAlign="center" w:y="1"/>
              <w:tabs>
                <w:tab w:val="clear" w:pos="794"/>
                <w:tab w:val="clear" w:pos="1191"/>
                <w:tab w:val="clear" w:pos="1588"/>
                <w:tab w:val="clear" w:pos="1985"/>
                <w:tab w:val="left" w:pos="340"/>
              </w:tabs>
              <w:ind w:left="255" w:hanging="340"/>
            </w:pPr>
            <w:r>
              <w:rPr>
                <w:position w:val="6"/>
                <w:sz w:val="14"/>
              </w:rPr>
              <w:t>(3)</w:t>
            </w:r>
            <w:r>
              <w:tab/>
              <w:t xml:space="preserve">Dans ce cas </w:t>
            </w:r>
            <w:r>
              <w:rPr>
                <w:i/>
              </w:rPr>
              <w:t>E</w:t>
            </w:r>
            <w:r>
              <w:rPr>
                <w:i/>
                <w:position w:val="-3"/>
                <w:sz w:val="14"/>
              </w:rPr>
              <w:t>b</w:t>
            </w:r>
            <w:r>
              <w:rPr>
                <w:position w:val="-3"/>
                <w:sz w:val="8"/>
              </w:rPr>
              <w:t> </w:t>
            </w:r>
            <w:r>
              <w:t>/</w:t>
            </w:r>
            <w:r>
              <w:rPr>
                <w:i/>
              </w:rPr>
              <w:t>N</w:t>
            </w:r>
            <w:r>
              <w:rPr>
                <w:position w:val="-3"/>
                <w:sz w:val="14"/>
              </w:rPr>
              <w:t>0</w:t>
            </w:r>
            <w:r>
              <w:t xml:space="preserve">  </w:t>
            </w:r>
            <w:r>
              <w:rPr>
                <w:rFonts w:ascii="Symbol" w:hAnsi="Symbol"/>
              </w:rPr>
              <w:t></w:t>
            </w:r>
            <w:r>
              <w:t xml:space="preserve">  9,3 dB.</w:t>
            </w:r>
          </w:p>
          <w:p w14:paraId="2EE0194A" w14:textId="77777777" w:rsidR="00404BB9" w:rsidRDefault="00404BB9">
            <w:pPr>
              <w:pStyle w:val="TableLegend"/>
              <w:framePr w:hSpace="181" w:wrap="notBeside" w:vAnchor="text" w:hAnchor="page" w:xAlign="center" w:y="1"/>
              <w:tabs>
                <w:tab w:val="clear" w:pos="794"/>
                <w:tab w:val="clear" w:pos="1191"/>
                <w:tab w:val="clear" w:pos="1588"/>
                <w:tab w:val="clear" w:pos="1985"/>
                <w:tab w:val="left" w:pos="340"/>
              </w:tabs>
              <w:ind w:left="255" w:hanging="340"/>
            </w:pPr>
            <w:r>
              <w:rPr>
                <w:position w:val="6"/>
                <w:sz w:val="14"/>
              </w:rPr>
              <w:t>(4)</w:t>
            </w:r>
            <w:r>
              <w:tab/>
              <w:t xml:space="preserve">Dans la pratique, le filtrage peut produire une légère différence de la valeur de </w:t>
            </w:r>
            <w:r>
              <w:rPr>
                <w:i/>
              </w:rPr>
              <w:t xml:space="preserve">K </w:t>
            </w:r>
            <w:r>
              <w:t>en fonction de la relation de concentration calculée.</w:t>
            </w:r>
          </w:p>
          <w:p w14:paraId="6636F8C2" w14:textId="77777777" w:rsidR="00404BB9" w:rsidRDefault="00404BB9">
            <w:pPr>
              <w:pStyle w:val="TableLegend"/>
              <w:framePr w:hSpace="181" w:wrap="notBeside" w:vAnchor="text" w:hAnchor="page" w:xAlign="center" w:y="1"/>
              <w:tabs>
                <w:tab w:val="clear" w:pos="794"/>
                <w:tab w:val="clear" w:pos="1191"/>
                <w:tab w:val="clear" w:pos="1588"/>
                <w:tab w:val="clear" w:pos="1985"/>
                <w:tab w:val="left" w:pos="284"/>
                <w:tab w:val="left" w:pos="340"/>
              </w:tabs>
            </w:pPr>
            <w:r>
              <w:rPr>
                <w:position w:val="6"/>
                <w:sz w:val="14"/>
              </w:rPr>
              <w:t>(5)</w:t>
            </w:r>
            <w:r>
              <w:tab/>
              <w:t>Les formats MAQ-4 et MAQ-8 coïncident avec les formats MDP-4 et MDP-8 filtrés.</w:t>
            </w:r>
          </w:p>
        </w:tc>
      </w:tr>
    </w:tbl>
    <w:p w14:paraId="57ACB4AA" w14:textId="77777777" w:rsidR="00404BB9" w:rsidRDefault="00404BB9"/>
    <w:p w14:paraId="179BCB28" w14:textId="77777777" w:rsidR="00404BB9" w:rsidRDefault="00404BB9">
      <w:pPr>
        <w:pStyle w:val="Fig"/>
      </w:pPr>
      <w:r>
        <w:br w:type="page"/>
      </w:r>
      <w:r>
        <w:object w:dxaOrig="6634" w:dyaOrig="8540" w14:anchorId="57E1A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426.5pt" o:ole="">
            <v:imagedata r:id="rId7" o:title=""/>
          </v:shape>
          <o:OLEObject Type="Embed" ProgID="Word.Document.8" ShapeID="_x0000_i1025" DrawAspect="Content" ObjectID="_1649157406" r:id="rId8"/>
        </w:object>
      </w:r>
    </w:p>
    <w:p w14:paraId="4ECD7880" w14:textId="77777777" w:rsidR="00404BB9" w:rsidRDefault="00404BB9">
      <w:pPr>
        <w:pStyle w:val="Annex"/>
      </w:pPr>
      <w:r>
        <w:t>ANNEXE  1</w:t>
      </w:r>
    </w:p>
    <w:p w14:paraId="3B949E77" w14:textId="77777777" w:rsidR="00404BB9" w:rsidRDefault="00404BB9">
      <w:pPr>
        <w:pStyle w:val="AnnexTitle"/>
      </w:pPr>
      <w:r>
        <w:t>Calculs des largeurs de bande nécessaires pour</w:t>
      </w:r>
      <w:r>
        <w:br/>
        <w:t>les émissions multivoies MRF-MF</w:t>
      </w:r>
    </w:p>
    <w:p w14:paraId="4F901E83" w14:textId="77777777" w:rsidR="00404BB9" w:rsidRDefault="00404BB9">
      <w:pPr>
        <w:pStyle w:val="Heading1"/>
      </w:pPr>
      <w:r>
        <w:t>1</w:t>
      </w:r>
      <w:r>
        <w:tab/>
        <w:t>Emissions multivoies MRF-MF</w:t>
      </w:r>
    </w:p>
    <w:p w14:paraId="66EF54EA" w14:textId="77777777" w:rsidR="00404BB9" w:rsidRDefault="00404BB9">
      <w:r>
        <w:t>La Recommandation UIT-R SM.1138 «Détermination des largeurs de bande nécessaires, exemples de calculs de la largeur de bande nécessaire et exemples connexes de désignation des émissions» indique, au Tableau III-B de l'Annexe 1, les facteurs de multiplication à utiliser pour calculer l'excursion de fréquence de crête dans les émissions multivoies MRF-MF. L'excursion de fréquence de crête est un facteur critique dans la règle de Carson</w:t>
      </w:r>
      <w:r>
        <w:rPr>
          <w:i/>
        </w:rPr>
        <w:t xml:space="preserve"> B</w:t>
      </w:r>
      <w:r>
        <w:rPr>
          <w:i/>
          <w:position w:val="-3"/>
          <w:sz w:val="16"/>
        </w:rPr>
        <w:t>n</w:t>
      </w:r>
      <w:r>
        <w:t> </w:t>
      </w:r>
      <w:r>
        <w:rPr>
          <w:rFonts w:ascii="Symbol" w:hAnsi="Symbol"/>
        </w:rPr>
        <w:t></w:t>
      </w:r>
      <w:r>
        <w:t> 2</w:t>
      </w:r>
      <w:r>
        <w:rPr>
          <w:i/>
        </w:rPr>
        <w:t>M</w:t>
      </w:r>
      <w:r>
        <w:t> </w:t>
      </w:r>
      <w:r>
        <w:rPr>
          <w:rFonts w:ascii="Symbol" w:hAnsi="Symbol"/>
        </w:rPr>
        <w:t></w:t>
      </w:r>
      <w:r>
        <w:t> 2</w:t>
      </w:r>
      <w:r>
        <w:rPr>
          <w:i/>
        </w:rPr>
        <w:t>DK</w:t>
      </w:r>
      <w:r>
        <w:t>, qui est utilisée pour calculer la largeur de bande nécessaire aux fins d'attribution du spectre des fréquences. Le Tableau III-B est reproduit ci-après en tant que Tableau 3.</w:t>
      </w:r>
    </w:p>
    <w:p w14:paraId="0699803C" w14:textId="77777777" w:rsidR="00404BB9" w:rsidRDefault="00404BB9">
      <w:pPr>
        <w:rPr>
          <w:sz w:val="18"/>
        </w:rPr>
      </w:pPr>
      <w:r>
        <w:t>Dans ce Tableau, les facteurs 2,6, –1 et –15 qui représentent les valeurs de puissance moyenne (dBm0 (voir la Note 1)), ont été mesurés sur un circuit du réseau public téléphonique commercial à commutation. Les valeurs sont en fait fondées sur des mesures du «volume pour la personne qui parle» effectuées en 1960 et déjà approuvées par l'ex-CCIR et aussi lors de la Conférence administrative mondiale des radiocommunications, Genève, 1979, aux fins du calcul des largeurs de bande nécessaires.</w:t>
      </w:r>
    </w:p>
    <w:p w14:paraId="49D92E80" w14:textId="77777777" w:rsidR="00404BB9" w:rsidRDefault="00404BB9">
      <w:pPr>
        <w:pStyle w:val="Note"/>
      </w:pPr>
      <w:r>
        <w:t>NOTE 1 – «dBm0» désigne la puissance (dB) par rapport à 1 mW rapporté à un point de niveau de transmission relatif zéro.</w:t>
      </w:r>
    </w:p>
    <w:p w14:paraId="2BD9C0E3" w14:textId="77777777" w:rsidR="00404BB9" w:rsidRDefault="00404BB9">
      <w:pPr>
        <w:pStyle w:val="Table"/>
      </w:pPr>
      <w:r>
        <w:br w:type="page"/>
        <w:t>TABLEAU  3</w:t>
      </w:r>
    </w:p>
    <w:p w14:paraId="5BC99CE1" w14:textId="77777777" w:rsidR="00404BB9" w:rsidRDefault="00404BB9">
      <w:pPr>
        <w:pStyle w:val="TableTitle"/>
      </w:pPr>
      <w:r>
        <w:t>Emissions multivoies MRF-MF</w:t>
      </w:r>
    </w:p>
    <w:p w14:paraId="60944A77" w14:textId="77777777" w:rsidR="00404BB9" w:rsidRDefault="00404BB9">
      <w:pPr>
        <w:pStyle w:val="Blanc"/>
      </w:pPr>
    </w:p>
    <w:tbl>
      <w:tblPr>
        <w:tblW w:w="0" w:type="auto"/>
        <w:jc w:val="center"/>
        <w:tblLayout w:type="fixed"/>
        <w:tblCellMar>
          <w:left w:w="107" w:type="dxa"/>
          <w:right w:w="107" w:type="dxa"/>
        </w:tblCellMar>
        <w:tblLook w:val="0000" w:firstRow="0" w:lastRow="0" w:firstColumn="0" w:lastColumn="0" w:noHBand="0" w:noVBand="0"/>
      </w:tblPr>
      <w:tblGrid>
        <w:gridCol w:w="1701"/>
        <w:gridCol w:w="3238"/>
        <w:gridCol w:w="3284"/>
      </w:tblGrid>
      <w:tr w:rsidR="00A937E0" w14:paraId="086A4F46" w14:textId="77777777" w:rsidTr="003010CA">
        <w:trPr>
          <w:cantSplit/>
          <w:jc w:val="center"/>
        </w:trPr>
        <w:tc>
          <w:tcPr>
            <w:tcW w:w="8223" w:type="dxa"/>
            <w:gridSpan w:val="3"/>
            <w:tcBorders>
              <w:top w:val="single" w:sz="6" w:space="0" w:color="auto"/>
              <w:left w:val="single" w:sz="6" w:space="0" w:color="auto"/>
              <w:bottom w:val="single" w:sz="6" w:space="0" w:color="auto"/>
              <w:right w:val="single" w:sz="6" w:space="0" w:color="auto"/>
            </w:tcBorders>
          </w:tcPr>
          <w:p w14:paraId="33F99232" w14:textId="77777777" w:rsidR="00404BB9" w:rsidRDefault="00404BB9">
            <w:pPr>
              <w:pStyle w:val="TableText"/>
              <w:framePr w:hSpace="181" w:wrap="notBeside" w:vAnchor="text" w:hAnchor="page" w:xAlign="center" w:y="1"/>
              <w:spacing w:before="140" w:after="140"/>
              <w:jc w:val="center"/>
            </w:pPr>
            <w:r>
              <w:t xml:space="preserve">FACTEURS  DE  MULTIPLICATION  À  UTILISER  POUR  CALCULER  </w:t>
            </w:r>
            <w:r>
              <w:rPr>
                <w:i/>
              </w:rPr>
              <w:t>D</w:t>
            </w:r>
            <w:r>
              <w:t>,</w:t>
            </w:r>
            <w:r>
              <w:br/>
              <w:t>EXCURSION  DE  FRÉQUENCE  DE  CRÊTE,  DANS  LES  ÉMISSIONS</w:t>
            </w:r>
            <w:r>
              <w:br/>
              <w:t>MULTIVOIES  À  MODULATION  DE  FRÉQUENCE  ET  MULTIPLEXAGE</w:t>
            </w:r>
            <w:r>
              <w:br/>
              <w:t>PAR  RÉPARTITION  EN  FRÉQUENCE  (MF-MRF)</w:t>
            </w:r>
          </w:p>
        </w:tc>
      </w:tr>
      <w:tr w:rsidR="00A937E0" w14:paraId="314AEFDF" w14:textId="77777777" w:rsidTr="003010CA">
        <w:trPr>
          <w:cantSplit/>
          <w:jc w:val="center"/>
        </w:trPr>
        <w:tc>
          <w:tcPr>
            <w:tcW w:w="8223" w:type="dxa"/>
            <w:gridSpan w:val="3"/>
            <w:tcBorders>
              <w:top w:val="single" w:sz="6" w:space="0" w:color="auto"/>
              <w:left w:val="single" w:sz="6" w:space="0" w:color="auto"/>
              <w:bottom w:val="single" w:sz="6" w:space="0" w:color="auto"/>
              <w:right w:val="single" w:sz="6" w:space="0" w:color="auto"/>
            </w:tcBorders>
          </w:tcPr>
          <w:p w14:paraId="716FF25D" w14:textId="77777777" w:rsidR="00404BB9" w:rsidRDefault="00404BB9">
            <w:pPr>
              <w:pStyle w:val="TableText"/>
              <w:framePr w:hSpace="181" w:wrap="notBeside" w:vAnchor="text" w:hAnchor="page" w:xAlign="center" w:y="1"/>
              <w:tabs>
                <w:tab w:val="clear" w:pos="794"/>
                <w:tab w:val="clear" w:pos="1191"/>
                <w:tab w:val="clear" w:pos="1588"/>
                <w:tab w:val="clear" w:pos="1985"/>
                <w:tab w:val="left" w:pos="284"/>
              </w:tabs>
              <w:jc w:val="left"/>
            </w:pPr>
            <w:r>
              <w:t>Pour les systèmes MF-MRF, la largeur de bande nécessaire est:</w:t>
            </w:r>
          </w:p>
          <w:p w14:paraId="6EB1D3FE" w14:textId="77777777" w:rsidR="00404BB9" w:rsidRDefault="00404BB9">
            <w:pPr>
              <w:pStyle w:val="TableText"/>
              <w:framePr w:hSpace="181" w:wrap="notBeside" w:vAnchor="text" w:hAnchor="page" w:xAlign="center" w:y="1"/>
              <w:tabs>
                <w:tab w:val="clear" w:pos="794"/>
                <w:tab w:val="clear" w:pos="1191"/>
                <w:tab w:val="clear" w:pos="1588"/>
                <w:tab w:val="clear" w:pos="1985"/>
                <w:tab w:val="left" w:pos="284"/>
              </w:tabs>
              <w:jc w:val="center"/>
            </w:pPr>
            <w:r>
              <w:rPr>
                <w:i/>
              </w:rPr>
              <w:t>B</w:t>
            </w:r>
            <w:r>
              <w:rPr>
                <w:i/>
                <w:position w:val="-3"/>
                <w:sz w:val="14"/>
              </w:rPr>
              <w:t>n</w:t>
            </w:r>
            <w:r>
              <w:t xml:space="preserve">  </w:t>
            </w:r>
            <w:r>
              <w:rPr>
                <w:rFonts w:ascii="Symbol" w:hAnsi="Symbol"/>
              </w:rPr>
              <w:t></w:t>
            </w:r>
            <w:r>
              <w:t xml:space="preserve">  2 </w:t>
            </w:r>
            <w:r>
              <w:rPr>
                <w:i/>
              </w:rPr>
              <w:t>M</w:t>
            </w:r>
            <w:r>
              <w:t xml:space="preserve">  </w:t>
            </w:r>
            <w:r>
              <w:rPr>
                <w:rFonts w:ascii="Symbol" w:hAnsi="Symbol"/>
              </w:rPr>
              <w:t></w:t>
            </w:r>
            <w:r>
              <w:t xml:space="preserve">  2 </w:t>
            </w:r>
            <w:r>
              <w:rPr>
                <w:i/>
              </w:rPr>
              <w:t>DK</w:t>
            </w:r>
          </w:p>
          <w:p w14:paraId="371E9B01" w14:textId="77777777" w:rsidR="00404BB9" w:rsidRDefault="00404BB9">
            <w:pPr>
              <w:pStyle w:val="TableText"/>
              <w:framePr w:hSpace="181" w:wrap="notBeside" w:vAnchor="text" w:hAnchor="page" w:xAlign="center" w:y="1"/>
              <w:tabs>
                <w:tab w:val="clear" w:pos="794"/>
                <w:tab w:val="clear" w:pos="1191"/>
                <w:tab w:val="clear" w:pos="1588"/>
                <w:tab w:val="clear" w:pos="1985"/>
                <w:tab w:val="left" w:pos="284"/>
              </w:tabs>
              <w:rPr>
                <w:position w:val="-3"/>
                <w:sz w:val="14"/>
              </w:rPr>
            </w:pPr>
            <w:r>
              <w:t xml:space="preserve">On calcule la valeur de </w:t>
            </w:r>
            <w:r>
              <w:rPr>
                <w:i/>
              </w:rPr>
              <w:t>D</w:t>
            </w:r>
            <w:r>
              <w:t xml:space="preserve">, ou excursion de fréquence de crête dans les formules pour </w:t>
            </w:r>
            <w:r>
              <w:rPr>
                <w:i/>
              </w:rPr>
              <w:t>B</w:t>
            </w:r>
            <w:r>
              <w:rPr>
                <w:i/>
                <w:position w:val="-3"/>
                <w:sz w:val="14"/>
              </w:rPr>
              <w:t xml:space="preserve">n </w:t>
            </w:r>
            <w:r>
              <w:t>en multipliant la valeur efficace d'excursion par voie par le «facteur multiplicatif» approprié indiqué ci-dessous.</w:t>
            </w:r>
          </w:p>
          <w:p w14:paraId="2C2D4636" w14:textId="77777777" w:rsidR="00404BB9" w:rsidRDefault="00404BB9">
            <w:pPr>
              <w:pStyle w:val="TableText"/>
              <w:framePr w:hSpace="181" w:wrap="notBeside" w:vAnchor="text" w:hAnchor="page" w:xAlign="center" w:y="1"/>
              <w:tabs>
                <w:tab w:val="clear" w:pos="794"/>
                <w:tab w:val="clear" w:pos="1191"/>
                <w:tab w:val="clear" w:pos="1588"/>
                <w:tab w:val="clear" w:pos="1985"/>
                <w:tab w:val="left" w:pos="284"/>
              </w:tabs>
              <w:spacing w:line="240" w:lineRule="auto"/>
            </w:pPr>
            <w:r>
              <w:t>Dans le cas où une onde pilote de continuité de fréquence</w:t>
            </w:r>
            <w:r>
              <w:rPr>
                <w:position w:val="-3"/>
                <w:sz w:val="14"/>
              </w:rPr>
              <w:t xml:space="preserve"> </w:t>
            </w:r>
            <w:r>
              <w:rPr>
                <w:i/>
              </w:rPr>
              <w:t>f</w:t>
            </w:r>
            <w:r>
              <w:rPr>
                <w:i/>
                <w:position w:val="-2"/>
                <w:sz w:val="14"/>
              </w:rPr>
              <w:t>p</w:t>
            </w:r>
            <w:r>
              <w:t xml:space="preserve"> est présente au-dessus de la fréquence maximale de modulation </w:t>
            </w:r>
            <w:r>
              <w:rPr>
                <w:i/>
              </w:rPr>
              <w:t>M</w:t>
            </w:r>
            <w:r>
              <w:t>, la formule générale prend la forme suivante:</w:t>
            </w:r>
          </w:p>
          <w:p w14:paraId="5FEB5F14" w14:textId="77777777" w:rsidR="00404BB9" w:rsidRDefault="00404BB9">
            <w:pPr>
              <w:pStyle w:val="TableText"/>
              <w:framePr w:hSpace="181" w:wrap="notBeside" w:vAnchor="text" w:hAnchor="page" w:xAlign="center" w:y="1"/>
              <w:tabs>
                <w:tab w:val="clear" w:pos="794"/>
                <w:tab w:val="clear" w:pos="1191"/>
                <w:tab w:val="clear" w:pos="1588"/>
                <w:tab w:val="clear" w:pos="1985"/>
                <w:tab w:val="left" w:pos="284"/>
              </w:tabs>
              <w:jc w:val="center"/>
            </w:pPr>
            <w:r>
              <w:rPr>
                <w:i/>
              </w:rPr>
              <w:t>B</w:t>
            </w:r>
            <w:r>
              <w:rPr>
                <w:i/>
                <w:position w:val="-3"/>
                <w:sz w:val="14"/>
              </w:rPr>
              <w:t>n</w:t>
            </w:r>
            <w:r>
              <w:t xml:space="preserve">  </w:t>
            </w:r>
            <w:r>
              <w:rPr>
                <w:rFonts w:ascii="Symbol" w:hAnsi="Symbol"/>
              </w:rPr>
              <w:t></w:t>
            </w:r>
            <w:r>
              <w:t xml:space="preserve">  2</w:t>
            </w:r>
            <w:r>
              <w:rPr>
                <w:sz w:val="12"/>
              </w:rPr>
              <w:t> </w:t>
            </w:r>
            <w:r>
              <w:rPr>
                <w:i/>
              </w:rPr>
              <w:t>f</w:t>
            </w:r>
            <w:r>
              <w:rPr>
                <w:i/>
                <w:position w:val="-2"/>
                <w:sz w:val="14"/>
              </w:rPr>
              <w:t>p</w:t>
            </w:r>
            <w:r>
              <w:t xml:space="preserve">  </w:t>
            </w:r>
            <w:r>
              <w:rPr>
                <w:rFonts w:ascii="Symbol" w:hAnsi="Symbol"/>
              </w:rPr>
              <w:t></w:t>
            </w:r>
            <w:r>
              <w:t xml:space="preserve">  2 </w:t>
            </w:r>
            <w:r>
              <w:rPr>
                <w:i/>
              </w:rPr>
              <w:t>DK</w:t>
            </w:r>
          </w:p>
          <w:p w14:paraId="63AB7DD2" w14:textId="77777777" w:rsidR="00404BB9" w:rsidRDefault="00404BB9">
            <w:pPr>
              <w:pStyle w:val="TableText"/>
              <w:framePr w:hSpace="181" w:wrap="notBeside" w:vAnchor="text" w:hAnchor="page" w:xAlign="center" w:y="1"/>
              <w:tabs>
                <w:tab w:val="clear" w:pos="794"/>
                <w:tab w:val="clear" w:pos="1191"/>
                <w:tab w:val="clear" w:pos="1588"/>
                <w:tab w:val="clear" w:pos="1985"/>
                <w:tab w:val="left" w:pos="284"/>
              </w:tabs>
            </w:pPr>
            <w:r>
              <w:t>Dans le cas où l'indice de modulation de la porteuse principale produit par l'onde pilote est inférieur à 0,25 et où la valeur efficace de l'excursion de fréquence de la porteuse principale produite par l'onde pilote est inférieure ou égale à 70% de la valeur efficace de l'excursion par voie, la formule générale prend celle des deux formes ci-après qui donne la valeur la plus grande:</w:t>
            </w:r>
          </w:p>
          <w:p w14:paraId="4506CF49" w14:textId="77777777" w:rsidR="00404BB9" w:rsidRDefault="00404BB9">
            <w:pPr>
              <w:pStyle w:val="TableText"/>
              <w:framePr w:hSpace="181" w:wrap="notBeside" w:vAnchor="text" w:hAnchor="page" w:xAlign="center" w:y="1"/>
              <w:tabs>
                <w:tab w:val="clear" w:pos="794"/>
                <w:tab w:val="clear" w:pos="1191"/>
                <w:tab w:val="clear" w:pos="1588"/>
                <w:tab w:val="clear" w:pos="1985"/>
                <w:tab w:val="left" w:pos="284"/>
              </w:tabs>
              <w:jc w:val="center"/>
            </w:pPr>
            <w:r>
              <w:rPr>
                <w:i/>
              </w:rPr>
              <w:t>B</w:t>
            </w:r>
            <w:r>
              <w:rPr>
                <w:i/>
                <w:position w:val="-3"/>
                <w:sz w:val="14"/>
              </w:rPr>
              <w:t>n</w:t>
            </w:r>
            <w:r>
              <w:t xml:space="preserve">  </w:t>
            </w:r>
            <w:r>
              <w:rPr>
                <w:rFonts w:ascii="Symbol" w:hAnsi="Symbol"/>
              </w:rPr>
              <w:t></w:t>
            </w:r>
            <w:r>
              <w:t xml:space="preserve">  2</w:t>
            </w:r>
            <w:r>
              <w:rPr>
                <w:sz w:val="12"/>
              </w:rPr>
              <w:t> </w:t>
            </w:r>
            <w:r>
              <w:rPr>
                <w:i/>
              </w:rPr>
              <w:t>f</w:t>
            </w:r>
            <w:r>
              <w:rPr>
                <w:i/>
                <w:position w:val="-2"/>
                <w:sz w:val="14"/>
              </w:rPr>
              <w:t>p</w:t>
            </w:r>
            <w:r>
              <w:t xml:space="preserve">      ou     </w:t>
            </w:r>
            <w:r>
              <w:rPr>
                <w:i/>
              </w:rPr>
              <w:t>B</w:t>
            </w:r>
            <w:r>
              <w:rPr>
                <w:i/>
                <w:position w:val="-3"/>
                <w:sz w:val="14"/>
              </w:rPr>
              <w:t>n</w:t>
            </w:r>
            <w:r>
              <w:t xml:space="preserve">  </w:t>
            </w:r>
            <w:r>
              <w:rPr>
                <w:rFonts w:ascii="Symbol" w:hAnsi="Symbol"/>
              </w:rPr>
              <w:t></w:t>
            </w:r>
            <w:r>
              <w:t xml:space="preserve">  2 </w:t>
            </w:r>
            <w:r>
              <w:rPr>
                <w:i/>
              </w:rPr>
              <w:t>M</w:t>
            </w:r>
            <w:r>
              <w:t xml:space="preserve">  </w:t>
            </w:r>
            <w:r>
              <w:rPr>
                <w:rFonts w:ascii="Symbol" w:hAnsi="Symbol"/>
              </w:rPr>
              <w:t></w:t>
            </w:r>
            <w:r>
              <w:t xml:space="preserve">  2 </w:t>
            </w:r>
            <w:r>
              <w:rPr>
                <w:i/>
              </w:rPr>
              <w:t>DK</w:t>
            </w:r>
          </w:p>
        </w:tc>
      </w:tr>
      <w:tr w:rsidR="00A937E0" w14:paraId="33BFA9E6" w14:textId="77777777" w:rsidTr="00A937E0">
        <w:trPr>
          <w:cantSplit/>
          <w:jc w:val="center"/>
        </w:trPr>
        <w:tc>
          <w:tcPr>
            <w:tcW w:w="1701" w:type="dxa"/>
            <w:tcBorders>
              <w:top w:val="single" w:sz="6" w:space="0" w:color="auto"/>
              <w:left w:val="single" w:sz="6" w:space="0" w:color="auto"/>
              <w:right w:val="single" w:sz="6" w:space="0" w:color="auto"/>
            </w:tcBorders>
          </w:tcPr>
          <w:p w14:paraId="22E11B60" w14:textId="77777777" w:rsidR="00404BB9" w:rsidRDefault="00404BB9">
            <w:pPr>
              <w:pStyle w:val="TableText"/>
              <w:framePr w:hSpace="181" w:wrap="notBeside" w:vAnchor="text" w:hAnchor="page" w:xAlign="center" w:y="1"/>
              <w:spacing w:before="280" w:after="0" w:line="240" w:lineRule="auto"/>
              <w:jc w:val="center"/>
            </w:pPr>
          </w:p>
        </w:tc>
        <w:tc>
          <w:tcPr>
            <w:tcW w:w="6522" w:type="dxa"/>
            <w:gridSpan w:val="2"/>
            <w:tcBorders>
              <w:top w:val="single" w:sz="6" w:space="0" w:color="auto"/>
              <w:bottom w:val="single" w:sz="6" w:space="0" w:color="auto"/>
              <w:right w:val="single" w:sz="6" w:space="0" w:color="auto"/>
            </w:tcBorders>
          </w:tcPr>
          <w:p w14:paraId="30E3F1CA" w14:textId="77777777" w:rsidR="00404BB9" w:rsidRDefault="00404BB9">
            <w:pPr>
              <w:pStyle w:val="TableText"/>
              <w:framePr w:hSpace="181" w:wrap="notBeside" w:vAnchor="text" w:hAnchor="page" w:xAlign="center" w:y="1"/>
              <w:spacing w:before="140" w:after="140"/>
              <w:jc w:val="center"/>
            </w:pPr>
            <w:r>
              <w:t>Facteur multiplicatif</w:t>
            </w:r>
            <w:r>
              <w:rPr>
                <w:position w:val="6"/>
                <w:sz w:val="14"/>
              </w:rPr>
              <w:t>(1)</w:t>
            </w:r>
          </w:p>
        </w:tc>
      </w:tr>
      <w:tr w:rsidR="00404BB9" w14:paraId="2C40C3CC" w14:textId="77777777" w:rsidTr="003010CA">
        <w:trPr>
          <w:cantSplit/>
          <w:jc w:val="center"/>
        </w:trPr>
        <w:tc>
          <w:tcPr>
            <w:tcW w:w="1701" w:type="dxa"/>
            <w:tcBorders>
              <w:left w:val="single" w:sz="6" w:space="0" w:color="auto"/>
              <w:bottom w:val="single" w:sz="6" w:space="0" w:color="auto"/>
              <w:right w:val="single" w:sz="6" w:space="0" w:color="auto"/>
            </w:tcBorders>
          </w:tcPr>
          <w:p w14:paraId="5AE5BC63" w14:textId="77777777" w:rsidR="00404BB9" w:rsidRDefault="00404BB9">
            <w:pPr>
              <w:pStyle w:val="TableText"/>
              <w:framePr w:hSpace="181" w:wrap="notBeside" w:vAnchor="text" w:hAnchor="page" w:xAlign="center" w:y="1"/>
              <w:spacing w:before="280" w:after="160"/>
              <w:jc w:val="center"/>
            </w:pPr>
            <w:r>
              <w:br/>
            </w:r>
            <w:r>
              <w:br/>
              <w:t xml:space="preserve">Nombre de voies téléphoniques </w:t>
            </w:r>
            <w:r>
              <w:rPr>
                <w:i/>
              </w:rPr>
              <w:t>N</w:t>
            </w:r>
            <w:r>
              <w:rPr>
                <w:i/>
                <w:position w:val="-3"/>
                <w:sz w:val="14"/>
              </w:rPr>
              <w:t>c</w:t>
            </w:r>
          </w:p>
        </w:tc>
        <w:tc>
          <w:tcPr>
            <w:tcW w:w="3238" w:type="dxa"/>
            <w:tcBorders>
              <w:top w:val="single" w:sz="6" w:space="0" w:color="auto"/>
              <w:bottom w:val="single" w:sz="6" w:space="0" w:color="auto"/>
            </w:tcBorders>
          </w:tcPr>
          <w:p w14:paraId="3A790805" w14:textId="77777777" w:rsidR="00404BB9" w:rsidRDefault="00404BB9">
            <w:pPr>
              <w:pStyle w:val="TableText"/>
              <w:framePr w:hSpace="181" w:wrap="notBeside" w:vAnchor="text" w:hAnchor="page" w:xAlign="center" w:y="1"/>
              <w:spacing w:before="280"/>
              <w:jc w:val="right"/>
            </w:pPr>
            <w:r>
              <w:br/>
            </w:r>
            <w:r>
              <w:br/>
              <w:t xml:space="preserve">(Facteur de crête)  </w:t>
            </w:r>
            <w:r>
              <w:rPr>
                <w:rFonts w:ascii="Symbol" w:hAnsi="Symbol"/>
              </w:rPr>
              <w:t></w:t>
            </w:r>
            <w:r>
              <w:t xml:space="preserve">  antilog</w:t>
            </w:r>
          </w:p>
        </w:tc>
        <w:tc>
          <w:tcPr>
            <w:tcW w:w="3284" w:type="dxa"/>
            <w:tcBorders>
              <w:top w:val="single" w:sz="6" w:space="0" w:color="auto"/>
              <w:bottom w:val="single" w:sz="6" w:space="0" w:color="auto"/>
              <w:right w:val="single" w:sz="6" w:space="0" w:color="auto"/>
            </w:tcBorders>
          </w:tcPr>
          <w:p w14:paraId="50356A6D" w14:textId="77777777" w:rsidR="00404BB9" w:rsidRDefault="00404BB9">
            <w:pPr>
              <w:pStyle w:val="TableText"/>
              <w:framePr w:hSpace="181" w:wrap="notBeside" w:vAnchor="text" w:hAnchor="page" w:xAlign="center" w:y="1"/>
              <w:spacing w:before="160" w:after="160" w:line="240" w:lineRule="auto"/>
              <w:jc w:val="left"/>
            </w:pPr>
            <w:r>
              <w:fldChar w:fldCharType="begin"/>
            </w:r>
            <w:r>
              <w:instrText>eq \b\bc\[(\f(\a(valeur en dB au-dessus,du niveau de,modulation de référence),20))</w:instrText>
            </w:r>
            <w:r>
              <w:fldChar w:fldCharType="end"/>
            </w:r>
          </w:p>
        </w:tc>
      </w:tr>
      <w:tr w:rsidR="003010CA" w14:paraId="6568F477" w14:textId="77777777" w:rsidTr="005A616C">
        <w:trPr>
          <w:cantSplit/>
          <w:jc w:val="center"/>
        </w:trPr>
        <w:tc>
          <w:tcPr>
            <w:tcW w:w="1701" w:type="dxa"/>
            <w:tcBorders>
              <w:top w:val="single" w:sz="6" w:space="0" w:color="auto"/>
              <w:left w:val="single" w:sz="6" w:space="0" w:color="auto"/>
              <w:bottom w:val="single" w:sz="6" w:space="0" w:color="auto"/>
              <w:right w:val="single" w:sz="6" w:space="0" w:color="auto"/>
            </w:tcBorders>
          </w:tcPr>
          <w:p w14:paraId="4BA427AD" w14:textId="77777777" w:rsidR="003010CA" w:rsidRDefault="003010CA">
            <w:pPr>
              <w:pStyle w:val="TableText"/>
              <w:framePr w:hSpace="181" w:wrap="notBeside" w:vAnchor="text" w:hAnchor="page" w:xAlign="center" w:y="1"/>
              <w:spacing w:before="160" w:after="160"/>
              <w:jc w:val="center"/>
            </w:pPr>
            <w:r>
              <w:br/>
            </w:r>
            <w:r>
              <w:br/>
            </w:r>
            <w:r>
              <w:br/>
            </w:r>
            <w:r>
              <w:br/>
            </w:r>
            <w:r>
              <w:br/>
            </w:r>
            <w:r>
              <w:br/>
              <w:t xml:space="preserve">3  &lt;  </w:t>
            </w:r>
            <w:r>
              <w:rPr>
                <w:i/>
              </w:rPr>
              <w:t>N</w:t>
            </w:r>
            <w:r>
              <w:rPr>
                <w:i/>
                <w:position w:val="-3"/>
                <w:sz w:val="14"/>
              </w:rPr>
              <w:t>c</w:t>
            </w:r>
            <w:r>
              <w:rPr>
                <w:i/>
              </w:rPr>
              <w:t xml:space="preserve">  </w:t>
            </w:r>
            <w:r>
              <w:t>&lt;  12</w:t>
            </w:r>
          </w:p>
        </w:tc>
        <w:tc>
          <w:tcPr>
            <w:tcW w:w="6522" w:type="dxa"/>
            <w:gridSpan w:val="2"/>
            <w:tcBorders>
              <w:top w:val="single" w:sz="6" w:space="0" w:color="auto"/>
              <w:bottom w:val="single" w:sz="6" w:space="0" w:color="auto"/>
              <w:right w:val="single" w:sz="6" w:space="0" w:color="auto"/>
            </w:tcBorders>
          </w:tcPr>
          <w:p w14:paraId="7392E505" w14:textId="77777777" w:rsidR="003010CA" w:rsidRDefault="003010CA" w:rsidP="003010CA">
            <w:pPr>
              <w:pStyle w:val="TableText"/>
              <w:framePr w:hSpace="181" w:wrap="notBeside" w:vAnchor="text" w:hAnchor="page" w:xAlign="center" w:y="1"/>
              <w:spacing w:before="160" w:after="160" w:line="240" w:lineRule="auto"/>
              <w:jc w:val="center"/>
            </w:pPr>
            <w:r w:rsidRPr="003010CA">
              <w:rPr>
                <w:position w:val="-92"/>
                <w:lang w:val="en-GB"/>
              </w:rPr>
              <w:object w:dxaOrig="3900" w:dyaOrig="1920" w14:anchorId="0796B422">
                <v:shape id="_x0000_i1026" type="#_x0000_t75" style="width:195.5pt;height:96pt" o:ole="">
                  <v:imagedata r:id="rId9" o:title=""/>
                </v:shape>
                <o:OLEObject Type="Embed" ProgID="Equation.DSMT4" ShapeID="_x0000_i1026" DrawAspect="Content" ObjectID="_1649157407" r:id="rId10"/>
              </w:object>
            </w:r>
          </w:p>
        </w:tc>
      </w:tr>
      <w:tr w:rsidR="00404BB9" w14:paraId="734D19F4" w14:textId="77777777" w:rsidTr="003010CA">
        <w:trPr>
          <w:cantSplit/>
          <w:jc w:val="center"/>
        </w:trPr>
        <w:tc>
          <w:tcPr>
            <w:tcW w:w="1701" w:type="dxa"/>
            <w:tcBorders>
              <w:top w:val="single" w:sz="6" w:space="0" w:color="auto"/>
              <w:left w:val="single" w:sz="6" w:space="0" w:color="auto"/>
              <w:bottom w:val="single" w:sz="6" w:space="0" w:color="auto"/>
              <w:right w:val="single" w:sz="6" w:space="0" w:color="auto"/>
            </w:tcBorders>
          </w:tcPr>
          <w:p w14:paraId="0677589E" w14:textId="77777777" w:rsidR="00404BB9" w:rsidRDefault="00404BB9">
            <w:pPr>
              <w:pStyle w:val="TableText"/>
              <w:framePr w:hSpace="181" w:wrap="notBeside" w:vAnchor="text" w:hAnchor="page" w:xAlign="center" w:y="1"/>
              <w:spacing w:before="280"/>
              <w:jc w:val="center"/>
            </w:pPr>
            <w:r>
              <w:t xml:space="preserve">12  </w:t>
            </w:r>
            <w:r>
              <w:rPr>
                <w:rFonts w:ascii="Symbol" w:hAnsi="Symbol"/>
              </w:rPr>
              <w:t></w:t>
            </w:r>
            <w:r>
              <w:t xml:space="preserve">  </w:t>
            </w:r>
            <w:r>
              <w:rPr>
                <w:i/>
              </w:rPr>
              <w:t>N</w:t>
            </w:r>
            <w:r>
              <w:rPr>
                <w:i/>
                <w:position w:val="-3"/>
                <w:sz w:val="14"/>
              </w:rPr>
              <w:t>c</w:t>
            </w:r>
            <w:r>
              <w:t xml:space="preserve">  &lt;  60</w:t>
            </w:r>
          </w:p>
        </w:tc>
        <w:tc>
          <w:tcPr>
            <w:tcW w:w="3238" w:type="dxa"/>
            <w:tcBorders>
              <w:top w:val="single" w:sz="6" w:space="0" w:color="auto"/>
              <w:bottom w:val="single" w:sz="6" w:space="0" w:color="auto"/>
            </w:tcBorders>
          </w:tcPr>
          <w:p w14:paraId="2B8F61A4" w14:textId="77777777" w:rsidR="00404BB9" w:rsidRDefault="00404BB9">
            <w:pPr>
              <w:pStyle w:val="TableText"/>
              <w:framePr w:hSpace="181" w:wrap="notBeside" w:vAnchor="text" w:hAnchor="page" w:xAlign="center" w:y="1"/>
              <w:spacing w:before="280"/>
              <w:jc w:val="right"/>
            </w:pPr>
            <w:r>
              <w:t xml:space="preserve">3,76  </w:t>
            </w:r>
            <w:r>
              <w:rPr>
                <w:rFonts w:ascii="Symbol" w:hAnsi="Symbol"/>
              </w:rPr>
              <w:t></w:t>
            </w:r>
            <w:r>
              <w:t xml:space="preserve">  antilog</w:t>
            </w:r>
          </w:p>
        </w:tc>
        <w:tc>
          <w:tcPr>
            <w:tcW w:w="3284" w:type="dxa"/>
            <w:tcBorders>
              <w:top w:val="single" w:sz="6" w:space="0" w:color="auto"/>
              <w:bottom w:val="single" w:sz="6" w:space="0" w:color="auto"/>
              <w:right w:val="single" w:sz="6" w:space="0" w:color="auto"/>
            </w:tcBorders>
          </w:tcPr>
          <w:p w14:paraId="36A1ABEB" w14:textId="77777777" w:rsidR="00404BB9" w:rsidRDefault="00404BB9">
            <w:pPr>
              <w:pStyle w:val="TableText"/>
              <w:framePr w:hSpace="181" w:wrap="notBeside" w:vAnchor="text" w:hAnchor="page" w:xAlign="center" w:y="1"/>
              <w:spacing w:before="160" w:after="160" w:line="240" w:lineRule="auto"/>
              <w:jc w:val="left"/>
            </w:pPr>
            <w:r>
              <w:fldChar w:fldCharType="begin"/>
            </w:r>
            <w:r>
              <w:instrText xml:space="preserve">eq \b\bc\[(\f(2\,6  </w:instrText>
            </w:r>
            <w:r>
              <w:rPr>
                <w:rFonts w:ascii="Symbol" w:hAnsi="Symbol"/>
              </w:rPr>
              <w:instrText>+</w:instrText>
            </w:r>
            <w:r>
              <w:instrText xml:space="preserve">  2 log </w:instrText>
            </w:r>
            <w:r>
              <w:rPr>
                <w:i/>
              </w:rPr>
              <w:instrText>N</w:instrText>
            </w:r>
            <w:r>
              <w:rPr>
                <w:i/>
                <w:position w:val="-3"/>
                <w:sz w:val="14"/>
              </w:rPr>
              <w:instrText>c</w:instrText>
            </w:r>
            <w:r>
              <w:instrText>,20))</w:instrText>
            </w:r>
            <w:r>
              <w:fldChar w:fldCharType="end"/>
            </w:r>
          </w:p>
        </w:tc>
      </w:tr>
      <w:tr w:rsidR="00404BB9" w14:paraId="402DD207" w14:textId="77777777" w:rsidTr="003010CA">
        <w:trPr>
          <w:cantSplit/>
          <w:jc w:val="center"/>
        </w:trPr>
        <w:tc>
          <w:tcPr>
            <w:tcW w:w="1701" w:type="dxa"/>
            <w:tcBorders>
              <w:top w:val="single" w:sz="6" w:space="0" w:color="auto"/>
              <w:left w:val="single" w:sz="6" w:space="0" w:color="auto"/>
              <w:bottom w:val="single" w:sz="6" w:space="0" w:color="auto"/>
              <w:right w:val="single" w:sz="6" w:space="0" w:color="auto"/>
            </w:tcBorders>
          </w:tcPr>
          <w:p w14:paraId="6FE99FB2" w14:textId="77777777" w:rsidR="00404BB9" w:rsidRDefault="00404BB9">
            <w:pPr>
              <w:pStyle w:val="TableText"/>
              <w:framePr w:hSpace="181" w:wrap="notBeside" w:vAnchor="text" w:hAnchor="page" w:xAlign="center" w:y="1"/>
              <w:spacing w:before="280"/>
              <w:ind w:left="-17" w:right="-17"/>
              <w:jc w:val="center"/>
            </w:pPr>
            <w:r>
              <w:t xml:space="preserve">60  </w:t>
            </w:r>
            <w:r>
              <w:rPr>
                <w:rFonts w:ascii="Symbol" w:hAnsi="Symbol"/>
              </w:rPr>
              <w:t></w:t>
            </w:r>
            <w:r>
              <w:t xml:space="preserve">  </w:t>
            </w:r>
            <w:r>
              <w:rPr>
                <w:i/>
              </w:rPr>
              <w:t>N</w:t>
            </w:r>
            <w:r>
              <w:rPr>
                <w:i/>
                <w:position w:val="-3"/>
                <w:sz w:val="14"/>
              </w:rPr>
              <w:t>c</w:t>
            </w:r>
            <w:r>
              <w:t xml:space="preserve">  &lt;  240</w:t>
            </w:r>
          </w:p>
        </w:tc>
        <w:tc>
          <w:tcPr>
            <w:tcW w:w="3238" w:type="dxa"/>
            <w:tcBorders>
              <w:top w:val="single" w:sz="6" w:space="0" w:color="auto"/>
              <w:bottom w:val="single" w:sz="6" w:space="0" w:color="auto"/>
            </w:tcBorders>
          </w:tcPr>
          <w:p w14:paraId="70A06BD1" w14:textId="77777777" w:rsidR="00404BB9" w:rsidRDefault="00404BB9">
            <w:pPr>
              <w:pStyle w:val="TableText"/>
              <w:framePr w:hSpace="181" w:wrap="notBeside" w:vAnchor="text" w:hAnchor="page" w:xAlign="center" w:y="1"/>
              <w:spacing w:before="280"/>
              <w:jc w:val="right"/>
            </w:pPr>
            <w:r>
              <w:t xml:space="preserve">3,76  </w:t>
            </w:r>
            <w:r>
              <w:rPr>
                <w:rFonts w:ascii="Symbol" w:hAnsi="Symbol"/>
              </w:rPr>
              <w:t></w:t>
            </w:r>
            <w:r>
              <w:t xml:space="preserve">  antilog</w:t>
            </w:r>
          </w:p>
        </w:tc>
        <w:tc>
          <w:tcPr>
            <w:tcW w:w="3284" w:type="dxa"/>
            <w:tcBorders>
              <w:top w:val="single" w:sz="6" w:space="0" w:color="auto"/>
              <w:bottom w:val="single" w:sz="6" w:space="0" w:color="auto"/>
              <w:right w:val="single" w:sz="6" w:space="0" w:color="auto"/>
            </w:tcBorders>
          </w:tcPr>
          <w:p w14:paraId="55553061" w14:textId="77777777" w:rsidR="00404BB9" w:rsidRDefault="00404BB9">
            <w:pPr>
              <w:pStyle w:val="TableText"/>
              <w:framePr w:hSpace="181" w:wrap="notBeside" w:vAnchor="text" w:hAnchor="page" w:xAlign="center" w:y="1"/>
              <w:spacing w:before="160" w:after="160" w:line="240" w:lineRule="auto"/>
              <w:jc w:val="left"/>
            </w:pPr>
            <w:r>
              <w:fldChar w:fldCharType="begin"/>
            </w:r>
            <w:r>
              <w:instrText xml:space="preserve">eq \b\bc\[(\f(–1  </w:instrText>
            </w:r>
            <w:r>
              <w:rPr>
                <w:rFonts w:ascii="Symbol" w:hAnsi="Symbol"/>
              </w:rPr>
              <w:instrText>+</w:instrText>
            </w:r>
            <w:r>
              <w:instrText xml:space="preserve">  4 log </w:instrText>
            </w:r>
            <w:r>
              <w:rPr>
                <w:i/>
              </w:rPr>
              <w:instrText>N</w:instrText>
            </w:r>
            <w:r>
              <w:rPr>
                <w:i/>
                <w:position w:val="-3"/>
                <w:sz w:val="14"/>
              </w:rPr>
              <w:instrText>c</w:instrText>
            </w:r>
            <w:r>
              <w:instrText>,20))</w:instrText>
            </w:r>
            <w:r>
              <w:fldChar w:fldCharType="end"/>
            </w:r>
          </w:p>
        </w:tc>
      </w:tr>
      <w:tr w:rsidR="00404BB9" w14:paraId="655EE6DC" w14:textId="77777777" w:rsidTr="003010CA">
        <w:trPr>
          <w:cantSplit/>
          <w:jc w:val="center"/>
        </w:trPr>
        <w:tc>
          <w:tcPr>
            <w:tcW w:w="1701" w:type="dxa"/>
            <w:tcBorders>
              <w:top w:val="single" w:sz="6" w:space="0" w:color="auto"/>
              <w:left w:val="single" w:sz="6" w:space="0" w:color="auto"/>
              <w:bottom w:val="single" w:sz="6" w:space="0" w:color="auto"/>
              <w:right w:val="single" w:sz="6" w:space="0" w:color="auto"/>
            </w:tcBorders>
          </w:tcPr>
          <w:p w14:paraId="38DF39C0" w14:textId="77777777" w:rsidR="00404BB9" w:rsidRDefault="00404BB9">
            <w:pPr>
              <w:pStyle w:val="TableText"/>
              <w:framePr w:hSpace="181" w:wrap="notBeside" w:vAnchor="text" w:hAnchor="page" w:xAlign="center" w:y="1"/>
              <w:spacing w:before="280"/>
              <w:jc w:val="center"/>
            </w:pPr>
            <w:r>
              <w:rPr>
                <w:i/>
              </w:rPr>
              <w:t>N</w:t>
            </w:r>
            <w:r>
              <w:rPr>
                <w:i/>
                <w:position w:val="-3"/>
                <w:sz w:val="14"/>
              </w:rPr>
              <w:t>c</w:t>
            </w:r>
            <w:r>
              <w:t xml:space="preserve">  </w:t>
            </w:r>
            <w:r>
              <w:rPr>
                <w:rFonts w:ascii="Symbol" w:hAnsi="Symbol"/>
              </w:rPr>
              <w:t></w:t>
            </w:r>
            <w:r>
              <w:t xml:space="preserve">  240</w:t>
            </w:r>
          </w:p>
        </w:tc>
        <w:tc>
          <w:tcPr>
            <w:tcW w:w="3238" w:type="dxa"/>
            <w:tcBorders>
              <w:top w:val="single" w:sz="6" w:space="0" w:color="auto"/>
              <w:bottom w:val="single" w:sz="6" w:space="0" w:color="auto"/>
            </w:tcBorders>
          </w:tcPr>
          <w:p w14:paraId="66B7411B" w14:textId="77777777" w:rsidR="00404BB9" w:rsidRDefault="00404BB9">
            <w:pPr>
              <w:pStyle w:val="TableText"/>
              <w:framePr w:hSpace="181" w:wrap="notBeside" w:vAnchor="text" w:hAnchor="page" w:xAlign="center" w:y="1"/>
              <w:spacing w:before="280"/>
              <w:jc w:val="right"/>
            </w:pPr>
            <w:r>
              <w:t xml:space="preserve">3,76  </w:t>
            </w:r>
            <w:r>
              <w:rPr>
                <w:rFonts w:ascii="Symbol" w:hAnsi="Symbol"/>
              </w:rPr>
              <w:t></w:t>
            </w:r>
            <w:r>
              <w:t xml:space="preserve">  antilog</w:t>
            </w:r>
          </w:p>
        </w:tc>
        <w:tc>
          <w:tcPr>
            <w:tcW w:w="3284" w:type="dxa"/>
            <w:tcBorders>
              <w:top w:val="single" w:sz="6" w:space="0" w:color="auto"/>
              <w:bottom w:val="single" w:sz="6" w:space="0" w:color="auto"/>
              <w:right w:val="single" w:sz="6" w:space="0" w:color="auto"/>
            </w:tcBorders>
          </w:tcPr>
          <w:p w14:paraId="1F499828" w14:textId="77777777" w:rsidR="00404BB9" w:rsidRDefault="00404BB9">
            <w:pPr>
              <w:pStyle w:val="TableText"/>
              <w:framePr w:hSpace="181" w:wrap="notBeside" w:vAnchor="text" w:hAnchor="page" w:xAlign="center" w:y="1"/>
              <w:spacing w:before="160" w:after="160" w:line="240" w:lineRule="auto"/>
              <w:jc w:val="left"/>
            </w:pPr>
            <w:r>
              <w:fldChar w:fldCharType="begin"/>
            </w:r>
            <w:r>
              <w:instrText xml:space="preserve">eq \b\bc\[(\f(–15  </w:instrText>
            </w:r>
            <w:r>
              <w:rPr>
                <w:rFonts w:ascii="Symbol" w:hAnsi="Symbol"/>
              </w:rPr>
              <w:instrText>+</w:instrText>
            </w:r>
            <w:r>
              <w:instrText xml:space="preserve">  10 log </w:instrText>
            </w:r>
            <w:r>
              <w:rPr>
                <w:i/>
              </w:rPr>
              <w:instrText>N</w:instrText>
            </w:r>
            <w:r>
              <w:rPr>
                <w:i/>
                <w:position w:val="-3"/>
                <w:sz w:val="14"/>
              </w:rPr>
              <w:instrText>c</w:instrText>
            </w:r>
            <w:r>
              <w:instrText>,20))</w:instrText>
            </w:r>
            <w:r>
              <w:fldChar w:fldCharType="end"/>
            </w:r>
          </w:p>
        </w:tc>
      </w:tr>
      <w:tr w:rsidR="00404BB9" w14:paraId="0A0E630A" w14:textId="77777777" w:rsidTr="003010CA">
        <w:trPr>
          <w:cantSplit/>
          <w:jc w:val="center"/>
        </w:trPr>
        <w:tc>
          <w:tcPr>
            <w:tcW w:w="8223" w:type="dxa"/>
            <w:gridSpan w:val="3"/>
            <w:tcBorders>
              <w:top w:val="single" w:sz="6" w:space="0" w:color="auto"/>
            </w:tcBorders>
          </w:tcPr>
          <w:p w14:paraId="04CB65D6" w14:textId="77777777" w:rsidR="00404BB9" w:rsidRDefault="00404BB9">
            <w:pPr>
              <w:pStyle w:val="TableLegend"/>
              <w:framePr w:hSpace="181" w:wrap="notBeside" w:vAnchor="text" w:hAnchor="page" w:xAlign="center" w:y="1"/>
              <w:tabs>
                <w:tab w:val="clear" w:pos="794"/>
                <w:tab w:val="clear" w:pos="1191"/>
                <w:tab w:val="clear" w:pos="1588"/>
                <w:tab w:val="clear" w:pos="1985"/>
                <w:tab w:val="left" w:pos="340"/>
              </w:tabs>
              <w:ind w:left="255" w:hanging="340"/>
            </w:pPr>
            <w:r>
              <w:rPr>
                <w:position w:val="6"/>
                <w:sz w:val="14"/>
              </w:rPr>
              <w:t>(1)</w:t>
            </w:r>
            <w:r>
              <w:tab/>
              <w:t>Dans ce Tableau, les facteurs multiplicatifs 3,76 et 4,47 correspondent respectivement à des facteurs de crête de 11,5 dB et 13,0 dB.</w:t>
            </w:r>
          </w:p>
        </w:tc>
      </w:tr>
    </w:tbl>
    <w:p w14:paraId="64FA351F" w14:textId="77777777" w:rsidR="00404BB9" w:rsidRDefault="00404BB9">
      <w:pPr>
        <w:pStyle w:val="Tablefin"/>
      </w:pPr>
    </w:p>
    <w:p w14:paraId="6DD4D2D5" w14:textId="77777777" w:rsidR="00404BB9" w:rsidRDefault="00404BB9">
      <w:r>
        <w:t>Entre 1975 et 1976, d'autres mesures portant sur la puissance du signal vocal ont été effectuées sur les mêmes circuits et les mêmes réseaux, en utilisant une méthodologie similaire, de manière à permettre une comparaison directe des résultats aux travaux antérieurs. Les dernières mesures ont été étudiées à la fois dans les secteurs de l'industrie et du gouver</w:t>
      </w:r>
      <w:r>
        <w:softHyphen/>
        <w:t>nement, depuis cette époque, conduisant finalement à des modifications d'applications domestiques typiques sur les réseaux téléphoniques publics avec commutation.</w:t>
      </w:r>
    </w:p>
    <w:p w14:paraId="18A916CA" w14:textId="77777777" w:rsidR="00404BB9" w:rsidRDefault="00404BB9">
      <w:r>
        <w:br w:type="page"/>
        <w:t>Pour résumer l'étude de 1975-1976, qui indiquait les raisons pour lesquelles il existait des différences par rapport à l'étude antérieure, on a constaté que des changements considérables se sont accumulés pour se traduire par une diminution moyenne d'environ 4,6 dB du niveau de la puissance moyenne pour la personne qui parle. Ces changements ont contribué à augmenter l'uniformité du service dans les réseaux publics à commutation, du point de vue des volumes de conversation. Parmi ces changements, on peut signaler une diminution de la proportion de systèmes interurbains à batteries, des améliorations du plan d'affaiblissement, l'utilisation d'appareils téléphoniques plus perfectionnés et une augmentation de la répartition directe. La numérotation automatique est devenue de pratique courante avec les nouvelles techniques appliquées à la conception des lignes d'abonnés et des circuits de jonction. Par ailleurs, une technique améliorée pour l'acquisition numérique des données a facilité la mesure (en 1975-1976) de la puissance du signal vocal avec une précision meilleure que celle de 1960 lorsqu'on utilisait des vumètres pour cette étude. Par rapport aux mesures effectuées en 1960, l'écart type de toutes les mesures effectuées en 1975-1976 a été réduit en moyenne d'environ 1/3, passant de 7 à 4,6 unités de volume. On a utilisé un plan d'échantillonnage statistique à plusieurs étapes (extrémité rapprochée et extrémité éloignée) pour mesurer la puissance pour la personne qui parle sur plus de 10</w:t>
      </w:r>
      <w:r>
        <w:rPr>
          <w:sz w:val="12"/>
        </w:rPr>
        <w:t> </w:t>
      </w:r>
      <w:r>
        <w:t>000 appels provenant d'environ 2</w:t>
      </w:r>
      <w:r>
        <w:rPr>
          <w:rFonts w:ascii="Tms Rmn" w:hAnsi="Tms Rmn"/>
          <w:sz w:val="12"/>
        </w:rPr>
        <w:t> </w:t>
      </w:r>
      <w:r>
        <w:t>500 lignes d'abonnés. La puissance moyenne du signal de conversation (moyenne établie sur l'ensemble de la période d'observation) et une nouvelle mesure du niveau de la parole appelé niveau équivalent de crête (EPL) ont été utilisées pour caractériser les signaux pour la personne qui parle. Le courant continu de la boucle, la catégorie de service, le type du commutateur et la destination de l'appel ont été enregistrés en tant que partie de l'étude de 1975</w:t>
      </w:r>
      <w:r>
        <w:noBreakHyphen/>
        <w:t>1976.</w:t>
      </w:r>
    </w:p>
    <w:p w14:paraId="29DBFBF5" w14:textId="77777777" w:rsidR="00404BB9" w:rsidRDefault="00404BB9">
      <w:pPr>
        <w:pStyle w:val="Note"/>
      </w:pPr>
      <w:r>
        <w:t xml:space="preserve">NOTE 2 – L'unité de volume est un moyen de mesurer le niveau de la parole avec un indicateur de niveau de puissance étalonné en dB pour une tension sinusoïdale uniforme, avec une référence de 1 mW sur 600 </w:t>
      </w:r>
      <w:r>
        <w:rPr>
          <w:rFonts w:ascii="Symbol" w:hAnsi="Symbol"/>
        </w:rPr>
        <w:t></w:t>
      </w:r>
      <w:r>
        <w:t>. La réponse de l'indicateur n'est pas pondérée en fréquence. Les lectures sur vumètres sont des moyennes obtenues grâce à un ensemble particulier de caractéristiques balistiques (mécaniques) de l'appareil de mesure.</w:t>
      </w:r>
    </w:p>
    <w:p w14:paraId="775D9ECC" w14:textId="77777777" w:rsidR="00404BB9" w:rsidRDefault="00404BB9">
      <w:r>
        <w:t>L'étude ultérieure a montré qu'avec des systèmes du réseau public à commutation (1975 et 1976), la puissance du signal vocal dépendait peu de la destination de l'appel ou de la classe de service d'origine (résidence, affaires, local, interurbain et combiné). Les légères différences étaient pour la plupart expliquées par des caractéristiques de la ligne d'abonné. Il existe peu de variation (sinon aucune) dans la puissance du signal vocal qui soit attribuée, selon les conclusions de l'étude, à des facteurs psychologiques tels que la distance de l'appel ou la perception du volume reçu. Les valeurs moyennes mesurées montrent que le réseau de télécommunications à commutation en 1975-1976 était essentiellement transparent aux abonnés en ce sens que la puissance du signal pour la personne qui parle ne dépendait pas de la distance de l'appel, de la classe de l'appel (local ou interurbain) ou d'autres facteurs indépendants des conditions de la boucle locale. En résumé, on estime que les dernières mesures du niveau pour la personne qui parle montrent les mêmes niveaux de conversation normaux que pour les sujets qui n'utilisent pas le téléphone. En conclusion, on prévoit qu'à l'avenir il y aura peu de changements dans le niveau représentatif pour la personne qui parle dans le réseau téléphonique public à commutation qui a fait l'objet des mesures. Par conséquent, on devrait tenir compte de ce fait dans un examen des formules permettant d'obtenir les largeurs de bande nécessaires pour les systèmes MRF-MF lorsque la téléphonie utilise une partie importante du circuit MRF</w:t>
      </w:r>
      <w:r>
        <w:noBreakHyphen/>
        <w:t>MF total.</w:t>
      </w:r>
    </w:p>
    <w:p w14:paraId="5DA1EC2C" w14:textId="77777777" w:rsidR="00404BB9" w:rsidRDefault="00404BB9">
      <w:r>
        <w:t>Dans la formule de</w:t>
      </w:r>
      <w:r>
        <w:rPr>
          <w:i/>
        </w:rPr>
        <w:t xml:space="preserve"> B</w:t>
      </w:r>
      <w:r>
        <w:rPr>
          <w:i/>
          <w:position w:val="-3"/>
          <w:sz w:val="16"/>
        </w:rPr>
        <w:t>n</w:t>
      </w:r>
      <w:r>
        <w:t>, telle qu'elle est représentée au Tableau 3, les trois facteurs 2,6, –1 et –15 sont des composantes du facteur de multiplication utilisées pour déterminer</w:t>
      </w:r>
      <w:r>
        <w:rPr>
          <w:i/>
        </w:rPr>
        <w:t xml:space="preserve"> D</w:t>
      </w:r>
      <w:r>
        <w:t>, c'est-à-dire l'excursion de fréquence de crête. Les conséquences pratiques d'une réduction de la puissance pour la personne qui parle dans le circuit téléphonique alimentant un circuit radioélectrique MRF-MF se traduisent par une diminution de l'excursion de crête. Il existe trois paramètres indépendants qui déterminent l'excursion de crête du signal MF: ils sont tous limités par la conception du système, la valeur maximale de chacun de ces paramètres est aussi limitée de manière que</w:t>
      </w:r>
      <w:r>
        <w:rPr>
          <w:i/>
        </w:rPr>
        <w:t xml:space="preserve"> D</w:t>
      </w:r>
      <w:r>
        <w:t xml:space="preserve"> ne dépasse pas une valeur prédéterminée (dans les systèmes MRF-MF). Ces paramètres sont les suivants:</w:t>
      </w:r>
    </w:p>
    <w:p w14:paraId="27EE3BC3" w14:textId="77777777" w:rsidR="00404BB9" w:rsidRDefault="00404BB9">
      <w:pPr>
        <w:pStyle w:val="enumlev1"/>
      </w:pPr>
      <w:r>
        <w:t>–</w:t>
      </w:r>
      <w:r>
        <w:tab/>
        <w:t>valeur efficace de l'excursion par voie,</w:t>
      </w:r>
    </w:p>
    <w:p w14:paraId="79777144" w14:textId="77777777" w:rsidR="00404BB9" w:rsidRDefault="00404BB9">
      <w:pPr>
        <w:pStyle w:val="enumlev1"/>
      </w:pPr>
      <w:r>
        <w:t>–</w:t>
      </w:r>
      <w:r>
        <w:tab/>
        <w:t>puissance moyenne dans une voie de message,</w:t>
      </w:r>
    </w:p>
    <w:p w14:paraId="76413E34" w14:textId="77777777" w:rsidR="00404BB9" w:rsidRDefault="00404BB9">
      <w:pPr>
        <w:pStyle w:val="enumlev1"/>
      </w:pPr>
      <w:r>
        <w:t>–</w:t>
      </w:r>
      <w:r>
        <w:tab/>
        <w:t>nombre total de voies dans la charge de message multiplexée.</w:t>
      </w:r>
    </w:p>
    <w:p w14:paraId="3FFC3E83" w14:textId="77777777" w:rsidR="00404BB9" w:rsidRDefault="00404BB9">
      <w:r>
        <w:t>Si la puissance moyenne des signaux vocaux peut être réduite, comme l'a montré l'étude de 1975-1976, un compromis pourrait être établi avec les deux autres paramètres et ce de la manière suivante:</w:t>
      </w:r>
    </w:p>
    <w:p w14:paraId="4AF6F78A" w14:textId="77777777" w:rsidR="00404BB9" w:rsidRDefault="00404BB9">
      <w:pPr>
        <w:pStyle w:val="enumlev1"/>
      </w:pPr>
      <w:r>
        <w:t>–</w:t>
      </w:r>
      <w:r>
        <w:tab/>
        <w:t>en augmentant le nombre de voies tout en maintenant la même largeur de bande nécessaire,</w:t>
      </w:r>
    </w:p>
    <w:p w14:paraId="7F833BB3" w14:textId="77777777" w:rsidR="00404BB9" w:rsidRDefault="00404BB9">
      <w:pPr>
        <w:pStyle w:val="enumlev1"/>
      </w:pPr>
      <w:r>
        <w:t>–</w:t>
      </w:r>
      <w:r>
        <w:tab/>
        <w:t>en augmentant l'efficacité d'utilisation du spectre par réduction de la largeur de bande tout en maintenant le même nombre de voies,</w:t>
      </w:r>
    </w:p>
    <w:p w14:paraId="689648AC" w14:textId="77777777" w:rsidR="00404BB9" w:rsidRDefault="00404BB9">
      <w:pPr>
        <w:pStyle w:val="enumlev1"/>
      </w:pPr>
      <w:r>
        <w:t>–</w:t>
      </w:r>
      <w:r>
        <w:tab/>
        <w:t>en combinant ces deux méthodes.</w:t>
      </w:r>
    </w:p>
    <w:p w14:paraId="686ED80E" w14:textId="77777777" w:rsidR="00404BB9" w:rsidRDefault="00404BB9">
      <w:r>
        <w:t xml:space="preserve">Par exemple, dans les systèmes utilisant des voies de message de qualité téléphonique à 4 kHz, on peut faire varier le rapport trafic de données/trafic téléphonique. Un utilisateur peut choisir de se maintenir dans la bande RF spécifiée et alors prendre un niveau moyen de puissance de voie de message qui sera utilisé pour obtenir un compromis entre l'accroissement du nombre de voies de message et l'excursion de fréquence de chacune d'elles. Pour un rapport trafic de données/trafic téléphonique fixé, un utilisateur peut considérer qu'une augmentation trop importante du nombre de voies </w:t>
      </w:r>
      <w:r>
        <w:br w:type="page"/>
        <w:t>de message à 4 kHz réduirait l'excursion par canal au point de dégrader la qualité du signal. Cependant, on peut choisir un niveau moyen de puissance de voie de message tel qu'il maintient la largeur de bande RF spécifiée et qui permet une certaine augmentation du nombre de voies de message tout en autorisant un accroissement proportionnel de l'excursion de fréquence de chaque voie. Grâce à cette méthode, au lieu d'utiliser tout le spectre disponible pour accroître au maximum le nombre des voies de message, il est possible d'obtenir une augmentation de l'excursion de fréquence de chaque voie, cette augmentation améliorant le rapport signal/bruit et réduisant probablement le taux d'erreur binaire dans le trafic de données.</w:t>
      </w:r>
    </w:p>
    <w:p w14:paraId="7F638EAA" w14:textId="77777777" w:rsidR="00404BB9" w:rsidRDefault="00404BB9">
      <w:r>
        <w:t>On peut concevoir un système hyperfréquence dans lequel on donne au paramètre de niveau moyen de puissance de voie de message une valeur comprise entre celle utilisée dans les équations actuelles et une valeur qui lui est inférieure de 4,6 dB. Lorsque l'on diminue le niveau moyen de puissance de voie de message, on a des raisons valables pour modifier (c'est-à-dire augmenter) les autres paramètres. Cependant, une telle décision est du ressort des exploitants ou des gouvernements concernés qui doivent tenir compte des avantages et des inconvénients des compromis possibles.</w:t>
      </w:r>
    </w:p>
    <w:p w14:paraId="2964FA15" w14:textId="77777777" w:rsidR="00404BB9" w:rsidRDefault="00404BB9">
      <w:r>
        <w:t>Le point important à considérer ici est la reconnaissance du changement du niveau moyen de la puissance pour la personne qui parle. Pour tenir compte de la diminution de 4,6 dB de la puissance moyenne pour la personne qui parle dans les circuits téléphoniques. Typiquement les valeurs 2,6, –1 et –15 sont remplacées par la variable </w:t>
      </w:r>
      <w:r>
        <w:rPr>
          <w:i/>
        </w:rPr>
        <w:t>X</w:t>
      </w:r>
      <w:r>
        <w:t xml:space="preserve"> qui peut être comprise entre les valeurs actuelles et des valeurs correspondantes de 4,6 dB inférieures, selon le nombre total de circuits du système MRF-MF et la composition du système proprement dit.</w:t>
      </w:r>
    </w:p>
    <w:p w14:paraId="21DAC7E1" w14:textId="77777777" w:rsidR="00404BB9" w:rsidRDefault="00404BB9">
      <w:r>
        <w:t xml:space="preserve">Ainsi la largeur de bande nécessaire </w:t>
      </w:r>
      <w:r>
        <w:rPr>
          <w:i/>
        </w:rPr>
        <w:t>B</w:t>
      </w:r>
      <w:r>
        <w:rPr>
          <w:i/>
          <w:position w:val="-3"/>
          <w:sz w:val="16"/>
        </w:rPr>
        <w:t>n</w:t>
      </w:r>
      <w:r>
        <w:t xml:space="preserve"> s'écrit comme suit:</w:t>
      </w:r>
    </w:p>
    <w:p w14:paraId="6132CAD1" w14:textId="77777777" w:rsidR="00404BB9" w:rsidRDefault="00404BB9">
      <w:pPr>
        <w:pStyle w:val="Equation"/>
        <w:jc w:val="center"/>
      </w:pPr>
      <w:r>
        <w:fldChar w:fldCharType="begin"/>
      </w:r>
      <w:r>
        <w:instrText xml:space="preserve">eq </w:instrText>
      </w:r>
      <w:r>
        <w:rPr>
          <w:i/>
        </w:rPr>
        <w:instrText>B</w:instrText>
      </w:r>
      <w:r>
        <w:rPr>
          <w:i/>
          <w:position w:val="-4"/>
          <w:sz w:val="18"/>
        </w:rPr>
        <w:instrText>n</w:instrText>
      </w:r>
      <w:r>
        <w:rPr>
          <w:i/>
          <w:position w:val="-3"/>
          <w:sz w:val="16"/>
        </w:rPr>
        <w:instrText xml:space="preserve"> </w:instrText>
      </w:r>
      <w:r>
        <w:instrText xml:space="preserve"> </w:instrText>
      </w:r>
      <w:r>
        <w:rPr>
          <w:rFonts w:ascii="Symbol" w:hAnsi="Symbol"/>
        </w:rPr>
        <w:instrText>=</w:instrText>
      </w:r>
      <w:r>
        <w:instrText xml:space="preserve">  2</w:instrText>
      </w:r>
      <w:r>
        <w:rPr>
          <w:i/>
        </w:rPr>
        <w:instrText xml:space="preserve">M </w:instrText>
      </w:r>
      <w:r>
        <w:instrText xml:space="preserve"> </w:instrText>
      </w:r>
      <w:r>
        <w:rPr>
          <w:rFonts w:ascii="Symbol" w:hAnsi="Symbol"/>
        </w:rPr>
        <w:instrText>+</w:instrText>
      </w:r>
      <w:r>
        <w:instrText xml:space="preserve">  2 \b\bc\</w:instrText>
      </w:r>
      <w:r>
        <w:rPr>
          <w:rFonts w:ascii="Symbol" w:hAnsi="Symbol"/>
        </w:rPr>
        <w:instrText>[(</w:instrText>
      </w:r>
      <w:r>
        <w:instrText>\s(</w:instrText>
      </w:r>
      <w:r>
        <w:rPr>
          <w:position w:val="-6"/>
          <w:sz w:val="8"/>
        </w:rPr>
        <w:instrText xml:space="preserve"> </w:instrText>
      </w:r>
      <w:r>
        <w:instrText>,</w:instrText>
      </w:r>
      <w:r>
        <w:rPr>
          <w:i/>
        </w:rPr>
        <w:instrText xml:space="preserve">d  </w:instrText>
      </w:r>
      <w:r>
        <w:rPr>
          <w:rFonts w:ascii="Symbol" w:hAnsi="Symbol"/>
        </w:rPr>
        <w:instrText>´</w:instrText>
      </w:r>
      <w:r>
        <w:instrText xml:space="preserve">  3\,76  </w:instrText>
      </w:r>
      <w:r>
        <w:rPr>
          <w:rFonts w:ascii="Symbol" w:hAnsi="Symbol"/>
        </w:rPr>
        <w:instrText>´</w:instrText>
      </w:r>
      <w:r>
        <w:instrText xml:space="preserve">  antilog \b\bc(\f(</w:instrText>
      </w:r>
      <w:r>
        <w:rPr>
          <w:i/>
        </w:rPr>
        <w:instrText>X</w:instrText>
      </w:r>
      <w:r>
        <w:instrText xml:space="preserve">  </w:instrText>
      </w:r>
      <w:r>
        <w:rPr>
          <w:rFonts w:ascii="Symbol" w:hAnsi="Symbol"/>
        </w:rPr>
        <w:instrText>+</w:instrText>
      </w:r>
      <w:r>
        <w:instrText xml:space="preserve">  </w:instrText>
      </w:r>
      <w:r>
        <w:rPr>
          <w:i/>
        </w:rPr>
        <w:instrText xml:space="preserve">Y </w:instrText>
      </w:r>
      <w:r>
        <w:instrText xml:space="preserve">log </w:instrText>
      </w:r>
      <w:r>
        <w:rPr>
          <w:i/>
        </w:rPr>
        <w:instrText>N</w:instrText>
      </w:r>
      <w:r>
        <w:rPr>
          <w:i/>
          <w:position w:val="-4"/>
          <w:sz w:val="18"/>
        </w:rPr>
        <w:instrText>c</w:instrText>
      </w:r>
      <w:r>
        <w:instrText>,20)),</w:instrText>
      </w:r>
      <w:r>
        <w:rPr>
          <w:position w:val="6"/>
          <w:sz w:val="8"/>
        </w:rPr>
        <w:instrText xml:space="preserve"> </w:instrText>
      </w:r>
      <w:r>
        <w:instrText xml:space="preserve">))  </w:instrText>
      </w:r>
      <w:r>
        <w:rPr>
          <w:i/>
        </w:rPr>
        <w:instrText>K</w:instrText>
      </w:r>
      <w:r>
        <w:fldChar w:fldCharType="end"/>
      </w:r>
    </w:p>
    <w:p w14:paraId="749BAA16" w14:textId="77777777" w:rsidR="00404BB9" w:rsidRDefault="00404BB9">
      <w:pPr>
        <w:spacing w:before="240"/>
      </w:pPr>
      <w:r>
        <w:t>où:</w:t>
      </w:r>
    </w:p>
    <w:p w14:paraId="12D8F8FE" w14:textId="77777777" w:rsidR="00404BB9" w:rsidRDefault="00404BB9">
      <w:pPr>
        <w:pStyle w:val="enumlev1"/>
        <w:tabs>
          <w:tab w:val="left" w:pos="794"/>
        </w:tabs>
      </w:pPr>
      <w:r>
        <w:rPr>
          <w:i/>
        </w:rPr>
        <w:tab/>
        <w:t>M</w:t>
      </w:r>
      <w:r>
        <w:rPr>
          <w:rFonts w:ascii="Tms Rmn" w:hAnsi="Tms Rmn"/>
          <w:sz w:val="12"/>
        </w:rPr>
        <w:t> </w:t>
      </w:r>
      <w:r>
        <w:t>:</w:t>
      </w:r>
      <w:r>
        <w:tab/>
        <w:t xml:space="preserve">fréquence de modulation maximale (Hz) </w:t>
      </w:r>
    </w:p>
    <w:p w14:paraId="28D4EA70" w14:textId="77777777" w:rsidR="00404BB9" w:rsidRDefault="00404BB9">
      <w:pPr>
        <w:pStyle w:val="enumlev1"/>
        <w:tabs>
          <w:tab w:val="left" w:pos="794"/>
        </w:tabs>
      </w:pPr>
      <w:r>
        <w:rPr>
          <w:i/>
        </w:rPr>
        <w:tab/>
        <w:t>d</w:t>
      </w:r>
      <w:r>
        <w:rPr>
          <w:rFonts w:ascii="Tms Rmn" w:hAnsi="Tms Rmn"/>
          <w:sz w:val="12"/>
        </w:rPr>
        <w:t> </w:t>
      </w:r>
      <w:r>
        <w:t>:</w:t>
      </w:r>
      <w:r>
        <w:tab/>
        <w:t>excursion par voie</w:t>
      </w:r>
    </w:p>
    <w:p w14:paraId="0B328D14" w14:textId="77777777" w:rsidR="00404BB9" w:rsidRDefault="00404BB9">
      <w:pPr>
        <w:pStyle w:val="enumlev1"/>
        <w:tabs>
          <w:tab w:val="left" w:pos="794"/>
        </w:tabs>
      </w:pPr>
      <w:r>
        <w:rPr>
          <w:i/>
        </w:rPr>
        <w:tab/>
        <w:t>N</w:t>
      </w:r>
      <w:r>
        <w:rPr>
          <w:i/>
          <w:position w:val="-3"/>
          <w:sz w:val="16"/>
        </w:rPr>
        <w:t>c</w:t>
      </w:r>
      <w:r>
        <w:rPr>
          <w:rFonts w:ascii="Tms Rmn" w:hAnsi="Tms Rmn"/>
          <w:position w:val="-4"/>
          <w:sz w:val="12"/>
        </w:rPr>
        <w:t> </w:t>
      </w:r>
      <w:r>
        <w:t>:</w:t>
      </w:r>
      <w:r>
        <w:tab/>
        <w:t>nombre de voies dans la charge de message multiplexée</w:t>
      </w:r>
    </w:p>
    <w:p w14:paraId="2D5AE932" w14:textId="77777777" w:rsidR="00404BB9" w:rsidRDefault="00404BB9">
      <w:pPr>
        <w:pStyle w:val="enumlev1"/>
        <w:tabs>
          <w:tab w:val="left" w:pos="794"/>
        </w:tabs>
      </w:pPr>
      <w:r>
        <w:rPr>
          <w:i/>
        </w:rPr>
        <w:tab/>
        <w:t>K</w:t>
      </w:r>
      <w:r>
        <w:rPr>
          <w:rFonts w:ascii="Tms Rmn" w:hAnsi="Tms Rmn"/>
          <w:position w:val="-4"/>
          <w:sz w:val="12"/>
        </w:rPr>
        <w:t> </w:t>
      </w:r>
      <w:r>
        <w:t>:</w:t>
      </w:r>
      <w:r>
        <w:tab/>
        <w:t>unité</w:t>
      </w:r>
    </w:p>
    <w:p w14:paraId="13B0EE18" w14:textId="77777777" w:rsidR="00404BB9" w:rsidRDefault="00404BB9">
      <w:pPr>
        <w:pStyle w:val="enumlev1"/>
        <w:tabs>
          <w:tab w:val="left" w:pos="794"/>
          <w:tab w:val="left" w:pos="1560"/>
          <w:tab w:val="left" w:pos="1985"/>
          <w:tab w:val="left" w:pos="2835"/>
          <w:tab w:val="left" w:pos="3402"/>
          <w:tab w:val="left" w:pos="4054"/>
          <w:tab w:val="left" w:pos="5245"/>
          <w:tab w:val="left" w:pos="5812"/>
        </w:tabs>
      </w:pPr>
      <w:r>
        <w:tab/>
      </w:r>
      <w:r>
        <w:rPr>
          <w:i/>
        </w:rPr>
        <w:t>X</w:t>
      </w:r>
      <w:r>
        <w:t> </w:t>
      </w:r>
      <w:r>
        <w:rPr>
          <w:rFonts w:ascii="Symbol" w:hAnsi="Symbol"/>
        </w:rPr>
        <w:t></w:t>
      </w:r>
      <w:r>
        <w:tab/>
        <w:t> </w:t>
      </w:r>
      <w:r>
        <w:rPr>
          <w:rFonts w:ascii="Tms Rmn" w:hAnsi="Tms Rmn"/>
          <w:sz w:val="12"/>
        </w:rPr>
        <w:t> </w:t>
      </w:r>
      <w:r>
        <w:rPr>
          <w:color w:val="000000"/>
        </w:rPr>
        <w:t>–</w:t>
      </w:r>
      <w:r>
        <w:t>2</w:t>
      </w:r>
      <w:r>
        <w:t> </w:t>
      </w:r>
      <w:r>
        <w:tab/>
        <w:t>à</w:t>
      </w:r>
      <w:r>
        <w:tab/>
      </w:r>
      <w:r>
        <w:t> </w:t>
      </w:r>
      <w:r>
        <w:t> </w:t>
      </w:r>
      <w:r>
        <w:rPr>
          <w:rFonts w:ascii="Symbol" w:hAnsi="Symbol"/>
        </w:rPr>
        <w:t></w:t>
      </w:r>
      <w:r>
        <w:t>2,6</w:t>
      </w:r>
      <w:r>
        <w:rPr>
          <w:color w:val="FFFFFF"/>
        </w:rPr>
        <w:tab/>
      </w:r>
      <w:r>
        <w:t>pour</w:t>
      </w:r>
      <w:r>
        <w:tab/>
        <w:t>12  </w:t>
      </w:r>
      <w:r>
        <w:rPr>
          <w:rFonts w:ascii="Symbol" w:hAnsi="Symbol"/>
        </w:rPr>
        <w:t></w:t>
      </w:r>
      <w:r>
        <w:tab/>
      </w:r>
      <w:r>
        <w:rPr>
          <w:i/>
        </w:rPr>
        <w:t>N</w:t>
      </w:r>
      <w:r>
        <w:rPr>
          <w:i/>
          <w:position w:val="-3"/>
          <w:sz w:val="16"/>
        </w:rPr>
        <w:t>c</w:t>
      </w:r>
      <w:r>
        <w:rPr>
          <w:i/>
        </w:rPr>
        <w:t>  </w:t>
      </w:r>
      <w:r>
        <w:rPr>
          <w:rFonts w:ascii="Symbol" w:hAnsi="Symbol"/>
        </w:rPr>
        <w:t></w:t>
      </w:r>
      <w:r>
        <w:t>  </w:t>
      </w:r>
      <w:r>
        <w:t> </w:t>
      </w:r>
      <w:r>
        <w:t>60</w:t>
      </w:r>
      <w:r>
        <w:tab/>
        <w:t>et</w:t>
      </w:r>
      <w:r>
        <w:tab/>
        <w:t>pour  </w:t>
      </w:r>
      <w:r>
        <w:rPr>
          <w:i/>
        </w:rPr>
        <w:t>Y</w:t>
      </w:r>
      <w:r>
        <w:t>  </w:t>
      </w:r>
      <w:r>
        <w:rPr>
          <w:rFonts w:ascii="Symbol" w:hAnsi="Symbol"/>
        </w:rPr>
        <w:t></w:t>
      </w:r>
      <w:r>
        <w:t>  </w:t>
      </w:r>
      <w:r>
        <w:t> </w:t>
      </w:r>
      <w:r>
        <w:t>2</w:t>
      </w:r>
    </w:p>
    <w:p w14:paraId="05AADAC6" w14:textId="77777777" w:rsidR="00404BB9" w:rsidRDefault="00404BB9">
      <w:pPr>
        <w:pStyle w:val="enumlev1"/>
        <w:tabs>
          <w:tab w:val="left" w:pos="794"/>
          <w:tab w:val="left" w:pos="1560"/>
          <w:tab w:val="left" w:pos="1985"/>
          <w:tab w:val="left" w:pos="2835"/>
          <w:tab w:val="left" w:pos="3402"/>
          <w:tab w:val="left" w:pos="4054"/>
          <w:tab w:val="left" w:pos="5245"/>
          <w:tab w:val="left" w:pos="5812"/>
        </w:tabs>
      </w:pPr>
      <w:r>
        <w:tab/>
      </w:r>
      <w:r>
        <w:rPr>
          <w:i/>
        </w:rPr>
        <w:t>X</w:t>
      </w:r>
      <w:r>
        <w:t> </w:t>
      </w:r>
      <w:r>
        <w:rPr>
          <w:rFonts w:ascii="Symbol" w:hAnsi="Symbol"/>
        </w:rPr>
        <w:t></w:t>
      </w:r>
      <w:r>
        <w:tab/>
        <w:t> </w:t>
      </w:r>
      <w:r>
        <w:rPr>
          <w:rFonts w:ascii="Tms Rmn" w:hAnsi="Tms Rmn"/>
          <w:sz w:val="12"/>
        </w:rPr>
        <w:t> </w:t>
      </w:r>
      <w:r>
        <w:rPr>
          <w:color w:val="000000"/>
        </w:rPr>
        <w:t>–</w:t>
      </w:r>
      <w:r>
        <w:t>5,6</w:t>
      </w:r>
      <w:r>
        <w:tab/>
        <w:t>à</w:t>
      </w:r>
      <w:r>
        <w:tab/>
      </w:r>
      <w:r>
        <w:t> </w:t>
      </w:r>
      <w:r>
        <w:t> –1,0</w:t>
      </w:r>
      <w:r>
        <w:rPr>
          <w:color w:val="FFFFFF"/>
        </w:rPr>
        <w:tab/>
      </w:r>
      <w:r>
        <w:t>pour</w:t>
      </w:r>
      <w:r>
        <w:tab/>
        <w:t>60  </w:t>
      </w:r>
      <w:r>
        <w:rPr>
          <w:rFonts w:ascii="Symbol" w:hAnsi="Symbol"/>
        </w:rPr>
        <w:t></w:t>
      </w:r>
      <w:r>
        <w:tab/>
      </w:r>
      <w:r>
        <w:rPr>
          <w:i/>
        </w:rPr>
        <w:t>N</w:t>
      </w:r>
      <w:r>
        <w:rPr>
          <w:i/>
          <w:position w:val="-3"/>
          <w:sz w:val="16"/>
        </w:rPr>
        <w:t>c</w:t>
      </w:r>
      <w:r>
        <w:rPr>
          <w:i/>
        </w:rPr>
        <w:t>  </w:t>
      </w:r>
      <w:r>
        <w:rPr>
          <w:rFonts w:ascii="Symbol" w:hAnsi="Symbol"/>
        </w:rPr>
        <w:t></w:t>
      </w:r>
      <w:r>
        <w:t>  240</w:t>
      </w:r>
      <w:r>
        <w:tab/>
        <w:t>et</w:t>
      </w:r>
      <w:r>
        <w:tab/>
        <w:t>pour  </w:t>
      </w:r>
      <w:r>
        <w:rPr>
          <w:i/>
        </w:rPr>
        <w:t>Y</w:t>
      </w:r>
      <w:r>
        <w:t>  </w:t>
      </w:r>
      <w:r>
        <w:rPr>
          <w:rFonts w:ascii="Symbol" w:hAnsi="Symbol"/>
        </w:rPr>
        <w:t></w:t>
      </w:r>
      <w:r>
        <w:t>  </w:t>
      </w:r>
      <w:r>
        <w:t> </w:t>
      </w:r>
      <w:r>
        <w:t>4</w:t>
      </w:r>
    </w:p>
    <w:p w14:paraId="06979F6C" w14:textId="77777777" w:rsidR="00404BB9" w:rsidRDefault="00404BB9">
      <w:pPr>
        <w:pStyle w:val="enumlev1"/>
        <w:tabs>
          <w:tab w:val="left" w:pos="794"/>
          <w:tab w:val="left" w:pos="1560"/>
          <w:tab w:val="left" w:pos="1985"/>
          <w:tab w:val="left" w:pos="2835"/>
          <w:tab w:val="left" w:pos="3402"/>
          <w:tab w:val="left" w:pos="4054"/>
          <w:tab w:val="left" w:pos="5245"/>
          <w:tab w:val="left" w:pos="5812"/>
        </w:tabs>
      </w:pPr>
      <w:r>
        <w:tab/>
      </w:r>
      <w:r>
        <w:rPr>
          <w:i/>
        </w:rPr>
        <w:t>X</w:t>
      </w:r>
      <w:r>
        <w:t> </w:t>
      </w:r>
      <w:r>
        <w:rPr>
          <w:rFonts w:ascii="Symbol" w:hAnsi="Symbol"/>
        </w:rPr>
        <w:t></w:t>
      </w:r>
      <w:r>
        <w:tab/>
        <w:t>–19,6</w:t>
      </w:r>
      <w:r>
        <w:tab/>
        <w:t>à</w:t>
      </w:r>
      <w:r>
        <w:tab/>
        <w:t> –15,0</w:t>
      </w:r>
      <w:r>
        <w:rPr>
          <w:color w:val="FFFFFF"/>
        </w:rPr>
        <w:tab/>
      </w:r>
      <w:r>
        <w:t>pour</w:t>
      </w:r>
      <w:r>
        <w:tab/>
      </w:r>
      <w:r>
        <w:rPr>
          <w:color w:val="FFFFFF"/>
        </w:rPr>
        <w:tab/>
      </w:r>
      <w:r>
        <w:rPr>
          <w:i/>
        </w:rPr>
        <w:t>N</w:t>
      </w:r>
      <w:r>
        <w:rPr>
          <w:i/>
          <w:position w:val="-3"/>
          <w:sz w:val="16"/>
        </w:rPr>
        <w:t>c</w:t>
      </w:r>
      <w:r>
        <w:rPr>
          <w:i/>
        </w:rPr>
        <w:t>  </w:t>
      </w:r>
      <w:r>
        <w:rPr>
          <w:rFonts w:ascii="Symbol" w:hAnsi="Symbol"/>
        </w:rPr>
        <w:t></w:t>
      </w:r>
      <w:r>
        <w:t>  240</w:t>
      </w:r>
      <w:r>
        <w:tab/>
        <w:t>et</w:t>
      </w:r>
      <w:r>
        <w:tab/>
        <w:t>pour  </w:t>
      </w:r>
      <w:r>
        <w:rPr>
          <w:i/>
        </w:rPr>
        <w:t>Y</w:t>
      </w:r>
      <w:r>
        <w:t>  </w:t>
      </w:r>
      <w:r>
        <w:rPr>
          <w:rFonts w:ascii="Symbol" w:hAnsi="Symbol"/>
        </w:rPr>
        <w:t></w:t>
      </w:r>
      <w:r>
        <w:t>  10.</w:t>
      </w:r>
    </w:p>
    <w:p w14:paraId="01CB9C46" w14:textId="77777777" w:rsidR="00404BB9" w:rsidRDefault="00404BB9">
      <w:r>
        <w:t>Le terme entre crochets est l'excursion de crête</w:t>
      </w:r>
      <w:r>
        <w:rPr>
          <w:i/>
        </w:rPr>
        <w:t xml:space="preserve"> D</w:t>
      </w:r>
      <w:r>
        <w:t>. Le numérateur (</w:t>
      </w:r>
      <w:r>
        <w:rPr>
          <w:i/>
        </w:rPr>
        <w:t>X</w:t>
      </w:r>
      <w:r>
        <w:t> </w:t>
      </w:r>
      <w:r>
        <w:rPr>
          <w:rFonts w:ascii="Symbol" w:hAnsi="Symbol"/>
        </w:rPr>
        <w:t></w:t>
      </w:r>
      <w:r>
        <w:rPr>
          <w:i/>
        </w:rPr>
        <w:t> Y</w:t>
      </w:r>
      <w:r>
        <w:t> log</w:t>
      </w:r>
      <w:r>
        <w:rPr>
          <w:i/>
        </w:rPr>
        <w:t> N</w:t>
      </w:r>
      <w:r>
        <w:rPr>
          <w:i/>
          <w:position w:val="-3"/>
          <w:sz w:val="16"/>
        </w:rPr>
        <w:t>c</w:t>
      </w:r>
      <w:r>
        <w:t>) de la fraction représente la puissance moyenne du signal composite à l'entrée du modulateur de l'émetteur. La valeur de 3,76, telle qu'indiquée au Tableau 3, correspond à un facteur de crête de 11,5 dB.</w:t>
      </w:r>
    </w:p>
    <w:p w14:paraId="7B36D915" w14:textId="77777777" w:rsidR="00404BB9" w:rsidRDefault="00404BB9">
      <w:r>
        <w:t>Pour choisir correctement une valeur pour</w:t>
      </w:r>
      <w:r>
        <w:rPr>
          <w:i/>
        </w:rPr>
        <w:t xml:space="preserve"> X</w:t>
      </w:r>
      <w:r>
        <w:t xml:space="preserve"> dans la formule de</w:t>
      </w:r>
      <w:r>
        <w:rPr>
          <w:i/>
        </w:rPr>
        <w:t xml:space="preserve"> B</w:t>
      </w:r>
      <w:r>
        <w:rPr>
          <w:i/>
          <w:position w:val="-3"/>
          <w:sz w:val="16"/>
        </w:rPr>
        <w:t>n</w:t>
      </w:r>
      <w:r>
        <w:t xml:space="preserve">, il est utile de résumer des conditions dans lesquelles cette valeur est utilisée dans un système MRF-MF. Le choix définitif dans la gamme des 4,6 dB peut être empirique. Il est clair d'après les détails de l'étude que les niveaux moyens de puissance pour la personne qui parle de –2, –5,6 et </w:t>
      </w:r>
      <w:r>
        <w:rPr>
          <w:rFonts w:ascii="Symbol" w:hAnsi="Symbol"/>
        </w:rPr>
        <w:noBreakHyphen/>
      </w:r>
      <w:r>
        <w:t>19,6 dBm0 doivent remplacer les nombres correspondants pour</w:t>
      </w:r>
      <w:r>
        <w:rPr>
          <w:i/>
        </w:rPr>
        <w:t xml:space="preserve"> N</w:t>
      </w:r>
      <w:r>
        <w:rPr>
          <w:i/>
          <w:position w:val="-3"/>
          <w:sz w:val="16"/>
        </w:rPr>
        <w:t>c</w:t>
      </w:r>
      <w:r>
        <w:rPr>
          <w:position w:val="-3"/>
          <w:sz w:val="16"/>
        </w:rPr>
        <w:t>  </w:t>
      </w:r>
      <w:r>
        <w:rPr>
          <w:rFonts w:ascii="Symbol" w:hAnsi="Symbol"/>
        </w:rPr>
        <w:t></w:t>
      </w:r>
      <w:r>
        <w:t> 12 dans la formule donnant</w:t>
      </w:r>
      <w:r>
        <w:rPr>
          <w:i/>
        </w:rPr>
        <w:t xml:space="preserve"> B</w:t>
      </w:r>
      <w:r>
        <w:rPr>
          <w:i/>
          <w:position w:val="-3"/>
          <w:sz w:val="16"/>
        </w:rPr>
        <w:t>n</w:t>
      </w:r>
      <w:r>
        <w:t>, avec un système MRF</w:t>
      </w:r>
      <w:r>
        <w:noBreakHyphen/>
        <w:t>MF utilisé pour les circuits téléphoniques publics commerciaux modernes dans lesquels la plupart des voies MRF</w:t>
      </w:r>
      <w:r>
        <w:noBreakHyphen/>
        <w:t>MF sont en fait des voies téléphoniques.</w:t>
      </w:r>
    </w:p>
    <w:p w14:paraId="0232E88E" w14:textId="77777777" w:rsidR="00404BB9" w:rsidRDefault="00404BB9">
      <w:r>
        <w:t>Dans des systèmes MRF-MF plus petits, privés ou plus anciens, en particulier ceux dans lesquels</w:t>
      </w:r>
      <w:r>
        <w:rPr>
          <w:i/>
        </w:rPr>
        <w:t xml:space="preserve"> N</w:t>
      </w:r>
      <w:r>
        <w:rPr>
          <w:i/>
          <w:position w:val="-3"/>
          <w:sz w:val="16"/>
        </w:rPr>
        <w:t>c</w:t>
      </w:r>
      <w:r>
        <w:t> </w:t>
      </w:r>
      <w:r>
        <w:rPr>
          <w:rFonts w:ascii="Symbol" w:hAnsi="Symbol"/>
        </w:rPr>
        <w:t></w:t>
      </w:r>
      <w:r>
        <w:t> 12 ou ceux qui contiennent des données (non téléphoniques) dans la plupart des voies, les valeurs originelles telles qu'indiquées dans le Tableau 3, s'appliquent nominalement. Les circuits de données multivoies typiques fonctionnent à des niveaux de puissance compris entre –13 et –15 dBm0. Ainsi, la limite de charge composite sera déterminée par l'utilisation de la valeur</w:t>
      </w:r>
      <w:r>
        <w:rPr>
          <w:i/>
        </w:rPr>
        <w:t xml:space="preserve"> X</w:t>
      </w:r>
      <w:r>
        <w:t> </w:t>
      </w:r>
      <w:r>
        <w:rPr>
          <w:rFonts w:ascii="Symbol" w:hAnsi="Symbol"/>
        </w:rPr>
        <w:t></w:t>
      </w:r>
      <w:r>
        <w:t> –13 à –15 pour les systèmes ayant un grand pourcentage de circuits de données pour</w:t>
      </w:r>
      <w:r>
        <w:rPr>
          <w:i/>
        </w:rPr>
        <w:t xml:space="preserve"> N</w:t>
      </w:r>
      <w:r>
        <w:t> </w:t>
      </w:r>
      <w:r>
        <w:rPr>
          <w:rFonts w:ascii="Symbol" w:hAnsi="Symbol"/>
        </w:rPr>
        <w:t></w:t>
      </w:r>
      <w:r>
        <w:t xml:space="preserve"> 240. La signalisation sur voie associée, par opposition à la signalisation sur voie commune, est une indication que le niveau de </w:t>
      </w:r>
      <w:r>
        <w:rPr>
          <w:rFonts w:ascii="Symbol" w:hAnsi="Symbol"/>
        </w:rPr>
        <w:noBreakHyphen/>
      </w:r>
      <w:r>
        <w:t>15 dBm0 est applicable (système avec</w:t>
      </w:r>
      <w:r>
        <w:rPr>
          <w:i/>
        </w:rPr>
        <w:t xml:space="preserve"> N</w:t>
      </w:r>
      <w:r>
        <w:rPr>
          <w:i/>
          <w:position w:val="-3"/>
          <w:sz w:val="16"/>
        </w:rPr>
        <w:t>c</w:t>
      </w:r>
      <w:r>
        <w:t>  </w:t>
      </w:r>
      <w:r>
        <w:rPr>
          <w:rFonts w:ascii="Symbol" w:hAnsi="Symbol"/>
        </w:rPr>
        <w:t></w:t>
      </w:r>
      <w:r>
        <w:t> 240).</w:t>
      </w:r>
    </w:p>
    <w:p w14:paraId="7610459B" w14:textId="77777777" w:rsidR="00404BB9" w:rsidRDefault="00404BB9">
      <w:r>
        <w:t>Comme indiqué ci-dessus, le choix, dans la gamme des 4,6 dB, du niveau de puissance du signal dépend largement de l'expérience. La bande de fréquences proprement dite n'est pas liée au choix des paramètres relatifs à la puissance pour la personne qui parle. On a constaté à titre d'exemple de l'application pratique des nouveaux paramètres, que la capacité d'un système de faisceaux hertziens du service fixe de Terre, fixée à la conception du matériel à 1</w:t>
      </w:r>
      <w:r>
        <w:rPr>
          <w:sz w:val="12"/>
        </w:rPr>
        <w:t> </w:t>
      </w:r>
      <w:r>
        <w:t>500 voies seulement, passait à 1</w:t>
      </w:r>
      <w:r>
        <w:rPr>
          <w:sz w:val="12"/>
        </w:rPr>
        <w:t> </w:t>
      </w:r>
      <w:r>
        <w:t>800 voies, ce qui représente un progrès important en matière d'efficacité d'utilisation du spectre.</w:t>
      </w:r>
    </w:p>
    <w:p w14:paraId="694B4A16" w14:textId="77777777" w:rsidR="00404BB9" w:rsidRDefault="00404BB9">
      <w:pPr>
        <w:pStyle w:val="Annex"/>
      </w:pPr>
      <w:r>
        <w:br w:type="page"/>
        <w:t>ANNEXE  2</w:t>
      </w:r>
    </w:p>
    <w:p w14:paraId="08662BCD" w14:textId="77777777" w:rsidR="00404BB9" w:rsidRDefault="00404BB9">
      <w:pPr>
        <w:pStyle w:val="AnnexTitle"/>
      </w:pPr>
      <w:r>
        <w:t>Calculs des largeurs de bande nécessaires pour les émissions par impulsions non modulées</w:t>
      </w:r>
    </w:p>
    <w:p w14:paraId="52AB09F9" w14:textId="77777777" w:rsidR="00404BB9" w:rsidRDefault="00404BB9">
      <w:r>
        <w:t>La largeur de bande nécessaire dans les cas communs d'impulsions non modulées, rectangulaires ou trapézoïdales, est spécifiée. Une valeur de –20 dB par rapport au niveau de crête sur l'enveloppe théorique du spectre est le critère utilisé afin d'établir la largeur de bande nécessaire à ces impulsions. Pour celles-ci, les valeurs de l'enveloppe du spectre ont été déterminées à l'aide de méthodes de calcul simples.</w:t>
      </w:r>
    </w:p>
    <w:p w14:paraId="06AA7FA2" w14:textId="77777777" w:rsidR="00404BB9" w:rsidRDefault="00404BB9">
      <w:r>
        <w:t>Le Tableau 1 récapitule les largeurs de bande nécessaires calculées pour des impulsions non modulées. Dans le cas 1 (impulsion trapézoïdale), la durée de l'impulsion,</w:t>
      </w:r>
      <w:r>
        <w:rPr>
          <w:i/>
        </w:rPr>
        <w:t xml:space="preserve"> t</w:t>
      </w:r>
      <w:r>
        <w:t>, est le temps qui s'écoule entre les points à mi-amplitude et</w:t>
      </w:r>
      <w:r>
        <w:rPr>
          <w:i/>
        </w:rPr>
        <w:t xml:space="preserve"> t</w:t>
      </w:r>
      <w:r>
        <w:rPr>
          <w:i/>
          <w:position w:val="-3"/>
          <w:sz w:val="16"/>
        </w:rPr>
        <w:t>r</w:t>
      </w:r>
      <w:r>
        <w:rPr>
          <w:position w:val="-4"/>
          <w:sz w:val="12"/>
        </w:rPr>
        <w:t xml:space="preserve">  </w:t>
      </w:r>
      <w:r>
        <w:t>(temps d'établissement du front avant) est le temps qui s'écoule entre les points à 10% et à 90% d'amplitude. Le temps d'établissement du front arrière,</w:t>
      </w:r>
      <w:r>
        <w:rPr>
          <w:i/>
        </w:rPr>
        <w:t xml:space="preserve"> t</w:t>
      </w:r>
      <w:r>
        <w:rPr>
          <w:i/>
          <w:position w:val="-3"/>
          <w:sz w:val="16"/>
        </w:rPr>
        <w:t>f</w:t>
      </w:r>
      <w:r>
        <w:t>, est égal au temps d'établissement du front avant</w:t>
      </w:r>
      <w:r>
        <w:rPr>
          <w:i/>
        </w:rPr>
        <w:t xml:space="preserve"> t</w:t>
      </w:r>
      <w:r>
        <w:rPr>
          <w:i/>
          <w:position w:val="-3"/>
          <w:sz w:val="16"/>
        </w:rPr>
        <w:t>r</w:t>
      </w:r>
      <w:r>
        <w:t>. Dans le cas 2, le temps de montée du front avant,</w:t>
      </w:r>
      <w:r>
        <w:rPr>
          <w:i/>
        </w:rPr>
        <w:t xml:space="preserve"> t</w:t>
      </w:r>
      <w:r>
        <w:rPr>
          <w:i/>
          <w:position w:val="-3"/>
          <w:sz w:val="16"/>
        </w:rPr>
        <w:t>r</w:t>
      </w:r>
      <w:r>
        <w:t>, n'est pas toujours égal au temps de descente du front arrière,</w:t>
      </w:r>
      <w:r>
        <w:rPr>
          <w:i/>
        </w:rPr>
        <w:t xml:space="preserve"> t</w:t>
      </w:r>
      <w:r>
        <w:rPr>
          <w:i/>
          <w:position w:val="-3"/>
          <w:sz w:val="16"/>
        </w:rPr>
        <w:t>f</w:t>
      </w:r>
      <w:r>
        <w:t>. Ce dernier est le temps qui s'écoule entre les points à 90% et 10% d'amplitude. Dans le cas 3 (impulsion rectangulaire),</w:t>
      </w:r>
      <w:r>
        <w:rPr>
          <w:i/>
        </w:rPr>
        <w:t xml:space="preserve"> t</w:t>
      </w:r>
      <w:r>
        <w:t xml:space="preserve"> est la durée de l'impulsion.</w:t>
      </w:r>
    </w:p>
    <w:p w14:paraId="55EF2C16" w14:textId="77777777" w:rsidR="00404BB9" w:rsidRDefault="00404BB9">
      <w:pPr>
        <w:pStyle w:val="Annex"/>
      </w:pPr>
      <w:r>
        <w:t>ANNEXE  3</w:t>
      </w:r>
    </w:p>
    <w:p w14:paraId="537B37B6" w14:textId="77777777" w:rsidR="00404BB9" w:rsidRDefault="00404BB9">
      <w:pPr>
        <w:pStyle w:val="AnnexTitle"/>
      </w:pPr>
      <w:r>
        <w:t>Calculs des largeurs de bande nécessaires en modulation numérique</w:t>
      </w:r>
    </w:p>
    <w:p w14:paraId="3915144A" w14:textId="77777777" w:rsidR="00404BB9" w:rsidRDefault="00404BB9">
      <w:r>
        <w:t xml:space="preserve">Les formules établies pour la détermination des largeurs de bande nécessaires dans le cas de modulations de données numériques (voir la Recommandation UIT-R SM.1138) contiennent un facteur </w:t>
      </w:r>
      <w:r>
        <w:rPr>
          <w:i/>
        </w:rPr>
        <w:t>K</w:t>
      </w:r>
      <w:r>
        <w:t xml:space="preserve"> qui rend compte des compromis auxquels on a consenti lors de la conception d'un système. Les décisions relatives à ces compromis portent généralement sur la puissance du système, sa largeur de bande et ses caractéristiques de qualité (taux d'erreur binaire). Par exemple, lorsqu'on utilise des niveaux de modulation élevés, dans le cas de systèmes numériques à visibilité directe, on préfère employer une puissance élevée plutôt qu'une grande largeur de bande. Les modulations numériques à niveau élevé telles que les modulations MAQ-16, MAQ-64 et MAQ-256 peuvent transférer pour une valeur donnée de bandes de spectre de fréquences, davantage de bit/s que les modulations numériques à faible niveau, mais elles nécessitent davantage de puissance (c'est-à-dire un rapport porteuse/bruit plus élevé). Inversement, dans les systèmes à satellites où la puissance à bord est limitée, on préfère employer un spectre plus étendu et une puissance moins forte et l'on utilise de faibles niveaux de modulation. Les signaux numériques nécessitent souvent un filtrage important pour satisfaire aux spécifications de protection des canaux adjacents.</w:t>
      </w:r>
    </w:p>
    <w:p w14:paraId="78B8262F" w14:textId="77777777" w:rsidR="00404BB9" w:rsidRDefault="00404BB9">
      <w:r>
        <w:t xml:space="preserve">Le filtrage des signaux numériques peut s'effectuer en tant que filtrage de prémodulation du signal à l'émetteur dans la bande de base ou bien en un ou plusieurs autres points à l'intérieur de l'émetteur ou du récepteur. En compensation de l'adjonction de ce filtrage, on accroît le rapport porteuse/bruit, </w:t>
      </w:r>
      <w:r>
        <w:rPr>
          <w:i/>
        </w:rPr>
        <w:t>C/N</w:t>
      </w:r>
      <w:r>
        <w:t xml:space="preserve">, du système. Les valeurs numériques du facteur </w:t>
      </w:r>
      <w:r>
        <w:rPr>
          <w:i/>
        </w:rPr>
        <w:t>K</w:t>
      </w:r>
      <w:r>
        <w:t xml:space="preserve"> dépendent de la grandeur et de la forme de la caractéristique de sélectivité du filtre. Les caractéristiques des filtres sont définies cas par cas. Ainsi, il n'est ni pratique, ni profitable d'incorporer dans les formules permettant de déterminer les largeurs de bande nécessaires, des valeurs numériques uniques pour </w:t>
      </w:r>
      <w:r>
        <w:rPr>
          <w:i/>
        </w:rPr>
        <w:t>K</w:t>
      </w:r>
      <w:r>
        <w:t>.</w:t>
      </w:r>
    </w:p>
    <w:p w14:paraId="4B9DC7F8" w14:textId="77777777" w:rsidR="00404BB9" w:rsidRDefault="00404BB9">
      <w:r>
        <w:t xml:space="preserve">Dans le Tableau 2 figurent un certain nombre de valeurs de </w:t>
      </w:r>
      <w:r>
        <w:rPr>
          <w:i/>
        </w:rPr>
        <w:t>K</w:t>
      </w:r>
      <w:r>
        <w:t xml:space="preserve"> données à titre d'exemple pour plusieurs modulations numériques. Les valeurs de </w:t>
      </w:r>
      <w:r>
        <w:rPr>
          <w:i/>
        </w:rPr>
        <w:t>K</w:t>
      </w:r>
      <w:r>
        <w:t xml:space="preserve"> correspondent soit à des valeurs de spectres de fréquences calculées, soit à des valeurs de spectres de fréquences mesurées. Le Tableau 2 contient les formules pour la détermination des largeurs de bande néces</w:t>
      </w:r>
      <w:r>
        <w:softHyphen/>
        <w:t xml:space="preserve">saires utilisées, la valeur de </w:t>
      </w:r>
      <w:r>
        <w:rPr>
          <w:i/>
        </w:rPr>
        <w:t>K</w:t>
      </w:r>
      <w:r>
        <w:t xml:space="preserve"> et d'autres paramètres comme la puissance, le rapport </w:t>
      </w:r>
      <w:r>
        <w:rPr>
          <w:i/>
        </w:rPr>
        <w:t>E</w:t>
      </w:r>
      <w:r>
        <w:rPr>
          <w:i/>
          <w:position w:val="-3"/>
          <w:sz w:val="16"/>
        </w:rPr>
        <w:t>b</w:t>
      </w:r>
      <w:r>
        <w:rPr>
          <w:i/>
          <w:position w:val="-3"/>
          <w:sz w:val="12"/>
        </w:rPr>
        <w:t> </w:t>
      </w:r>
      <w:r>
        <w:rPr>
          <w:i/>
        </w:rPr>
        <w:t>/N</w:t>
      </w:r>
      <w:r>
        <w:rPr>
          <w:position w:val="-3"/>
          <w:sz w:val="16"/>
        </w:rPr>
        <w:t>0</w:t>
      </w:r>
      <w:r>
        <w:t xml:space="preserve"> et le TEB. La formule pour la détermination de la largeur de bande </w:t>
      </w:r>
      <w:r>
        <w:rPr>
          <w:i/>
        </w:rPr>
        <w:t>B</w:t>
      </w:r>
      <w:r>
        <w:rPr>
          <w:i/>
          <w:position w:val="-3"/>
          <w:sz w:val="16"/>
        </w:rPr>
        <w:t>n</w:t>
      </w:r>
      <w:r>
        <w:t xml:space="preserve"> nécessaire dans le cas de MF numérique provient de la Recomman</w:t>
      </w:r>
      <w:r>
        <w:softHyphen/>
        <w:t>dation UIT</w:t>
      </w:r>
      <w:r>
        <w:noBreakHyphen/>
        <w:t xml:space="preserve">R SM.1138. </w:t>
      </w:r>
      <w:r>
        <w:rPr>
          <w:i/>
        </w:rPr>
        <w:t>R</w:t>
      </w:r>
      <w:r>
        <w:t xml:space="preserve"> est le débit binaire, </w:t>
      </w:r>
      <w:r>
        <w:rPr>
          <w:i/>
        </w:rPr>
        <w:t xml:space="preserve">S </w:t>
      </w:r>
      <w:r>
        <w:t xml:space="preserve">est le nombre d'états de signalisation et </w:t>
      </w:r>
      <w:r>
        <w:rPr>
          <w:i/>
        </w:rPr>
        <w:t>D</w:t>
      </w:r>
      <w:r>
        <w:t xml:space="preserve"> est l'excursion de fréquence. La formule pour la détermination de la largeur de bande nécessaire dans le cas de la MDP est établie à partir du principe que cette largeur de bande devra être un multiple du débit numérique en ligne.</w:t>
      </w:r>
    </w:p>
    <w:p w14:paraId="7F0D4856" w14:textId="77777777" w:rsidR="00404BB9" w:rsidRDefault="00404BB9">
      <w:r>
        <w:t>Les modulations MDM, MDMG et MF numérique sont des exemples d'une classe des modulations qui sont à amplitude constante et à phase continue. Ces signaux à phase continue peuvent être considérés comme une modulation à la fois de phase et de fréquence. Chacune des formules permettant la détermination de la largeur de bande nécessaire (fréquence ou phase) pourra être employée pour cette classe de modulation. Etant donné que ces signaux sont caractérisés par un indice de modulation (2</w:t>
      </w:r>
      <w:r>
        <w:rPr>
          <w:i/>
        </w:rPr>
        <w:t>D</w:t>
      </w:r>
      <w:r>
        <w:t>/</w:t>
      </w:r>
      <w:r>
        <w:rPr>
          <w:i/>
        </w:rPr>
        <w:t>R</w:t>
      </w:r>
      <w:r>
        <w:t>), la formule pour la détermination de la largeur de bande dans le cas de la MDF a été employée pour ces signaux dans le Tableau 2. De même, pour la modulation MAQ, on emploie la formule pour la détermination de la largeur de bande dans le cas de la MDP. La raison d'être en est que les signaux MAQ-</w:t>
      </w:r>
      <w:r>
        <w:rPr>
          <w:i/>
        </w:rPr>
        <w:t>m</w:t>
      </w:r>
      <w:r>
        <w:t xml:space="preserve"> se composent d'une somme statistique de </w:t>
      </w:r>
      <w:r>
        <w:rPr>
          <w:i/>
        </w:rPr>
        <w:t>m</w:t>
      </w:r>
      <w:r>
        <w:t>/2 signaux MDP-2 avec des amplitudes de signal différentes, un débit de (</w:t>
      </w:r>
      <w:r>
        <w:rPr>
          <w:i/>
        </w:rPr>
        <w:t>R</w:t>
      </w:r>
      <w:r>
        <w:t>/log</w:t>
      </w:r>
      <w:r>
        <w:rPr>
          <w:position w:val="-4"/>
          <w:sz w:val="12"/>
        </w:rPr>
        <w:t>2 </w:t>
      </w:r>
      <w:r>
        <w:rPr>
          <w:i/>
        </w:rPr>
        <w:t>m</w:t>
      </w:r>
      <w:r>
        <w:t>) et le même filtrage.</w:t>
      </w:r>
    </w:p>
    <w:p w14:paraId="3B9D03E1" w14:textId="77777777" w:rsidR="00404BB9" w:rsidRDefault="00404BB9">
      <w:pPr>
        <w:pStyle w:val="Line"/>
      </w:pPr>
    </w:p>
    <w:p w14:paraId="11AA934D" w14:textId="77777777" w:rsidR="00404BB9" w:rsidRDefault="00404BB9">
      <w:bookmarkStart w:id="0" w:name="_GoBack"/>
      <w:bookmarkEnd w:id="0"/>
    </w:p>
    <w:sectPr w:rsidR="00404BB9" w:rsidSect="00117B36">
      <w:headerReference w:type="even" r:id="rId11"/>
      <w:headerReference w:type="default" r:id="rId12"/>
      <w:pgSz w:w="11907" w:h="16834" w:code="9"/>
      <w:pgMar w:top="1089" w:right="1089" w:bottom="1089" w:left="1089" w:header="482"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1D763" w14:textId="77777777" w:rsidR="00404BB9" w:rsidRDefault="00404BB9">
      <w:pPr>
        <w:spacing w:before="0"/>
      </w:pPr>
      <w:r>
        <w:separator/>
      </w:r>
    </w:p>
  </w:endnote>
  <w:endnote w:type="continuationSeparator" w:id="0">
    <w:p w14:paraId="7C0FADEC" w14:textId="77777777" w:rsidR="00404BB9" w:rsidRDefault="00404B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92CE8" w14:textId="77777777" w:rsidR="00404BB9" w:rsidRDefault="00404BB9">
      <w:r>
        <w:rPr>
          <w:b/>
        </w:rPr>
        <w:t>_______________</w:t>
      </w:r>
    </w:p>
  </w:footnote>
  <w:footnote w:type="continuationSeparator" w:id="0">
    <w:p w14:paraId="634C7C97" w14:textId="77777777" w:rsidR="00404BB9" w:rsidRDefault="00404BB9">
      <w:pPr>
        <w:spacing w:before="0"/>
      </w:pPr>
      <w:r>
        <w:continuationSeparator/>
      </w:r>
    </w:p>
  </w:footnote>
  <w:footnote w:id="1">
    <w:p w14:paraId="4A5A04C5" w14:textId="1092D9B0" w:rsidR="00304983" w:rsidRPr="00304983" w:rsidRDefault="00304983" w:rsidP="00304983">
      <w:pPr>
        <w:pStyle w:val="FootnoteText"/>
        <w:ind w:left="313" w:hanging="313"/>
        <w:rPr>
          <w:lang w:val="fr-CH"/>
        </w:rPr>
      </w:pPr>
      <w:r>
        <w:rPr>
          <w:rStyle w:val="FootnoteReference"/>
        </w:rPr>
        <w:t>*</w:t>
      </w:r>
      <w:r>
        <w:t xml:space="preserve"> </w:t>
      </w:r>
      <w:r>
        <w:rPr>
          <w:lang w:val="fr-CH"/>
        </w:rPr>
        <w:tab/>
      </w:r>
      <w:r w:rsidRPr="00304983">
        <w:rPr>
          <w:lang w:val="fr-CH"/>
        </w:rPr>
        <w:t>La Commission d'études 1 des radiocommunications a apporté des modifications rédactionnelles à la présente Recommandation en 201</w:t>
      </w:r>
      <w:r w:rsidR="00752CE8">
        <w:rPr>
          <w:lang w:val="fr-CH"/>
        </w:rPr>
        <w:t>8</w:t>
      </w:r>
      <w:r w:rsidR="001E296F">
        <w:rPr>
          <w:lang w:val="fr-CH"/>
        </w:rPr>
        <w:t xml:space="preserve"> et en 2019</w:t>
      </w:r>
      <w:r w:rsidRPr="00304983">
        <w:rPr>
          <w:lang w:val="fr-CH"/>
        </w:rPr>
        <w:t>, conformément aux dispositions de la Résolution UIT</w:t>
      </w:r>
      <w:r w:rsidRPr="00304983">
        <w:rPr>
          <w:lang w:val="fr-CH"/>
        </w:rPr>
        <w:noBreakHyphen/>
        <w: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9B6B7" w14:textId="6E6271B7" w:rsidR="00404BB9" w:rsidRDefault="00404BB9">
    <w:pPr>
      <w:pStyle w:val="Header"/>
    </w:pPr>
    <w:r>
      <w:fldChar w:fldCharType="begin"/>
    </w:r>
    <w:r>
      <w:instrText>PAGE</w:instrText>
    </w:r>
    <w:r>
      <w:fldChar w:fldCharType="separate"/>
    </w:r>
    <w:r w:rsidR="00840034">
      <w:rPr>
        <w:noProof/>
      </w:rPr>
      <w:t>2</w:t>
    </w:r>
    <w:r>
      <w:fldChar w:fldCharType="end"/>
    </w:r>
    <w:r>
      <w:rPr>
        <w:b w:val="0"/>
      </w:rPr>
      <w:tab/>
    </w:r>
    <w:r>
      <w:fldChar w:fldCharType="begin"/>
    </w:r>
    <w:r>
      <w:instrText>styleref head_foot</w:instrText>
    </w:r>
    <w:r>
      <w:fldChar w:fldCharType="separate"/>
    </w:r>
    <w:r w:rsidR="00BE447C">
      <w:rPr>
        <w:noProof/>
      </w:rPr>
      <w:t>Rec. UIT-R SM. 853-1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20AE7" w14:textId="3448958B" w:rsidR="00404BB9" w:rsidRDefault="00404BB9">
    <w:pPr>
      <w:pStyle w:val="Header"/>
    </w:pPr>
    <w:r>
      <w:tab/>
    </w:r>
    <w:r>
      <w:fldChar w:fldCharType="begin"/>
    </w:r>
    <w:r>
      <w:instrText>styleref head_foot</w:instrText>
    </w:r>
    <w:r>
      <w:fldChar w:fldCharType="separate"/>
    </w:r>
    <w:r w:rsidR="00BE447C">
      <w:rPr>
        <w:noProof/>
      </w:rPr>
      <w:t>Rec. UIT-R SM. 853-1</w:t>
    </w:r>
    <w:r>
      <w:fldChar w:fldCharType="end"/>
    </w:r>
    <w:r>
      <w:tab/>
    </w:r>
    <w:r>
      <w:fldChar w:fldCharType="begin"/>
    </w:r>
    <w:r>
      <w:instrText>PAGE</w:instrText>
    </w:r>
    <w:r>
      <w:fldChar w:fldCharType="separate"/>
    </w:r>
    <w:r w:rsidR="00840034">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hideSpellingError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ttachedTemplate r:id="rId1"/>
  <w:doNotTrackMoves/>
  <w:defaultTabStop w:val="720"/>
  <w:hyphenationZone w:val="425"/>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971ED"/>
    <w:rsid w:val="000B27FE"/>
    <w:rsid w:val="000D6A9F"/>
    <w:rsid w:val="00117B36"/>
    <w:rsid w:val="001E296F"/>
    <w:rsid w:val="003010CA"/>
    <w:rsid w:val="00304983"/>
    <w:rsid w:val="00404BB9"/>
    <w:rsid w:val="005B25FC"/>
    <w:rsid w:val="006502A2"/>
    <w:rsid w:val="006645F6"/>
    <w:rsid w:val="00752CE8"/>
    <w:rsid w:val="00840034"/>
    <w:rsid w:val="00930178"/>
    <w:rsid w:val="009676A6"/>
    <w:rsid w:val="00A937E0"/>
    <w:rsid w:val="00BE447C"/>
    <w:rsid w:val="00F54274"/>
    <w:rsid w:val="00F971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8A3DA8A"/>
  <w15:chartTrackingRefBased/>
  <w15:docId w15:val="{8DFFBFDF-9B40-4BA3-B78A-D5C90BF3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6A6"/>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fr-FR"/>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bCs/>
      <w:sz w:val="24"/>
      <w:szCs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bCs/>
      <w:sz w:val="22"/>
      <w:szCs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bCs/>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semiHidden/>
    <w:pPr>
      <w:tabs>
        <w:tab w:val="clear" w:pos="794"/>
        <w:tab w:val="clear" w:pos="1191"/>
        <w:tab w:val="clear" w:pos="1588"/>
        <w:tab w:val="clear" w:pos="1985"/>
        <w:tab w:val="center" w:pos="4849"/>
        <w:tab w:val="right" w:pos="9696"/>
      </w:tabs>
    </w:pPr>
    <w:rPr>
      <w:b/>
      <w:bCs/>
    </w:rPr>
  </w:style>
  <w:style w:type="character" w:styleId="FootnoteReference">
    <w:name w:val="footnote reference"/>
    <w:semiHidden/>
    <w:rPr>
      <w:position w:val="4"/>
      <w:sz w:val="16"/>
      <w:szCs w:val="16"/>
    </w:rPr>
  </w:style>
  <w:style w:type="paragraph" w:styleId="FootnoteText">
    <w:name w:val="footnote text"/>
    <w:basedOn w:val="Normal"/>
    <w:semiHidden/>
    <w:pPr>
      <w:tabs>
        <w:tab w:val="clear" w:pos="794"/>
        <w:tab w:val="clear" w:pos="1191"/>
        <w:tab w:val="clear" w:pos="1588"/>
        <w:tab w:val="clear" w:pos="1985"/>
        <w:tab w:val="left" w:pos="313"/>
      </w:tabs>
    </w:pPr>
    <w:rPr>
      <w:sz w:val="18"/>
      <w:szCs w:val="18"/>
    </w:rPr>
  </w:style>
  <w:style w:type="paragraph" w:styleId="NormalIndent">
    <w:name w:val="Normal Indent"/>
    <w:basedOn w:val="Normal"/>
    <w:semiHidden/>
    <w:pPr>
      <w:ind w:left="600"/>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foot">
    <w:name w:val="foot"/>
    <w:basedOn w:val="headfoot"/>
  </w:style>
  <w:style w:type="paragraph" w:customStyle="1" w:styleId="TableLegend">
    <w:name w:val="Table_Legend"/>
    <w:basedOn w:val="Normal"/>
    <w:next w:val="Normal"/>
    <w:pPr>
      <w:keepNext/>
      <w:spacing w:before="86" w:line="199" w:lineRule="exact"/>
      <w:ind w:left="-85" w:right="-85"/>
    </w:pPr>
    <w:rPr>
      <w:sz w:val="18"/>
      <w:szCs w:val="18"/>
    </w:rPr>
  </w:style>
  <w:style w:type="paragraph" w:customStyle="1" w:styleId="TableTitle">
    <w:name w:val="Table_Title"/>
    <w:basedOn w:val="Table"/>
    <w:next w:val="Blanc"/>
    <w:pPr>
      <w:spacing w:before="0"/>
    </w:pPr>
    <w:rPr>
      <w:b/>
      <w:bCs/>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rsid w:val="009676A6"/>
    <w:pPr>
      <w:tabs>
        <w:tab w:val="clear" w:pos="794"/>
        <w:tab w:val="clear" w:pos="1191"/>
        <w:tab w:val="clear" w:pos="1588"/>
        <w:tab w:val="clear" w:pos="1985"/>
        <w:tab w:val="center" w:pos="4849"/>
        <w:tab w:val="right" w:pos="9696"/>
      </w:tabs>
      <w:spacing w:before="720" w:after="68"/>
      <w:jc w:val="center"/>
      <w:outlineLvl w:val="0"/>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bCs/>
      <w:sz w:val="24"/>
      <w:szCs w:val="24"/>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567" w:hanging="567"/>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bCs/>
    </w:rPr>
  </w:style>
  <w:style w:type="paragraph" w:customStyle="1" w:styleId="Normalaftertitle">
    <w:name w:val="Normal after title"/>
    <w:basedOn w:val="Normal"/>
    <w:next w:val="Normal"/>
    <w:pPr>
      <w:spacing w:before="480"/>
    </w:p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RecTitleRef">
    <w:name w:val="Rec_Title/Ref"/>
    <w:basedOn w:val="RecTitle"/>
    <w:next w:val="RecTitleDate"/>
    <w:pPr>
      <w:spacing w:before="136"/>
    </w:pPr>
    <w:rPr>
      <w:b w:val="0"/>
      <w:bCs w:val="0"/>
    </w:rPr>
  </w:style>
  <w:style w:type="paragraph" w:customStyle="1" w:styleId="RecTitleDate">
    <w:name w:val="Rec_Title/Date"/>
    <w:basedOn w:val="RecTitleRef"/>
    <w:next w:val="headfoot"/>
    <w:pPr>
      <w:tabs>
        <w:tab w:val="clear" w:pos="4849"/>
      </w:tabs>
      <w:jc w:val="right"/>
    </w:pPr>
  </w:style>
  <w:style w:type="paragraph" w:customStyle="1" w:styleId="heading">
    <w:name w:val="heading"/>
    <w:basedOn w:val="Heading2"/>
    <w:pPr>
      <w:tabs>
        <w:tab w:val="left" w:pos="1191"/>
        <w:tab w:val="left" w:pos="1588"/>
      </w:tabs>
      <w:outlineLvl w:val="9"/>
    </w:p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headfoot">
    <w:name w:val="head_foot"/>
    <w:basedOn w:val="Normal"/>
    <w:next w:val="Normalaftertitle"/>
    <w:pPr>
      <w:tabs>
        <w:tab w:val="clear" w:pos="794"/>
        <w:tab w:val="clear" w:pos="1191"/>
        <w:tab w:val="clear" w:pos="1588"/>
        <w:tab w:val="clear" w:pos="1985"/>
      </w:tabs>
      <w:spacing w:before="0"/>
    </w:pPr>
    <w:rPr>
      <w:b/>
      <w:bCs/>
      <w:color w:val="FFFFFF"/>
      <w:sz w:val="8"/>
      <w:szCs w:val="8"/>
    </w:r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Date">
    <w:name w:val="Rep_Title/Date"/>
    <w:basedOn w:val="RecTitleDate"/>
    <w:next w:val="headfoot"/>
  </w:style>
  <w:style w:type="paragraph" w:customStyle="1" w:styleId="RepTitleRef">
    <w:name w:val="Rep_Title/Ref"/>
    <w:basedOn w:val="RecTitleRef"/>
    <w:next w:val="RepTitleDate"/>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Date">
    <w:name w:val="Question_Title/Date"/>
    <w:basedOn w:val="RecTitleDate"/>
    <w:next w:val="headfoot"/>
  </w:style>
  <w:style w:type="paragraph" w:customStyle="1" w:styleId="QuestionTitleRef">
    <w:name w:val="Question_Title/Ref"/>
    <w:basedOn w:val="RecTitleRef"/>
    <w:next w:val="QuestionTitleDate"/>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Date">
    <w:name w:val="Res_Title/Date"/>
    <w:basedOn w:val="RecTitleDate"/>
    <w:next w:val="headfoot"/>
  </w:style>
  <w:style w:type="paragraph" w:customStyle="1" w:styleId="ResTitleRef">
    <w:name w:val="Res_Title/Ref"/>
    <w:basedOn w:val="RecTitleRef"/>
    <w:next w:val="ResTitleDate"/>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Fig">
    <w:name w:val="Fig"/>
    <w:basedOn w:val="Figure"/>
    <w:next w:val="Fig0"/>
    <w:pPr>
      <w:keepNext w:val="0"/>
      <w:keepLines w:val="0"/>
      <w:spacing w:before="136"/>
    </w:pPr>
  </w:style>
  <w:style w:type="paragraph" w:customStyle="1" w:styleId="Fig0">
    <w:name w:val="Fig_#"/>
    <w:basedOn w:val="Fig"/>
    <w:next w:val="Normal"/>
    <w:pPr>
      <w:jc w:val="left"/>
    </w:pPr>
    <w:rPr>
      <w:color w:val="FFFFFF"/>
    </w:rPr>
  </w:style>
  <w:style w:type="paragraph" w:customStyle="1" w:styleId="Title2">
    <w:name w:val="Title 2"/>
    <w:basedOn w:val="Normal"/>
    <w:next w:val="Title3"/>
    <w:pPr>
      <w:tabs>
        <w:tab w:val="clear" w:pos="794"/>
        <w:tab w:val="clear" w:pos="1191"/>
        <w:tab w:val="clear" w:pos="1588"/>
        <w:tab w:val="clear" w:pos="1985"/>
      </w:tabs>
      <w:spacing w:before="0" w:after="240" w:line="360" w:lineRule="atLeast"/>
      <w:jc w:val="center"/>
    </w:pPr>
    <w:rPr>
      <w:rFonts w:ascii="Helvetica" w:hAnsi="Helvetica"/>
      <w:sz w:val="22"/>
      <w:szCs w:val="22"/>
    </w:rPr>
  </w:style>
  <w:style w:type="paragraph" w:customStyle="1" w:styleId="Title3">
    <w:name w:val="Title 3"/>
    <w:basedOn w:val="Title2"/>
    <w:next w:val="Heading1"/>
  </w:style>
  <w:style w:type="paragraph" w:customStyle="1" w:styleId="Head">
    <w:name w:val="Head"/>
    <w:basedOn w:val="Normal"/>
    <w:pPr>
      <w:tabs>
        <w:tab w:val="clear" w:pos="794"/>
        <w:tab w:val="clear" w:pos="1191"/>
        <w:tab w:val="clear" w:pos="1588"/>
        <w:tab w:val="clear" w:pos="1985"/>
        <w:tab w:val="center" w:pos="1560"/>
        <w:tab w:val="left" w:pos="6096"/>
      </w:tabs>
      <w:spacing w:before="0"/>
      <w:jc w:val="left"/>
    </w:pPr>
    <w:rPr>
      <w:b/>
      <w:bCs/>
      <w:color w:val="FFFFFF"/>
      <w:sz w:val="8"/>
      <w:szCs w:val="8"/>
    </w:rPr>
  </w:style>
  <w:style w:type="paragraph" w:customStyle="1" w:styleId="RecTitle0">
    <w:name w:val="Rec Title"/>
    <w:basedOn w:val="Normal"/>
    <w:next w:val="Heading1"/>
    <w:pPr>
      <w:keepNext/>
      <w:keepLines/>
      <w:spacing w:before="240"/>
      <w:jc w:val="center"/>
    </w:pPr>
    <w:rPr>
      <w:rFonts w:ascii="Helvetica" w:hAnsi="Helvetica"/>
      <w:b/>
      <w:bCs/>
      <w:sz w:val="22"/>
      <w:szCs w:val="22"/>
    </w:rPr>
  </w:style>
  <w:style w:type="paragraph" w:customStyle="1" w:styleId="toc0">
    <w:name w:val="toc 0"/>
    <w:basedOn w:val="Normal"/>
    <w:next w:val="TOC1"/>
    <w:pPr>
      <w:keepNext/>
      <w:tabs>
        <w:tab w:val="clear" w:pos="794"/>
        <w:tab w:val="clear" w:pos="1191"/>
        <w:tab w:val="clear" w:pos="1588"/>
        <w:tab w:val="clear" w:pos="1985"/>
        <w:tab w:val="right" w:pos="9866"/>
      </w:tabs>
      <w:jc w:val="left"/>
    </w:pPr>
    <w:rPr>
      <w:rFonts w:ascii="Helvetica" w:hAnsi="Helvetica"/>
      <w:sz w:val="22"/>
      <w:szCs w:val="22"/>
      <w:u w:val="words"/>
    </w:rPr>
  </w:style>
  <w:style w:type="paragraph" w:customStyle="1" w:styleId="Infodoc">
    <w:name w:val="Infodoc"/>
    <w:basedOn w:val="Normal"/>
    <w:pPr>
      <w:keepNext/>
      <w:keepLines/>
      <w:tabs>
        <w:tab w:val="clear" w:pos="794"/>
        <w:tab w:val="clear" w:pos="1588"/>
        <w:tab w:val="clear" w:pos="1985"/>
      </w:tabs>
      <w:spacing w:before="0"/>
      <w:ind w:left="1191" w:hanging="1191"/>
      <w:jc w:val="left"/>
    </w:pPr>
    <w:rPr>
      <w:rFonts w:ascii="Helvetica" w:hAnsi="Helvetica"/>
      <w:sz w:val="22"/>
      <w:szCs w:val="22"/>
    </w:rPr>
  </w:style>
  <w:style w:type="paragraph" w:customStyle="1" w:styleId="Part0">
    <w:name w:val="Part"/>
    <w:basedOn w:val="Normal"/>
    <w:pPr>
      <w:tabs>
        <w:tab w:val="clear" w:pos="794"/>
        <w:tab w:val="clear" w:pos="1191"/>
        <w:tab w:val="clear" w:pos="1588"/>
        <w:tab w:val="clear" w:pos="1985"/>
        <w:tab w:val="left" w:pos="1276"/>
        <w:tab w:val="left" w:pos="1701"/>
      </w:tabs>
      <w:spacing w:before="199"/>
      <w:ind w:left="1701" w:hanging="1701"/>
      <w:jc w:val="left"/>
    </w:pPr>
    <w:rPr>
      <w:rFonts w:ascii="Helvetica" w:hAnsi="Helvetica"/>
      <w:sz w:val="22"/>
      <w:szCs w:val="22"/>
    </w:rPr>
  </w:style>
  <w:style w:type="paragraph" w:customStyle="1" w:styleId="Address">
    <w:name w:val="Address"/>
    <w:basedOn w:val="Normal"/>
    <w:pPr>
      <w:tabs>
        <w:tab w:val="clear" w:pos="794"/>
        <w:tab w:val="clear" w:pos="1191"/>
        <w:tab w:val="clear" w:pos="1588"/>
        <w:tab w:val="clear" w:pos="1985"/>
        <w:tab w:val="left" w:pos="5954"/>
        <w:tab w:val="left" w:pos="6521"/>
      </w:tabs>
      <w:ind w:left="794"/>
      <w:jc w:val="left"/>
    </w:pPr>
    <w:rPr>
      <w:rFonts w:ascii="Helvetica" w:hAnsi="Helvetica"/>
      <w:sz w:val="22"/>
      <w:szCs w:val="22"/>
    </w:rPr>
  </w:style>
  <w:style w:type="paragraph" w:customStyle="1" w:styleId="Qlist">
    <w:name w:val="Qlist"/>
    <w:basedOn w:val="Normal"/>
    <w:pPr>
      <w:tabs>
        <w:tab w:val="clear" w:pos="794"/>
        <w:tab w:val="clear" w:pos="1191"/>
        <w:tab w:val="clear" w:pos="1588"/>
        <w:tab w:val="left" w:pos="2268"/>
      </w:tabs>
      <w:spacing w:before="199"/>
      <w:ind w:left="2268" w:hanging="2268"/>
      <w:jc w:val="left"/>
    </w:pPr>
    <w:rPr>
      <w:rFonts w:ascii="Helvetica" w:hAnsi="Helvetica"/>
      <w:sz w:val="22"/>
      <w:szCs w:val="22"/>
    </w:rPr>
  </w:style>
  <w:style w:type="paragraph" w:customStyle="1" w:styleId="Title1">
    <w:name w:val="Title 1"/>
    <w:basedOn w:val="Normal"/>
    <w:next w:val="Title2"/>
    <w:pPr>
      <w:tabs>
        <w:tab w:val="clear" w:pos="794"/>
        <w:tab w:val="clear" w:pos="1191"/>
        <w:tab w:val="clear" w:pos="1588"/>
        <w:tab w:val="clear" w:pos="1985"/>
      </w:tabs>
      <w:spacing w:before="720" w:after="360"/>
      <w:jc w:val="center"/>
    </w:pPr>
    <w:rPr>
      <w:rFonts w:ascii="Helvetica" w:hAnsi="Helvetica"/>
      <w:sz w:val="22"/>
      <w:szCs w:val="22"/>
      <w:u w:val="single"/>
    </w:rPr>
  </w:style>
  <w:style w:type="paragraph" w:customStyle="1" w:styleId="Subject">
    <w:name w:val="Subject"/>
    <w:basedOn w:val="Normal"/>
    <w:next w:val="Title1"/>
    <w:pPr>
      <w:tabs>
        <w:tab w:val="clear" w:pos="794"/>
        <w:tab w:val="clear" w:pos="1191"/>
        <w:tab w:val="clear" w:pos="1588"/>
        <w:tab w:val="clear" w:pos="1985"/>
        <w:tab w:val="left" w:pos="823"/>
      </w:tabs>
      <w:spacing w:before="0"/>
      <w:jc w:val="left"/>
    </w:pPr>
    <w:rPr>
      <w:rFonts w:ascii="Helvetica" w:hAnsi="Helvetica"/>
      <w:sz w:val="22"/>
      <w:szCs w:val="22"/>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styles">
    <w:name w:val="styles"/>
    <w:basedOn w:val="Normal"/>
    <w:pPr>
      <w:spacing w:before="284"/>
      <w:ind w:left="-567"/>
      <w:jc w:val="left"/>
    </w:pPr>
    <w:rPr>
      <w:rFonts w:ascii="Helvetica" w:hAnsi="Helvetica"/>
      <w:b/>
      <w:bCs/>
      <w:sz w:val="22"/>
      <w:szCs w:val="22"/>
      <w:u w:val="single"/>
    </w:rPr>
  </w:style>
  <w:style w:type="paragraph" w:customStyle="1" w:styleId="prec">
    <w:name w:val="prec"/>
    <w:basedOn w:val="Normal"/>
    <w:pPr>
      <w:framePr w:w="567" w:hSpace="113" w:vSpace="113" w:wrap="auto" w:hAnchor="page"/>
      <w:tabs>
        <w:tab w:val="clear" w:pos="794"/>
        <w:tab w:val="clear" w:pos="1191"/>
        <w:tab w:val="clear" w:pos="1588"/>
        <w:tab w:val="clear" w:pos="1985"/>
      </w:tabs>
      <w:jc w:val="left"/>
    </w:pPr>
    <w:rPr>
      <w:rFonts w:ascii="Helvetica" w:hAnsi="Helvetica"/>
      <w:smallCaps/>
      <w:sz w:val="16"/>
      <w:szCs w:val="16"/>
    </w:rPr>
  </w:style>
  <w:style w:type="paragraph" w:customStyle="1" w:styleId="Questiontitle0">
    <w:name w:val="Question_title"/>
    <w:basedOn w:val="Normal"/>
    <w:next w:val="Normal"/>
    <w:rsid w:val="001E296F"/>
    <w:pPr>
      <w:spacing w:before="120"/>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447D7-196D-41CD-9F8A-13CF20FF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13</TotalTime>
  <Pages>8</Pages>
  <Words>4249</Words>
  <Characters>21377</Characters>
  <Application>Microsoft Office Word</Application>
  <DocSecurity>0</DocSecurity>
  <Lines>454</Lines>
  <Paragraphs>215</Paragraphs>
  <ScaleCrop>false</ScaleCrop>
  <HeadingPairs>
    <vt:vector size="2" baseType="variant">
      <vt:variant>
        <vt:lpstr>Title</vt:lpstr>
      </vt:variant>
      <vt:variant>
        <vt:i4>1</vt:i4>
      </vt:variant>
    </vt:vector>
  </HeadingPairs>
  <TitlesOfParts>
    <vt:vector size="1" baseType="lpstr">
      <vt:lpstr>LARGEUR  DE  BANDE  NÉCESSAIRE</vt:lpstr>
    </vt:vector>
  </TitlesOfParts>
  <Manager>DD..2144</Manager>
  <Company>ITU</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LARGEUR  DE  BANDE  NÉCESSAIRE</dc:title>
  <dc:subject/>
  <dc:creator>Bureau des radiocommunications de l'UIT (BR)</dc:creator>
  <cp:keywords>,</cp:keywords>
  <dc:description>Gachetc, 23/04/2020, ITU51013811</dc:description>
  <cp:lastModifiedBy>Gachet, Christelle</cp:lastModifiedBy>
  <cp:revision>17</cp:revision>
  <cp:lastPrinted>2020-04-23T11:54:00Z</cp:lastPrinted>
  <dcterms:created xsi:type="dcterms:W3CDTF">2018-10-15T09:14:00Z</dcterms:created>
  <dcterms:modified xsi:type="dcterms:W3CDTF">2020-04-23T11:55:00Z</dcterms:modified>
  <cp:category>\\WW7//     Folios:      1  -  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French</vt:lpwstr>
  </property>
  <property fmtid="{D5CDD505-2E9C-101B-9397-08002B2CF9AE}" pid="3" name="Typist">
    <vt:lpwstr>Gachetc</vt:lpwstr>
  </property>
  <property fmtid="{D5CDD505-2E9C-101B-9397-08002B2CF9AE}" pid="4" name="Date completed">
    <vt:lpwstr>23 April 2020</vt:lpwstr>
  </property>
</Properties>
</file>