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10F" w:rsidRDefault="005C410F">
      <w:bookmarkStart w:id="0" w:name="_GoBack"/>
      <w:bookmarkEnd w:id="0"/>
    </w:p>
    <w:p w:rsidR="005C410F" w:rsidRDefault="005C410F"/>
    <w:p w:rsidR="005C410F" w:rsidRDefault="005C410F"/>
    <w:p w:rsidR="005C410F" w:rsidRDefault="005C410F"/>
    <w:p w:rsidR="005C410F" w:rsidRDefault="005C410F"/>
    <w:p w:rsidR="005C410F" w:rsidRDefault="005C410F"/>
    <w:p w:rsidR="005C410F" w:rsidRDefault="005C410F"/>
    <w:p w:rsidR="005C410F" w:rsidRDefault="005C410F"/>
    <w:p w:rsidR="005C410F" w:rsidRDefault="005C410F"/>
    <w:p w:rsidR="005C410F" w:rsidRDefault="005C410F"/>
    <w:p w:rsidR="005C410F" w:rsidRDefault="005C410F"/>
    <w:p w:rsidR="005C410F" w:rsidRDefault="005C410F"/>
    <w:tbl>
      <w:tblPr>
        <w:tblW w:w="10089" w:type="dxa"/>
        <w:tblLook w:val="01E0" w:firstRow="1" w:lastRow="1" w:firstColumn="1" w:lastColumn="1" w:noHBand="0" w:noVBand="0"/>
      </w:tblPr>
      <w:tblGrid>
        <w:gridCol w:w="10089"/>
      </w:tblGrid>
      <w:tr w:rsidR="005C410F" w:rsidRPr="00A443C2">
        <w:tc>
          <w:tcPr>
            <w:tcW w:w="10089" w:type="dxa"/>
          </w:tcPr>
          <w:p w:rsidR="005C410F" w:rsidRPr="00B033C8" w:rsidRDefault="005C410F" w:rsidP="00013002">
            <w:pPr>
              <w:spacing w:before="380" w:line="280" w:lineRule="exact"/>
              <w:jc w:val="right"/>
              <w:rPr>
                <w:rFonts w:ascii="Tahoma" w:hAnsi="Tahoma" w:cs="Tahoma"/>
                <w:b/>
                <w:bCs/>
                <w:iCs/>
                <w:color w:val="243285"/>
                <w:sz w:val="32"/>
                <w:szCs w:val="32"/>
                <w:lang w:val="en-US"/>
              </w:rPr>
            </w:pPr>
          </w:p>
          <w:p w:rsidR="005C410F" w:rsidRPr="00A443C2" w:rsidRDefault="005C410F" w:rsidP="0030438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TF</w:t>
            </w:r>
            <w:r w:rsidRPr="00A443C2">
              <w:rPr>
                <w:rFonts w:ascii="Tahoma" w:hAnsi="Tahoma" w:cs="Tahoma"/>
                <w:b/>
                <w:bCs/>
                <w:iCs/>
                <w:color w:val="243285"/>
                <w:sz w:val="36"/>
                <w:szCs w:val="36"/>
              </w:rPr>
              <w:t>.</w:t>
            </w:r>
            <w:r w:rsidR="00304384">
              <w:rPr>
                <w:rFonts w:ascii="Tahoma" w:hAnsi="Tahoma" w:cs="Tahoma"/>
                <w:b/>
                <w:bCs/>
                <w:iCs/>
                <w:color w:val="243285"/>
                <w:sz w:val="36"/>
                <w:szCs w:val="36"/>
              </w:rPr>
              <w:t>1876</w:t>
            </w:r>
          </w:p>
          <w:p w:rsidR="005C410F" w:rsidRPr="00A443C2" w:rsidRDefault="005C410F" w:rsidP="0030438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04384">
              <w:rPr>
                <w:rFonts w:ascii="Tahoma" w:hAnsi="Tahoma" w:cs="Tahoma"/>
                <w:b/>
                <w:bCs/>
                <w:iCs/>
                <w:color w:val="243285"/>
                <w:szCs w:val="24"/>
              </w:rPr>
              <w:t>03</w:t>
            </w:r>
            <w:r w:rsidRPr="00A443C2">
              <w:rPr>
                <w:rFonts w:ascii="Tahoma" w:hAnsi="Tahoma" w:cs="Tahoma"/>
                <w:b/>
                <w:bCs/>
                <w:iCs/>
                <w:color w:val="243285"/>
                <w:szCs w:val="24"/>
              </w:rPr>
              <w:t>/</w:t>
            </w:r>
            <w:r w:rsidR="00304384">
              <w:rPr>
                <w:rFonts w:ascii="Tahoma" w:hAnsi="Tahoma" w:cs="Tahoma"/>
                <w:b/>
                <w:bCs/>
                <w:iCs/>
                <w:color w:val="243285"/>
                <w:szCs w:val="24"/>
              </w:rPr>
              <w:t>2010</w:t>
            </w:r>
            <w:r w:rsidRPr="00A443C2">
              <w:rPr>
                <w:rFonts w:ascii="Tahoma" w:hAnsi="Tahoma" w:cs="Tahoma"/>
                <w:b/>
                <w:bCs/>
                <w:iCs/>
                <w:color w:val="243285"/>
                <w:szCs w:val="24"/>
              </w:rPr>
              <w:t>)</w:t>
            </w:r>
          </w:p>
        </w:tc>
      </w:tr>
      <w:tr w:rsidR="005C410F" w:rsidRPr="00F54FBD">
        <w:tc>
          <w:tcPr>
            <w:tcW w:w="10089" w:type="dxa"/>
          </w:tcPr>
          <w:p w:rsidR="005C410F" w:rsidRDefault="005C410F" w:rsidP="00123FD5">
            <w:pPr>
              <w:spacing w:before="80" w:line="500" w:lineRule="exact"/>
              <w:jc w:val="right"/>
              <w:rPr>
                <w:rFonts w:ascii="Tahoma" w:hAnsi="Tahoma" w:cs="Tahoma"/>
                <w:b/>
                <w:bCs/>
                <w:iCs/>
                <w:color w:val="243285"/>
                <w:sz w:val="44"/>
                <w:szCs w:val="44"/>
              </w:rPr>
            </w:pPr>
          </w:p>
          <w:p w:rsidR="005C410F" w:rsidRPr="00304384" w:rsidRDefault="00304384" w:rsidP="00123FD5">
            <w:pPr>
              <w:spacing w:before="80" w:line="500" w:lineRule="exact"/>
              <w:jc w:val="right"/>
              <w:rPr>
                <w:rFonts w:ascii="Tahoma" w:hAnsi="Tahoma" w:cs="Tahoma"/>
                <w:b/>
                <w:bCs/>
                <w:iCs/>
                <w:color w:val="243285"/>
                <w:sz w:val="44"/>
                <w:szCs w:val="44"/>
              </w:rPr>
            </w:pPr>
            <w:r w:rsidRPr="00304384">
              <w:rPr>
                <w:rFonts w:ascii="Tahoma" w:hAnsi="Tahoma" w:cs="Tahoma"/>
                <w:b/>
                <w:bCs/>
                <w:color w:val="243285"/>
                <w:sz w:val="44"/>
                <w:szCs w:val="44"/>
                <w:lang w:val="fr-CH"/>
              </w:rPr>
              <w:t>Source de signaux horaires sécurisée pour autorité de pointage temporel</w:t>
            </w:r>
          </w:p>
          <w:p w:rsidR="005C410F" w:rsidRPr="00F54FBD" w:rsidRDefault="005C410F" w:rsidP="00FE79FE">
            <w:pPr>
              <w:spacing w:before="80" w:line="500" w:lineRule="exact"/>
              <w:jc w:val="right"/>
              <w:rPr>
                <w:rFonts w:ascii="Tahoma" w:hAnsi="Tahoma" w:cs="Tahoma"/>
                <w:b/>
                <w:bCs/>
                <w:iCs/>
                <w:color w:val="243285"/>
                <w:sz w:val="44"/>
                <w:szCs w:val="44"/>
              </w:rPr>
            </w:pPr>
          </w:p>
        </w:tc>
      </w:tr>
      <w:tr w:rsidR="005C410F" w:rsidRPr="00F54FBD">
        <w:tc>
          <w:tcPr>
            <w:tcW w:w="10089" w:type="dxa"/>
          </w:tcPr>
          <w:p w:rsidR="005C410F" w:rsidRPr="00F54FBD" w:rsidRDefault="005C410F" w:rsidP="00AD267B">
            <w:pPr>
              <w:spacing w:before="80" w:line="280" w:lineRule="exact"/>
              <w:ind w:right="640"/>
              <w:rPr>
                <w:rFonts w:ascii="Tahoma" w:hAnsi="Tahoma" w:cs="Tahoma"/>
                <w:b/>
                <w:bCs/>
                <w:iCs/>
                <w:color w:val="243285"/>
                <w:sz w:val="32"/>
                <w:szCs w:val="32"/>
              </w:rPr>
            </w:pPr>
          </w:p>
          <w:p w:rsidR="005C410F" w:rsidRPr="00F54FBD" w:rsidRDefault="005C410F" w:rsidP="00AD267B">
            <w:pPr>
              <w:spacing w:before="80" w:line="280" w:lineRule="exact"/>
              <w:ind w:right="640"/>
              <w:rPr>
                <w:rFonts w:ascii="Tahoma" w:hAnsi="Tahoma" w:cs="Tahoma"/>
                <w:b/>
                <w:bCs/>
                <w:iCs/>
                <w:color w:val="243285"/>
                <w:sz w:val="32"/>
                <w:szCs w:val="32"/>
              </w:rPr>
            </w:pPr>
          </w:p>
          <w:p w:rsidR="005C410F" w:rsidRPr="00F54FBD" w:rsidRDefault="005C410F" w:rsidP="004A4D65">
            <w:pPr>
              <w:spacing w:before="80" w:after="180" w:line="360" w:lineRule="exact"/>
              <w:ind w:right="720"/>
              <w:rPr>
                <w:rFonts w:ascii="Tahoma" w:hAnsi="Tahoma" w:cs="Tahoma"/>
                <w:b/>
                <w:bCs/>
                <w:iCs/>
                <w:color w:val="243285"/>
                <w:sz w:val="36"/>
                <w:szCs w:val="36"/>
              </w:rPr>
            </w:pPr>
          </w:p>
          <w:p w:rsidR="005C410F" w:rsidRPr="00F54FBD" w:rsidRDefault="005C410F" w:rsidP="00DD5F9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TF</w:t>
            </w:r>
          </w:p>
          <w:p w:rsidR="005C410F" w:rsidRDefault="005C410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Emissions de fréquences étalon</w:t>
            </w:r>
          </w:p>
          <w:p w:rsidR="005C410F" w:rsidRPr="00F54FBD" w:rsidRDefault="005C410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et de signaux horaires</w:t>
            </w:r>
          </w:p>
        </w:tc>
      </w:tr>
    </w:tbl>
    <w:p w:rsidR="005C410F" w:rsidRPr="00F54FBD" w:rsidRDefault="005C410F" w:rsidP="00CD659B">
      <w:pPr>
        <w:spacing w:before="80"/>
        <w:rPr>
          <w:i/>
          <w:sz w:val="22"/>
        </w:rPr>
      </w:pPr>
    </w:p>
    <w:p w:rsidR="005C410F" w:rsidRPr="00F54FBD" w:rsidRDefault="005C410F" w:rsidP="00CD659B">
      <w:pPr>
        <w:spacing w:before="80"/>
        <w:rPr>
          <w:i/>
          <w:sz w:val="22"/>
        </w:rPr>
      </w:pPr>
    </w:p>
    <w:p w:rsidR="005C410F" w:rsidRPr="00F54FBD" w:rsidRDefault="005C410F" w:rsidP="00CD659B">
      <w:pPr>
        <w:spacing w:before="80"/>
        <w:rPr>
          <w:i/>
          <w:sz w:val="22"/>
        </w:rPr>
      </w:pPr>
    </w:p>
    <w:p w:rsidR="005C410F" w:rsidRPr="00F54FBD" w:rsidRDefault="005C410F" w:rsidP="00CD659B">
      <w:pPr>
        <w:spacing w:before="80"/>
        <w:rPr>
          <w:i/>
          <w:sz w:val="22"/>
        </w:rPr>
      </w:pPr>
    </w:p>
    <w:p w:rsidR="005C410F" w:rsidRPr="00F54FBD" w:rsidRDefault="005C410F" w:rsidP="00CD659B">
      <w:pPr>
        <w:spacing w:before="80"/>
        <w:rPr>
          <w:i/>
          <w:sz w:val="22"/>
        </w:rPr>
      </w:pPr>
    </w:p>
    <w:p w:rsidR="005C410F" w:rsidRPr="00F54FBD" w:rsidRDefault="005C410F" w:rsidP="00CD659B">
      <w:pPr>
        <w:spacing w:before="80"/>
        <w:rPr>
          <w:i/>
          <w:sz w:val="22"/>
        </w:rPr>
      </w:pPr>
    </w:p>
    <w:p w:rsidR="005C410F" w:rsidRPr="00F54FBD" w:rsidRDefault="005C410F" w:rsidP="00CD659B">
      <w:pPr>
        <w:pStyle w:val="Equation"/>
        <w:tabs>
          <w:tab w:val="clear" w:pos="4820"/>
          <w:tab w:val="clear" w:pos="9639"/>
          <w:tab w:val="left" w:pos="1191"/>
          <w:tab w:val="left" w:pos="1588"/>
          <w:tab w:val="left" w:pos="1985"/>
        </w:tabs>
        <w:rPr>
          <w:rFonts w:ascii="Palatino Linotype" w:hAnsi="Palatino Linotype"/>
        </w:rPr>
        <w:sectPr w:rsidR="005C410F" w:rsidRPr="00F54FBD" w:rsidSect="00A32399">
          <w:headerReference w:type="even" r:id="rId8"/>
          <w:headerReference w:type="default" r:id="rId9"/>
          <w:pgSz w:w="11907" w:h="16834" w:code="9"/>
          <w:pgMar w:top="1418" w:right="1134" w:bottom="1134" w:left="1134" w:header="720" w:footer="482" w:gutter="0"/>
          <w:paperSrc w:first="15" w:other="15"/>
          <w:cols w:space="720"/>
        </w:sectPr>
      </w:pPr>
    </w:p>
    <w:p w:rsidR="005C410F" w:rsidRPr="00F54FBD" w:rsidRDefault="005C410F"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C410F" w:rsidRPr="00F54FBD" w:rsidRDefault="005C410F"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C410F" w:rsidRPr="00F54FBD" w:rsidRDefault="005C410F"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C410F" w:rsidRPr="00E44CBB" w:rsidRDefault="005C410F"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C410F" w:rsidRPr="00E44CBB" w:rsidRDefault="005C410F"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r w:rsidR="00A617EB"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C410F" w:rsidRPr="005C410F" w:rsidRDefault="005C410F"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C410F" w:rsidRPr="009454F8">
        <w:tc>
          <w:tcPr>
            <w:tcW w:w="9360" w:type="dxa"/>
            <w:gridSpan w:val="2"/>
          </w:tcPr>
          <w:p w:rsidR="005C410F" w:rsidRPr="009454F8" w:rsidRDefault="005C410F" w:rsidP="00614CC6">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5C410F" w:rsidRPr="009454F8" w:rsidRDefault="005C410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5C410F" w:rsidRPr="00036EE3" w:rsidTr="005E427C">
        <w:tc>
          <w:tcPr>
            <w:tcW w:w="1140" w:type="dxa"/>
            <w:tcBorders>
              <w:bottom w:val="nil"/>
            </w:tcBorders>
          </w:tcPr>
          <w:p w:rsidR="005C410F" w:rsidRPr="00614CC6" w:rsidRDefault="005C410F"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5C410F" w:rsidRPr="00614CC6" w:rsidRDefault="005C410F"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C410F" w:rsidRPr="005E427C" w:rsidTr="005E427C">
        <w:tc>
          <w:tcPr>
            <w:tcW w:w="1140" w:type="dxa"/>
            <w:tcBorders>
              <w:top w:val="nil"/>
              <w:bottom w:val="nil"/>
            </w:tcBorders>
            <w:shd w:val="clear" w:color="auto" w:fill="auto"/>
          </w:tcPr>
          <w:p w:rsidR="005C410F" w:rsidRPr="005E427C" w:rsidRDefault="005C410F"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C410F" w:rsidRPr="005E427C" w:rsidRDefault="005C410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C410F" w:rsidRPr="009454F8" w:rsidTr="00E80F1D">
        <w:tc>
          <w:tcPr>
            <w:tcW w:w="1140" w:type="dxa"/>
            <w:tcBorders>
              <w:top w:val="nil"/>
              <w:bottom w:val="nil"/>
            </w:tcBorders>
          </w:tcPr>
          <w:p w:rsidR="005C410F" w:rsidRPr="00614CC6" w:rsidRDefault="005C410F"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C410F" w:rsidRPr="00614CC6" w:rsidRDefault="005C410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C410F" w:rsidRPr="00E80F1D" w:rsidTr="00E80F1D">
        <w:tc>
          <w:tcPr>
            <w:tcW w:w="1140" w:type="dxa"/>
            <w:tcBorders>
              <w:top w:val="nil"/>
              <w:bottom w:val="nil"/>
            </w:tcBorders>
            <w:shd w:val="clear" w:color="auto" w:fill="auto"/>
          </w:tcPr>
          <w:p w:rsidR="005C410F" w:rsidRPr="00E80F1D" w:rsidRDefault="005C410F"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C410F" w:rsidRPr="00E80F1D" w:rsidRDefault="005C410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C410F" w:rsidRPr="00ED2695" w:rsidTr="00DE5EA2">
        <w:tc>
          <w:tcPr>
            <w:tcW w:w="1140" w:type="dxa"/>
            <w:tcBorders>
              <w:top w:val="nil"/>
              <w:bottom w:val="nil"/>
            </w:tcBorders>
            <w:shd w:val="clear" w:color="auto" w:fill="auto"/>
          </w:tcPr>
          <w:p w:rsidR="005C410F" w:rsidRPr="00614CC6" w:rsidRDefault="005C410F"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C410F" w:rsidRPr="00614CC6" w:rsidRDefault="005C410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C410F" w:rsidRPr="00DE5EA2" w:rsidTr="00DE5EA2">
        <w:tc>
          <w:tcPr>
            <w:tcW w:w="1140" w:type="dxa"/>
            <w:tcBorders>
              <w:top w:val="nil"/>
              <w:bottom w:val="nil"/>
            </w:tcBorders>
            <w:shd w:val="clear" w:color="auto" w:fill="auto"/>
          </w:tcPr>
          <w:p w:rsidR="005C410F" w:rsidRPr="00DE5EA2" w:rsidRDefault="005C410F"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5C410F" w:rsidRPr="00DE5EA2" w:rsidRDefault="005C410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5C410F" w:rsidRPr="00B21066" w:rsidTr="00EC361D">
        <w:tc>
          <w:tcPr>
            <w:tcW w:w="1140" w:type="dxa"/>
            <w:tcBorders>
              <w:top w:val="nil"/>
              <w:bottom w:val="nil"/>
            </w:tcBorders>
            <w:shd w:val="clear" w:color="auto" w:fill="auto"/>
          </w:tcPr>
          <w:p w:rsidR="005C410F" w:rsidRPr="00B21066" w:rsidRDefault="005C410F"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C410F" w:rsidRPr="00B21066" w:rsidRDefault="005C410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C410F" w:rsidRPr="00EC361D" w:rsidTr="004822EF">
        <w:tc>
          <w:tcPr>
            <w:tcW w:w="1140" w:type="dxa"/>
            <w:tcBorders>
              <w:top w:val="nil"/>
              <w:bottom w:val="nil"/>
            </w:tcBorders>
            <w:shd w:val="clear" w:color="auto" w:fill="auto"/>
          </w:tcPr>
          <w:p w:rsidR="005C410F" w:rsidRPr="00EC361D" w:rsidRDefault="005C410F"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5C410F" w:rsidRPr="00EC361D" w:rsidRDefault="005C410F" w:rsidP="00F336CC">
            <w:pPr>
              <w:spacing w:before="30" w:after="30"/>
              <w:jc w:val="left"/>
              <w:rPr>
                <w:sz w:val="20"/>
                <w:lang w:val="fr-CH"/>
              </w:rPr>
            </w:pPr>
            <w:r w:rsidRPr="00EC361D">
              <w:rPr>
                <w:sz w:val="20"/>
              </w:rPr>
              <w:t>Propagation des ondes radioélectriques</w:t>
            </w:r>
          </w:p>
        </w:tc>
      </w:tr>
      <w:tr w:rsidR="005C410F" w:rsidRPr="004822EF" w:rsidTr="00326525">
        <w:tc>
          <w:tcPr>
            <w:tcW w:w="1140" w:type="dxa"/>
            <w:tcBorders>
              <w:top w:val="nil"/>
              <w:bottom w:val="nil"/>
            </w:tcBorders>
            <w:shd w:val="clear" w:color="auto" w:fill="auto"/>
          </w:tcPr>
          <w:p w:rsidR="005C410F" w:rsidRPr="004822EF" w:rsidRDefault="005C410F"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5C410F" w:rsidRPr="004822EF" w:rsidRDefault="005C410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5C410F" w:rsidRPr="00326525" w:rsidTr="00C40D3E">
        <w:tc>
          <w:tcPr>
            <w:tcW w:w="1140" w:type="dxa"/>
            <w:tcBorders>
              <w:top w:val="nil"/>
              <w:bottom w:val="nil"/>
            </w:tcBorders>
            <w:shd w:val="clear" w:color="auto" w:fill="auto"/>
          </w:tcPr>
          <w:p w:rsidR="005C410F" w:rsidRPr="00326525" w:rsidRDefault="005C410F"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5C410F" w:rsidRPr="00326525" w:rsidRDefault="005C410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5C410F" w:rsidRPr="00C40D3E" w:rsidTr="00595D3D">
        <w:tc>
          <w:tcPr>
            <w:tcW w:w="1140" w:type="dxa"/>
            <w:tcBorders>
              <w:top w:val="nil"/>
              <w:bottom w:val="nil"/>
            </w:tcBorders>
            <w:shd w:val="clear" w:color="auto" w:fill="auto"/>
          </w:tcPr>
          <w:p w:rsidR="005C410F" w:rsidRPr="00C40D3E" w:rsidRDefault="005C410F"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5C410F" w:rsidRPr="00C40D3E" w:rsidRDefault="005C410F" w:rsidP="00F336CC">
            <w:pPr>
              <w:spacing w:before="30" w:after="30"/>
              <w:jc w:val="left"/>
              <w:rPr>
                <w:sz w:val="20"/>
                <w:lang w:val="en-US"/>
              </w:rPr>
            </w:pPr>
            <w:r w:rsidRPr="00C40D3E">
              <w:rPr>
                <w:sz w:val="20"/>
              </w:rPr>
              <w:t>Service fixe par satellite</w:t>
            </w:r>
          </w:p>
        </w:tc>
      </w:tr>
      <w:tr w:rsidR="005C410F" w:rsidRPr="00595D3D" w:rsidTr="009B5564">
        <w:tc>
          <w:tcPr>
            <w:tcW w:w="1140" w:type="dxa"/>
            <w:tcBorders>
              <w:top w:val="nil"/>
              <w:bottom w:val="nil"/>
            </w:tcBorders>
            <w:shd w:val="clear" w:color="auto" w:fill="auto"/>
          </w:tcPr>
          <w:p w:rsidR="005C410F" w:rsidRPr="00595D3D" w:rsidRDefault="005C410F"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5C410F" w:rsidRPr="00595D3D" w:rsidRDefault="005C410F" w:rsidP="00F336CC">
            <w:pPr>
              <w:spacing w:before="30" w:after="30"/>
              <w:jc w:val="left"/>
              <w:rPr>
                <w:sz w:val="20"/>
                <w:lang w:val="en-US"/>
              </w:rPr>
            </w:pPr>
            <w:r w:rsidRPr="00595D3D">
              <w:rPr>
                <w:sz w:val="20"/>
              </w:rPr>
              <w:t>Applications spatiales et météorologie</w:t>
            </w:r>
          </w:p>
        </w:tc>
      </w:tr>
      <w:tr w:rsidR="005C410F" w:rsidRPr="009B5564" w:rsidTr="001B1BA9">
        <w:tc>
          <w:tcPr>
            <w:tcW w:w="1140" w:type="dxa"/>
            <w:tcBorders>
              <w:top w:val="nil"/>
              <w:bottom w:val="nil"/>
            </w:tcBorders>
            <w:shd w:val="clear" w:color="auto" w:fill="auto"/>
          </w:tcPr>
          <w:p w:rsidR="005C410F" w:rsidRPr="009B5564" w:rsidRDefault="005C410F"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5C410F" w:rsidRPr="009B5564" w:rsidRDefault="005C410F" w:rsidP="00F336CC">
            <w:pPr>
              <w:spacing w:before="30" w:after="30"/>
              <w:jc w:val="left"/>
              <w:rPr>
                <w:bCs/>
                <w:sz w:val="20"/>
              </w:rPr>
            </w:pPr>
            <w:r w:rsidRPr="009B5564">
              <w:rPr>
                <w:bCs/>
                <w:sz w:val="20"/>
              </w:rPr>
              <w:t>Partage des fréquences et coordination entre les systèmes du service fixe par satellite et du service fixe</w:t>
            </w:r>
          </w:p>
        </w:tc>
      </w:tr>
      <w:tr w:rsidR="005C410F" w:rsidRPr="009B5564" w:rsidTr="00DD5F95">
        <w:tc>
          <w:tcPr>
            <w:tcW w:w="1140" w:type="dxa"/>
            <w:tcBorders>
              <w:top w:val="nil"/>
              <w:bottom w:val="nil"/>
            </w:tcBorders>
            <w:shd w:val="clear" w:color="auto" w:fill="auto"/>
          </w:tcPr>
          <w:p w:rsidR="005C410F" w:rsidRPr="001B1BA9" w:rsidRDefault="005C410F" w:rsidP="00F336CC">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5C410F" w:rsidRPr="001B1BA9" w:rsidRDefault="005C410F" w:rsidP="00F336CC">
            <w:pPr>
              <w:spacing w:before="30" w:after="30"/>
              <w:jc w:val="left"/>
              <w:rPr>
                <w:bCs/>
                <w:sz w:val="20"/>
                <w:lang w:val="en-US"/>
              </w:rPr>
            </w:pPr>
            <w:r w:rsidRPr="001B1BA9">
              <w:rPr>
                <w:bCs/>
                <w:sz w:val="20"/>
              </w:rPr>
              <w:t>Gestion du spectre</w:t>
            </w:r>
          </w:p>
        </w:tc>
      </w:tr>
      <w:tr w:rsidR="005C410F" w:rsidRPr="00DD5F95" w:rsidTr="00DD5F95">
        <w:tc>
          <w:tcPr>
            <w:tcW w:w="1140" w:type="dxa"/>
            <w:tcBorders>
              <w:top w:val="nil"/>
              <w:bottom w:val="nil"/>
            </w:tcBorders>
            <w:shd w:val="clear" w:color="auto" w:fill="auto"/>
          </w:tcPr>
          <w:p w:rsidR="005C410F" w:rsidRPr="00DD5F95" w:rsidRDefault="005C410F" w:rsidP="00F336CC">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5C410F" w:rsidRPr="00DD5F95" w:rsidRDefault="005C410F" w:rsidP="00F336CC">
            <w:pPr>
              <w:spacing w:before="30" w:after="30"/>
              <w:jc w:val="left"/>
              <w:rPr>
                <w:sz w:val="20"/>
                <w:lang w:val="en-US"/>
              </w:rPr>
            </w:pPr>
            <w:r w:rsidRPr="00DD5F95">
              <w:rPr>
                <w:sz w:val="20"/>
              </w:rPr>
              <w:t>Reportage d'actualités par satellite</w:t>
            </w:r>
          </w:p>
        </w:tc>
      </w:tr>
      <w:tr w:rsidR="005C410F" w:rsidRPr="00DD5F95" w:rsidTr="00DD5F95">
        <w:tc>
          <w:tcPr>
            <w:tcW w:w="1140" w:type="dxa"/>
            <w:tcBorders>
              <w:top w:val="nil"/>
              <w:bottom w:val="nil"/>
            </w:tcBorders>
            <w:shd w:val="clear" w:color="auto" w:fill="F3F3F3"/>
          </w:tcPr>
          <w:p w:rsidR="005C410F" w:rsidRPr="00DD5F95" w:rsidRDefault="005C410F" w:rsidP="00F336CC">
            <w:pPr>
              <w:spacing w:before="30" w:after="30"/>
              <w:ind w:left="57"/>
              <w:jc w:val="left"/>
              <w:rPr>
                <w:b/>
                <w:bCs/>
                <w:color w:val="000080"/>
                <w:sz w:val="20"/>
                <w:lang w:val="en-US"/>
              </w:rPr>
            </w:pPr>
            <w:r w:rsidRPr="00DD5F95">
              <w:rPr>
                <w:b/>
                <w:bCs/>
                <w:color w:val="000080"/>
                <w:sz w:val="20"/>
                <w:lang w:val="en-US"/>
              </w:rPr>
              <w:t>TF</w:t>
            </w:r>
          </w:p>
        </w:tc>
        <w:tc>
          <w:tcPr>
            <w:tcW w:w="8220" w:type="dxa"/>
            <w:tcBorders>
              <w:top w:val="nil"/>
              <w:bottom w:val="nil"/>
            </w:tcBorders>
            <w:shd w:val="clear" w:color="auto" w:fill="F3F3F3"/>
          </w:tcPr>
          <w:p w:rsidR="005C410F" w:rsidRPr="00DD5F95" w:rsidRDefault="005C410F" w:rsidP="00F336CC">
            <w:pPr>
              <w:spacing w:before="30" w:after="30"/>
              <w:jc w:val="left"/>
              <w:rPr>
                <w:b/>
                <w:bCs/>
                <w:color w:val="000080"/>
                <w:sz w:val="20"/>
              </w:rPr>
            </w:pPr>
            <w:r w:rsidRPr="00DD5F95">
              <w:rPr>
                <w:b/>
                <w:bCs/>
                <w:color w:val="000080"/>
                <w:sz w:val="20"/>
              </w:rPr>
              <w:t>Emissions de fréquences étalon et de signaux horaires</w:t>
            </w:r>
          </w:p>
        </w:tc>
      </w:tr>
      <w:tr w:rsidR="005C410F" w:rsidRPr="00036EE3" w:rsidTr="00DD5F95">
        <w:tc>
          <w:tcPr>
            <w:tcW w:w="1140" w:type="dxa"/>
            <w:tcBorders>
              <w:top w:val="nil"/>
            </w:tcBorders>
          </w:tcPr>
          <w:p w:rsidR="005C410F" w:rsidRPr="00614CC6" w:rsidRDefault="005C410F" w:rsidP="00F336CC">
            <w:pPr>
              <w:spacing w:before="30" w:after="30"/>
              <w:ind w:left="57"/>
              <w:jc w:val="left"/>
              <w:rPr>
                <w:b/>
                <w:bCs/>
                <w:sz w:val="20"/>
                <w:lang w:val="en-US"/>
              </w:rPr>
            </w:pPr>
            <w:r w:rsidRPr="00614CC6">
              <w:rPr>
                <w:b/>
                <w:bCs/>
                <w:sz w:val="20"/>
                <w:lang w:val="en-US"/>
              </w:rPr>
              <w:t>V</w:t>
            </w:r>
          </w:p>
        </w:tc>
        <w:tc>
          <w:tcPr>
            <w:tcW w:w="8220" w:type="dxa"/>
            <w:tcBorders>
              <w:top w:val="nil"/>
            </w:tcBorders>
          </w:tcPr>
          <w:p w:rsidR="005C410F" w:rsidRPr="00614CC6" w:rsidRDefault="005C410F" w:rsidP="00614CC6">
            <w:pPr>
              <w:spacing w:before="30" w:after="140"/>
              <w:jc w:val="left"/>
              <w:rPr>
                <w:sz w:val="20"/>
                <w:lang w:val="en-US"/>
              </w:rPr>
            </w:pPr>
            <w:r w:rsidRPr="00614CC6">
              <w:rPr>
                <w:sz w:val="20"/>
              </w:rPr>
              <w:t>Vocabulaire et sujets associés</w:t>
            </w:r>
          </w:p>
        </w:tc>
      </w:tr>
    </w:tbl>
    <w:p w:rsidR="005C410F" w:rsidRPr="00036EE3" w:rsidRDefault="005C410F" w:rsidP="00614CC6">
      <w:pPr>
        <w:spacing w:before="0"/>
        <w:jc w:val="center"/>
        <w:rPr>
          <w:sz w:val="20"/>
          <w:lang w:val="en-US"/>
        </w:rPr>
      </w:pPr>
    </w:p>
    <w:p w:rsidR="005C410F" w:rsidRPr="00036EE3" w:rsidRDefault="005C410F"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C410F" w:rsidRPr="00756B4D">
        <w:tc>
          <w:tcPr>
            <w:tcW w:w="9360" w:type="dxa"/>
          </w:tcPr>
          <w:p w:rsidR="005C410F" w:rsidRPr="00756B4D" w:rsidRDefault="005C410F"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5C410F" w:rsidRPr="00756B4D" w:rsidRDefault="005C410F" w:rsidP="00F54FBD">
      <w:pPr>
        <w:spacing w:before="0"/>
        <w:jc w:val="center"/>
        <w:rPr>
          <w:sz w:val="22"/>
        </w:rPr>
      </w:pPr>
    </w:p>
    <w:p w:rsidR="005C410F" w:rsidRPr="00614CC6" w:rsidRDefault="005C410F" w:rsidP="00756B4D">
      <w:pPr>
        <w:spacing w:before="100"/>
        <w:jc w:val="right"/>
        <w:rPr>
          <w:i/>
          <w:iCs/>
          <w:sz w:val="20"/>
        </w:rPr>
      </w:pPr>
      <w:r w:rsidRPr="00614CC6">
        <w:rPr>
          <w:i/>
          <w:iCs/>
          <w:sz w:val="20"/>
        </w:rPr>
        <w:t>Publication électronique</w:t>
      </w:r>
    </w:p>
    <w:p w:rsidR="005C410F" w:rsidRPr="00614CC6" w:rsidRDefault="005C410F" w:rsidP="005B5866">
      <w:pPr>
        <w:spacing w:before="0"/>
        <w:jc w:val="right"/>
        <w:rPr>
          <w:sz w:val="20"/>
        </w:rPr>
      </w:pPr>
      <w:r w:rsidRPr="00614CC6">
        <w:rPr>
          <w:sz w:val="20"/>
        </w:rPr>
        <w:t>Genève, 20</w:t>
      </w:r>
      <w:r w:rsidR="00D15E7D">
        <w:rPr>
          <w:sz w:val="20"/>
        </w:rPr>
        <w:t>11</w:t>
      </w:r>
    </w:p>
    <w:p w:rsidR="005C410F" w:rsidRPr="00614CC6" w:rsidRDefault="005C410F" w:rsidP="005B5866">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D15E7D">
        <w:rPr>
          <w:sz w:val="20"/>
        </w:rPr>
        <w:t>11</w:t>
      </w:r>
    </w:p>
    <w:p w:rsidR="005C410F" w:rsidRPr="00614CC6" w:rsidRDefault="005C410F"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C410F" w:rsidRPr="00614CC6" w:rsidRDefault="005C410F" w:rsidP="00CD659B">
      <w:pPr>
        <w:spacing w:before="160"/>
        <w:rPr>
          <w:i/>
          <w:sz w:val="20"/>
          <w:highlight w:val="yellow"/>
        </w:rPr>
        <w:sectPr w:rsidR="005C410F"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5C410F" w:rsidRPr="00756B4D" w:rsidRDefault="005C410F" w:rsidP="00304384">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TF</w:t>
      </w:r>
      <w:r w:rsidRPr="00756B4D">
        <w:rPr>
          <w:rStyle w:val="href"/>
        </w:rPr>
        <w:t>.</w:t>
      </w:r>
      <w:r w:rsidR="00304384">
        <w:rPr>
          <w:rStyle w:val="href"/>
        </w:rPr>
        <w:t>1876</w:t>
      </w:r>
    </w:p>
    <w:p w:rsidR="00304384" w:rsidRPr="000301EE" w:rsidRDefault="00304384" w:rsidP="00304384">
      <w:pPr>
        <w:pStyle w:val="Rectitle"/>
        <w:rPr>
          <w:lang w:val="fr-CH"/>
        </w:rPr>
      </w:pPr>
      <w:r>
        <w:rPr>
          <w:lang w:val="fr-CH"/>
        </w:rPr>
        <w:t>Source de signaux horaires sécurisée pour autorité de pointage temporel</w:t>
      </w:r>
    </w:p>
    <w:p w:rsidR="00304384" w:rsidRDefault="00304384" w:rsidP="00304384">
      <w:pPr>
        <w:pStyle w:val="Recref"/>
      </w:pPr>
      <w:r>
        <w:t>(Question UIT-R 238/7)</w:t>
      </w:r>
    </w:p>
    <w:p w:rsidR="00304384" w:rsidRDefault="00304384" w:rsidP="00304384">
      <w:pPr>
        <w:pStyle w:val="Recdate"/>
      </w:pPr>
    </w:p>
    <w:p w:rsidR="00304384" w:rsidRDefault="00304384" w:rsidP="00304384">
      <w:pPr>
        <w:pStyle w:val="Recdate"/>
      </w:pPr>
      <w:r>
        <w:t>(2010)</w:t>
      </w:r>
    </w:p>
    <w:p w:rsidR="00304384" w:rsidRDefault="00304384" w:rsidP="00304384"/>
    <w:p w:rsidR="00304384" w:rsidRPr="00A617EB" w:rsidRDefault="00304384" w:rsidP="00304384">
      <w:pPr>
        <w:pStyle w:val="HeadingSum"/>
        <w:rPr>
          <w:lang w:val="fr-CH"/>
        </w:rPr>
      </w:pPr>
      <w:r w:rsidRPr="00A617EB">
        <w:rPr>
          <w:lang w:val="fr-CH"/>
        </w:rPr>
        <w:t>Champ d'application</w:t>
      </w:r>
    </w:p>
    <w:p w:rsidR="00304384" w:rsidRPr="00A617EB" w:rsidRDefault="00304384" w:rsidP="00304384">
      <w:pPr>
        <w:pStyle w:val="Summary"/>
        <w:rPr>
          <w:lang w:val="fr-CH"/>
        </w:rPr>
      </w:pPr>
      <w:r w:rsidRPr="00A617EB">
        <w:rPr>
          <w:lang w:val="fr-CH"/>
        </w:rPr>
        <w:t xml:space="preserve">La présente Recommandation décrit comment une source de signaux horaires sécurisée peut être fournie à une autorité de pointage temporel (TSA) et définit la fonction d'une autorité d'évaluation des signaux horaires (TAA) qui certifie le calage de la référence horaire d'une autorité de pointage temporel sur un temps UTC(k) fourni par un centre de diffusion de signaux horaires. </w:t>
      </w:r>
    </w:p>
    <w:p w:rsidR="00304384" w:rsidRPr="00A617EB" w:rsidRDefault="00304384" w:rsidP="00304384">
      <w:pPr>
        <w:pStyle w:val="Normalaftertitle"/>
        <w:rPr>
          <w:lang w:val="fr-CH"/>
        </w:rPr>
      </w:pPr>
      <w:r w:rsidRPr="00A617EB">
        <w:rPr>
          <w:lang w:val="fr-CH"/>
        </w:rPr>
        <w:t>L'Assemblée des radiocommunications de l'UIT,</w:t>
      </w:r>
    </w:p>
    <w:p w:rsidR="00304384" w:rsidRPr="00A617EB" w:rsidRDefault="00304384" w:rsidP="00304384">
      <w:pPr>
        <w:pStyle w:val="Call"/>
        <w:rPr>
          <w:lang w:val="fr-CH"/>
        </w:rPr>
      </w:pPr>
      <w:proofErr w:type="gramStart"/>
      <w:r w:rsidRPr="00A617EB">
        <w:rPr>
          <w:lang w:val="fr-CH"/>
        </w:rPr>
        <w:t>considérant</w:t>
      </w:r>
      <w:proofErr w:type="gramEnd"/>
    </w:p>
    <w:p w:rsidR="00304384" w:rsidRPr="00A617EB" w:rsidRDefault="00304384" w:rsidP="00304384">
      <w:pPr>
        <w:rPr>
          <w:lang w:val="fr-CH"/>
        </w:rPr>
      </w:pPr>
      <w:r w:rsidRPr="00A617EB">
        <w:rPr>
          <w:lang w:val="fr-CH"/>
        </w:rPr>
        <w:t>a)</w:t>
      </w:r>
      <w:r w:rsidRPr="00A617EB">
        <w:rPr>
          <w:lang w:val="fr-CH"/>
        </w:rPr>
        <w:tab/>
        <w:t>que l'importance du pointage temporel s'accroît en raison du développement du commerce électronique à l'échelle planétaire;</w:t>
      </w:r>
    </w:p>
    <w:p w:rsidR="00304384" w:rsidRPr="00A617EB" w:rsidRDefault="00304384" w:rsidP="00304384">
      <w:pPr>
        <w:rPr>
          <w:lang w:val="fr-CH"/>
        </w:rPr>
      </w:pPr>
      <w:r w:rsidRPr="00A617EB">
        <w:rPr>
          <w:lang w:val="fr-CH"/>
        </w:rPr>
        <w:t>b)</w:t>
      </w:r>
      <w:r w:rsidRPr="00A617EB">
        <w:rPr>
          <w:lang w:val="fr-CH"/>
        </w:rPr>
        <w:tab/>
        <w:t>que l'importance du pointage temporel s'accroît également en raison du développement du cybergouvernement;</w:t>
      </w:r>
    </w:p>
    <w:p w:rsidR="00304384" w:rsidRPr="00A617EB" w:rsidRDefault="00304384" w:rsidP="00304384">
      <w:pPr>
        <w:rPr>
          <w:lang w:val="fr-CH"/>
        </w:rPr>
      </w:pPr>
      <w:r w:rsidRPr="00A617EB">
        <w:rPr>
          <w:lang w:val="fr-CH"/>
        </w:rPr>
        <w:t>c)</w:t>
      </w:r>
      <w:r w:rsidRPr="00A617EB">
        <w:rPr>
          <w:lang w:val="fr-CH"/>
        </w:rPr>
        <w:tab/>
        <w:t>que les informations de temps fournies par le tiers de confiance (TTP) auquel a recours le service de pointage temporel doivent être coordonnées dans le monde entier;</w:t>
      </w:r>
    </w:p>
    <w:p w:rsidR="00304384" w:rsidRPr="00A617EB" w:rsidRDefault="00304384" w:rsidP="00304384">
      <w:pPr>
        <w:rPr>
          <w:lang w:val="fr-CH"/>
        </w:rPr>
      </w:pPr>
      <w:r w:rsidRPr="00A617EB">
        <w:rPr>
          <w:lang w:val="fr-CH"/>
        </w:rPr>
        <w:t>d)</w:t>
      </w:r>
      <w:r w:rsidRPr="00A617EB">
        <w:rPr>
          <w:lang w:val="fr-CH"/>
        </w:rPr>
        <w:tab/>
        <w:t>que les informations de temps fournies par un TTP doivent utiliser une horloge aux caractéristiques de fiabilité, de disponibilité et de crédibilité très élevées, telle que définie dans la Recommandation UIT-T X.842;</w:t>
      </w:r>
    </w:p>
    <w:p w:rsidR="00304384" w:rsidRPr="00A617EB" w:rsidRDefault="00304384" w:rsidP="00304384">
      <w:pPr>
        <w:rPr>
          <w:lang w:val="fr-CH"/>
        </w:rPr>
      </w:pPr>
      <w:r w:rsidRPr="00A617EB">
        <w:rPr>
          <w:lang w:val="fr-CH"/>
        </w:rPr>
        <w:t>e)</w:t>
      </w:r>
      <w:r w:rsidRPr="00A617EB">
        <w:rPr>
          <w:lang w:val="fr-CH"/>
        </w:rPr>
        <w:tab/>
        <w:t xml:space="preserve">que les techniques de transfert de signaux horaires et de fréquences étalon via des réseaux de télécommunications numériques définies dans le </w:t>
      </w:r>
      <w:r w:rsidR="00A617EB" w:rsidRPr="00A617EB">
        <w:rPr>
          <w:lang w:val="fr-CH"/>
        </w:rPr>
        <w:t>Vœu</w:t>
      </w:r>
      <w:r w:rsidRPr="00A617EB">
        <w:rPr>
          <w:lang w:val="fr-CH"/>
        </w:rPr>
        <w:t xml:space="preserve"> UIT-R 94 pourraient être appliquées aux informations de temps fournies par les TTP;</w:t>
      </w:r>
    </w:p>
    <w:p w:rsidR="00304384" w:rsidRPr="00A617EB" w:rsidRDefault="00304384" w:rsidP="00304384">
      <w:pPr>
        <w:rPr>
          <w:lang w:val="fr-CH"/>
        </w:rPr>
      </w:pPr>
      <w:r w:rsidRPr="00A617EB">
        <w:rPr>
          <w:lang w:val="fr-CH"/>
        </w:rPr>
        <w:t>f)</w:t>
      </w:r>
      <w:r w:rsidRPr="00A617EB">
        <w:rPr>
          <w:lang w:val="fr-CH"/>
        </w:rPr>
        <w:tab/>
        <w:t>qu'une autorité de pointage temporel (TSA) est un TTP qui produit les informations de temps qui satisfont à la condition susmentionnée;</w:t>
      </w:r>
    </w:p>
    <w:p w:rsidR="00304384" w:rsidRPr="00A617EB" w:rsidRDefault="00304384" w:rsidP="00304384">
      <w:pPr>
        <w:rPr>
          <w:lang w:val="fr-CH"/>
        </w:rPr>
      </w:pPr>
      <w:r w:rsidRPr="00A617EB">
        <w:rPr>
          <w:lang w:val="fr-CH"/>
        </w:rPr>
        <w:t>g)</w:t>
      </w:r>
      <w:r w:rsidRPr="00A617EB">
        <w:rPr>
          <w:lang w:val="fr-CH"/>
        </w:rPr>
        <w:tab/>
        <w:t>que le temps universel coordonné (UTC) fixé par le Bureau international des poids et mesures (BIPM) et par l'International Earth Rotation Service (IERS), comme indiqué dans la Recommandation UIT-R TF.486, est la référence internationale en matière de temps;</w:t>
      </w:r>
    </w:p>
    <w:p w:rsidR="00304384" w:rsidRPr="00A617EB" w:rsidRDefault="00304384" w:rsidP="00304384">
      <w:pPr>
        <w:rPr>
          <w:lang w:val="fr-CH"/>
        </w:rPr>
      </w:pPr>
      <w:r w:rsidRPr="00A617EB">
        <w:rPr>
          <w:lang w:val="fr-CH"/>
        </w:rPr>
        <w:t>h)</w:t>
      </w:r>
      <w:r w:rsidRPr="00A617EB">
        <w:rPr>
          <w:lang w:val="fr-CH"/>
        </w:rPr>
        <w:tab/>
        <w:t xml:space="preserve">que chaque temps UTC(k) produit par des centres de diffusion de signaux horaires peut être utilisé en temps réel et que toute différence de temps par rapport au temps UTC est publiée régulièrement par le BIPM, </w:t>
      </w:r>
    </w:p>
    <w:p w:rsidR="00304384" w:rsidRPr="00A617EB" w:rsidRDefault="00304384" w:rsidP="00304384">
      <w:pPr>
        <w:pStyle w:val="Call"/>
        <w:rPr>
          <w:lang w:val="fr-CH"/>
        </w:rPr>
      </w:pPr>
      <w:proofErr w:type="gramStart"/>
      <w:r w:rsidRPr="00A617EB">
        <w:rPr>
          <w:lang w:val="fr-CH"/>
        </w:rPr>
        <w:t>recommande</w:t>
      </w:r>
      <w:proofErr w:type="gramEnd"/>
    </w:p>
    <w:p w:rsidR="00304384" w:rsidRPr="00A617EB" w:rsidRDefault="00304384" w:rsidP="00304384">
      <w:pPr>
        <w:rPr>
          <w:lang w:val="fr-CH"/>
        </w:rPr>
      </w:pPr>
      <w:r w:rsidRPr="00A617EB">
        <w:rPr>
          <w:b/>
          <w:bCs/>
          <w:lang w:val="fr-CH"/>
        </w:rPr>
        <w:t>1</w:t>
      </w:r>
      <w:r w:rsidRPr="00A617EB">
        <w:rPr>
          <w:lang w:val="fr-CH"/>
        </w:rPr>
        <w:tab/>
        <w:t>que les centres de diffusion de signaux horaires disposent des moyens nécessaires pour diffuser le temps UTC(k) à une autorité de pointage temporel selon les exemples de précision requise, dont certains sont fournis dans l'Annexe 1;</w:t>
      </w:r>
    </w:p>
    <w:p w:rsidR="00304384" w:rsidRPr="00A617EB" w:rsidRDefault="00304384" w:rsidP="00304384">
      <w:pPr>
        <w:rPr>
          <w:lang w:val="fr-CH"/>
        </w:rPr>
      </w:pPr>
      <w:r w:rsidRPr="00A617EB">
        <w:rPr>
          <w:b/>
          <w:bCs/>
          <w:lang w:val="fr-CH"/>
        </w:rPr>
        <w:t>2</w:t>
      </w:r>
      <w:r w:rsidRPr="00A617EB">
        <w:rPr>
          <w:lang w:val="fr-CH"/>
        </w:rPr>
        <w:tab/>
        <w:t>que le calage du temps de l'autorité de pointage temporel sur un temps UTC(k) soit certifié par le contrôle permanent d'une autorité d'évaluation des signaux horaires;</w:t>
      </w:r>
    </w:p>
    <w:p w:rsidR="00304384" w:rsidRPr="00A617EB" w:rsidRDefault="00304384" w:rsidP="00304384">
      <w:pPr>
        <w:rPr>
          <w:lang w:val="fr-CH"/>
        </w:rPr>
      </w:pPr>
      <w:r w:rsidRPr="00A617EB">
        <w:rPr>
          <w:b/>
          <w:bCs/>
          <w:lang w:val="fr-CH"/>
        </w:rPr>
        <w:lastRenderedPageBreak/>
        <w:t>3</w:t>
      </w:r>
      <w:r w:rsidRPr="00A617EB">
        <w:rPr>
          <w:lang w:val="fr-CH"/>
        </w:rPr>
        <w:tab/>
        <w:t>qu'une autorité d'évaluation des signaux horaires puisse également avoir une fonction lui permettant de vérifier que le temps utilisé par l'autorité de pointage temporel est conforme aux précisions requises;</w:t>
      </w:r>
    </w:p>
    <w:p w:rsidR="00304384" w:rsidRPr="00A617EB" w:rsidRDefault="00304384" w:rsidP="00304384">
      <w:pPr>
        <w:rPr>
          <w:lang w:val="fr-CH"/>
        </w:rPr>
      </w:pPr>
      <w:r w:rsidRPr="00A617EB">
        <w:rPr>
          <w:b/>
          <w:bCs/>
          <w:lang w:val="fr-CH"/>
        </w:rPr>
        <w:t>4</w:t>
      </w:r>
      <w:r w:rsidRPr="00A617EB">
        <w:rPr>
          <w:lang w:val="fr-CH"/>
        </w:rPr>
        <w:tab/>
        <w:t>que le centre de diffusion de signaux horaires ou qu'un tiers de confiance puisse remplir la fonction de l'autorité d'évaluation des signaux horaires.</w:t>
      </w:r>
    </w:p>
    <w:p w:rsidR="00304384" w:rsidRPr="00A617EB" w:rsidRDefault="00304384" w:rsidP="00304384">
      <w:pPr>
        <w:rPr>
          <w:lang w:val="fr-CH"/>
        </w:rPr>
      </w:pPr>
    </w:p>
    <w:p w:rsidR="00304384" w:rsidRDefault="00304384" w:rsidP="00304384">
      <w:pPr>
        <w:rPr>
          <w:lang w:val="fr-CH"/>
        </w:rPr>
      </w:pPr>
    </w:p>
    <w:p w:rsidR="00D15E7D" w:rsidRDefault="00D15E7D" w:rsidP="00304384">
      <w:pPr>
        <w:rPr>
          <w:lang w:val="fr-CH"/>
        </w:rPr>
      </w:pPr>
    </w:p>
    <w:p w:rsidR="00D15E7D" w:rsidRDefault="00D15E7D" w:rsidP="00304384">
      <w:pPr>
        <w:rPr>
          <w:lang w:val="fr-CH"/>
        </w:rPr>
      </w:pPr>
    </w:p>
    <w:p w:rsidR="00D15E7D" w:rsidRPr="00A617EB" w:rsidRDefault="00D15E7D" w:rsidP="00304384">
      <w:pPr>
        <w:rPr>
          <w:lang w:val="fr-CH"/>
        </w:rPr>
      </w:pPr>
    </w:p>
    <w:p w:rsidR="00304384" w:rsidRPr="00A617EB" w:rsidRDefault="00304384" w:rsidP="00304384">
      <w:pPr>
        <w:pStyle w:val="AnnexNoTitle"/>
        <w:rPr>
          <w:b w:val="0"/>
          <w:bCs/>
          <w:lang w:val="fr-CH"/>
        </w:rPr>
      </w:pPr>
      <w:bookmarkStart w:id="4" w:name="_Toc109029627"/>
      <w:bookmarkStart w:id="5" w:name="_Toc115515777"/>
      <w:r w:rsidRPr="00A617EB">
        <w:rPr>
          <w:lang w:val="fr-CH"/>
        </w:rPr>
        <w:t>Annexe  1</w:t>
      </w:r>
      <w:bookmarkEnd w:id="4"/>
      <w:bookmarkEnd w:id="5"/>
      <w:r w:rsidRPr="00A617EB">
        <w:rPr>
          <w:lang w:val="fr-CH"/>
        </w:rPr>
        <w:br/>
      </w:r>
      <w:r w:rsidRPr="00A617EB">
        <w:rPr>
          <w:lang w:val="fr-CH"/>
        </w:rPr>
        <w:br/>
      </w:r>
      <w:r w:rsidRPr="00A617EB">
        <w:rPr>
          <w:bCs/>
          <w:lang w:val="fr-CH"/>
        </w:rPr>
        <w:t>Exemples de systèmes de sources de signaux horaires sécurisées</w:t>
      </w:r>
    </w:p>
    <w:p w:rsidR="00304384" w:rsidRPr="00A617EB" w:rsidRDefault="00304384" w:rsidP="00304384">
      <w:pPr>
        <w:rPr>
          <w:lang w:val="fr-CH"/>
        </w:rPr>
      </w:pPr>
    </w:p>
    <w:p w:rsidR="00304384" w:rsidRPr="00A617EB" w:rsidRDefault="00304384" w:rsidP="00304384">
      <w:pPr>
        <w:rPr>
          <w:lang w:val="fr-CH"/>
        </w:rPr>
      </w:pPr>
      <w:r w:rsidRPr="00A617EB">
        <w:rPr>
          <w:lang w:val="fr-CH"/>
        </w:rPr>
        <w:t>Divers systèmes peuvent assurer le calage d'un temps UTC(k) sur une autorité de pointage temporel et la fonction de certification d'une autorité d'évaluation des signaux horaires. La Figure 1 contient des exemples de mise en œuvre de chaînes de calage appropriées et présente le mécanisme de certification. Dans les cas a) et b), un centre de diffusion de signaux horaires transmet les informations de temps directement à une autorité de pointage temporel. Alors que le même centre de diffusion de signaux horaires assure la fonction de certification dans le cas a), une TAA indépendante remplit cette fonction auprès de l'autorité de pointage temporel dans le cas b). Dans le cas c), une TAA fournit des informations de temps et assure la certification à une TSA, et la chaîne de calage du temps UTC(k) est maintenue en assurant le calage d'une TAA sur un centre de diffusion de signaux horaires. Dans le cas d), une TSA utilise des moyens appropriés pour obtenir des informations de temps, par exemple un récepteur de signaux horaires certifié du système mondial de navigation par satellite (GNSS) et la crédibilité des informations est évaluée et certifiée par une TAA. Dans ce cas, cette dernière devra avoir accès au temps UTC(k) fourni par un centre de diffusion de signaux horaires pour assurer le fonctionnement de la chaîne de calage.</w:t>
      </w:r>
    </w:p>
    <w:p w:rsidR="00304384" w:rsidRDefault="00304384"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304384">
      <w:pPr>
        <w:rPr>
          <w:lang w:val="fr-CH"/>
        </w:rPr>
      </w:pPr>
    </w:p>
    <w:p w:rsidR="00D15E7D" w:rsidRDefault="00D15E7D" w:rsidP="00D15E7D">
      <w:pPr>
        <w:pStyle w:val="FigureNo"/>
        <w:rPr>
          <w:lang w:val="fr-CH"/>
        </w:rPr>
      </w:pPr>
      <w:r>
        <w:rPr>
          <w:lang w:val="fr-CH"/>
        </w:rPr>
        <w:lastRenderedPageBreak/>
        <w:t>FIGURE 1</w:t>
      </w:r>
    </w:p>
    <w:p w:rsidR="00D15E7D" w:rsidRPr="00D15E7D" w:rsidRDefault="00D15E7D" w:rsidP="00D15E7D">
      <w:pPr>
        <w:pStyle w:val="Figuretitle"/>
        <w:rPr>
          <w:lang w:val="fr-CH"/>
        </w:rPr>
      </w:pPr>
      <w:r>
        <w:rPr>
          <w:lang w:val="fr-CH"/>
        </w:rPr>
        <w:t>Exemples d</w:t>
      </w:r>
      <w:r w:rsidRPr="00A617EB">
        <w:rPr>
          <w:lang w:val="fr-CH"/>
        </w:rPr>
        <w:t>'</w:t>
      </w:r>
      <w:r>
        <w:rPr>
          <w:lang w:val="fr-CH"/>
        </w:rPr>
        <w:t>application au concept</w:t>
      </w:r>
    </w:p>
    <w:p w:rsidR="00304384" w:rsidRPr="00A617EB" w:rsidRDefault="00D15E7D" w:rsidP="00304384">
      <w:pPr>
        <w:pStyle w:val="FigureNo"/>
        <w:rPr>
          <w:lang w:val="fr-CH"/>
        </w:rPr>
      </w:pPr>
      <w:r w:rsidRPr="00A617EB">
        <w:rPr>
          <w:lang w:val="fr-CH"/>
        </w:rPr>
        <w:object w:dxaOrig="6699" w:dyaOrig="8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4.5pt;height:406pt" o:ole="">
            <v:imagedata r:id="rId14" o:title=""/>
          </v:shape>
          <o:OLEObject Type="Embed" ProgID="CorelDRAW.Graphic.14" ShapeID="_x0000_i1029" DrawAspect="Content" ObjectID="_1362292450" r:id="rId15"/>
        </w:object>
      </w:r>
    </w:p>
    <w:p w:rsidR="00304384" w:rsidRPr="00A617EB" w:rsidRDefault="00304384" w:rsidP="00304384">
      <w:pPr>
        <w:rPr>
          <w:lang w:val="fr-CH"/>
        </w:rPr>
      </w:pPr>
    </w:p>
    <w:p w:rsidR="00304384" w:rsidRPr="00A617EB" w:rsidRDefault="00304384" w:rsidP="00304384">
      <w:pPr>
        <w:rPr>
          <w:lang w:val="fr-CH"/>
        </w:rPr>
      </w:pPr>
    </w:p>
    <w:p w:rsidR="00A6617B" w:rsidRPr="00A617EB" w:rsidRDefault="00A6617B" w:rsidP="00304384">
      <w:pPr>
        <w:pStyle w:val="Line"/>
        <w:rPr>
          <w:lang w:val="fr-CH"/>
        </w:rPr>
      </w:pPr>
    </w:p>
    <w:sectPr w:rsidR="00A6617B" w:rsidRPr="00A617EB" w:rsidSect="00304384">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10F" w:rsidRDefault="005C410F">
      <w:r>
        <w:separator/>
      </w:r>
    </w:p>
  </w:endnote>
  <w:endnote w:type="continuationSeparator" w:id="0">
    <w:p w:rsidR="005C410F" w:rsidRDefault="005C4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10F" w:rsidRDefault="005C410F">
      <w:r>
        <w:separator/>
      </w:r>
    </w:p>
  </w:footnote>
  <w:footnote w:type="continuationSeparator" w:id="0">
    <w:p w:rsidR="005C410F" w:rsidRDefault="005C41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0F" w:rsidRDefault="005C410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0F" w:rsidRDefault="005C410F" w:rsidP="00C668C8">
    <w:pPr>
      <w:pStyle w:val="Header"/>
      <w:ind w:right="360" w:firstLine="360"/>
    </w:pPr>
    <w:r>
      <w:rPr>
        <w:noProof/>
        <w:lang w:val="en-US" w:eastAsia="zh-CN"/>
      </w:rPr>
      <w:drawing>
        <wp:anchor distT="0" distB="0" distL="114300" distR="114300" simplePos="0" relativeHeight="251659264" behindDoc="1" locked="0" layoutInCell="1" allowOverlap="1" wp14:anchorId="1961974C" wp14:editId="4FF5F88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0F" w:rsidRPr="00837CB5" w:rsidRDefault="005C410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15E7D">
      <w:rPr>
        <w:rStyle w:val="PageNumber"/>
        <w:b/>
        <w:bCs/>
        <w:noProof/>
      </w:rPr>
      <w:t>ii</w:t>
    </w:r>
    <w:r>
      <w:rPr>
        <w:rStyle w:val="PageNumber"/>
        <w:b/>
        <w:bCs/>
      </w:rPr>
      <w:fldChar w:fldCharType="end"/>
    </w:r>
    <w:r w:rsidRPr="00837CB5">
      <w:tab/>
    </w:r>
    <w:r w:rsidR="00D15E7D">
      <w:fldChar w:fldCharType="begin"/>
    </w:r>
    <w:r w:rsidR="00D15E7D">
      <w:instrText xml:space="preserve"> DOCPROPERTY "Header" \* MERGEFORMAT </w:instrText>
    </w:r>
    <w:r w:rsidR="00D15E7D">
      <w:fldChar w:fldCharType="separate"/>
    </w:r>
    <w:r w:rsidR="00D15E7D" w:rsidRPr="00D15E7D">
      <w:rPr>
        <w:b/>
        <w:bCs/>
      </w:rPr>
      <w:t xml:space="preserve">Rec. </w:t>
    </w:r>
    <w:r w:rsidR="00D15E7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15E7D">
      <w:rPr>
        <w:b/>
        <w:bCs/>
        <w:noProof/>
      </w:rPr>
      <w:t>UIT-R  TF.1876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0F" w:rsidRDefault="005C410F">
    <w:pPr>
      <w:pStyle w:val="Header"/>
    </w:pPr>
    <w:r>
      <w:tab/>
    </w:r>
    <w:r w:rsidR="00D15E7D">
      <w:fldChar w:fldCharType="begin"/>
    </w:r>
    <w:r w:rsidR="00D15E7D">
      <w:instrText xml:space="preserve"> DOCPROPERTY "Header" \* MERGEFORMAT </w:instrText>
    </w:r>
    <w:r w:rsidR="00D15E7D">
      <w:fldChar w:fldCharType="separate"/>
    </w:r>
    <w:r w:rsidR="00D15E7D" w:rsidRPr="00D15E7D">
      <w:rPr>
        <w:b/>
        <w:bCs/>
      </w:rPr>
      <w:t xml:space="preserve">Rec. </w:t>
    </w:r>
    <w:r w:rsidR="00D15E7D">
      <w:rPr>
        <w:b/>
        <w:bCs/>
      </w:rPr>
      <w:fldChar w:fldCharType="end"/>
    </w:r>
    <w:r>
      <w:rPr>
        <w:b/>
        <w:bCs/>
      </w:rPr>
      <w:t xml:space="preserve"> </w:t>
    </w:r>
    <w:r>
      <w:rPr>
        <w:b/>
        <w:bCs/>
      </w:rPr>
      <w:fldChar w:fldCharType="begin"/>
    </w:r>
    <w:r>
      <w:rPr>
        <w:b/>
        <w:bCs/>
      </w:rPr>
      <w:instrText>styleref href</w:instrText>
    </w:r>
    <w:r>
      <w:rPr>
        <w:b/>
        <w:bCs/>
      </w:rPr>
      <w:fldChar w:fldCharType="separate"/>
    </w:r>
    <w:r w:rsidR="00D15E7D">
      <w:rPr>
        <w:b/>
        <w:bCs/>
        <w:noProof/>
      </w:rPr>
      <w:t>UIT-R  TF.1876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15E7D">
      <w:rPr>
        <w:rStyle w:val="PageNumber"/>
        <w:b/>
        <w:bCs/>
        <w:noProof/>
        <w:lang w:val="en-US"/>
      </w:rPr>
      <w:t>2</w:t>
    </w:r>
    <w:r>
      <w:rPr>
        <w:rStyle w:val="PageNumber"/>
        <w:b/>
        <w:bCs/>
      </w:rPr>
      <w:fldChar w:fldCharType="end"/>
    </w:r>
    <w:r>
      <w:rPr>
        <w:lang w:val="en-US"/>
      </w:rPr>
      <w:tab/>
    </w:r>
    <w:fldSimple w:instr=" DOCPROPERTY &quot;Header&quot; \* MERGEFORMAT ">
      <w:r w:rsidR="00D15E7D" w:rsidRPr="00D15E7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15E7D">
      <w:rPr>
        <w:b/>
        <w:bCs/>
        <w:noProof/>
      </w:rPr>
      <w:t>UIT-R  TF.1876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D15E7D" w:rsidRPr="00D15E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15E7D">
      <w:rPr>
        <w:b/>
        <w:bCs/>
        <w:noProof/>
      </w:rPr>
      <w:t>UIT-R  TF.1876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15E7D">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10F"/>
    <w:rsid w:val="00217EBF"/>
    <w:rsid w:val="002D76C4"/>
    <w:rsid w:val="00304384"/>
    <w:rsid w:val="005C410F"/>
    <w:rsid w:val="00607D68"/>
    <w:rsid w:val="007468DA"/>
    <w:rsid w:val="00A617EB"/>
    <w:rsid w:val="00A6617B"/>
    <w:rsid w:val="00AB0DC8"/>
    <w:rsid w:val="00B44E24"/>
    <w:rsid w:val="00D15E7D"/>
    <w:rsid w:val="00DF4176"/>
    <w:rsid w:val="00F855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C410F"/>
    <w:rPr>
      <w:color w:val="0000FF"/>
      <w:u w:val="single"/>
    </w:rPr>
  </w:style>
  <w:style w:type="character" w:customStyle="1" w:styleId="RectitleChar">
    <w:name w:val="Rec_title Char"/>
    <w:basedOn w:val="DefaultParagraphFont"/>
    <w:link w:val="Rectitle"/>
    <w:rsid w:val="00304384"/>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C410F"/>
    <w:rPr>
      <w:color w:val="0000FF"/>
      <w:u w:val="single"/>
    </w:rPr>
  </w:style>
  <w:style w:type="character" w:customStyle="1" w:styleId="RectitleChar">
    <w:name w:val="Rec_title Char"/>
    <w:basedOn w:val="DefaultParagraphFont"/>
    <w:link w:val="Rectitle"/>
    <w:rsid w:val="00304384"/>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DFED7-B5F5-49E7-A202-BC61D15C0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5</Pages>
  <Words>1052</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brice</cp:lastModifiedBy>
  <cp:revision>5</cp:revision>
  <cp:lastPrinted>2005-02-10T15:54:00Z</cp:lastPrinted>
  <dcterms:created xsi:type="dcterms:W3CDTF">2011-03-14T13:20:00Z</dcterms:created>
  <dcterms:modified xsi:type="dcterms:W3CDTF">2011-03-22T08:46:00Z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