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323" w:rsidRDefault="00463323" w:rsidP="00463323">
      <w:bookmarkStart w:id="0" w:name="_GoBack"/>
      <w:bookmarkEnd w:id="0"/>
    </w:p>
    <w:p w:rsidR="00463323" w:rsidRDefault="00463323" w:rsidP="00463323"/>
    <w:p w:rsidR="00463323" w:rsidRDefault="00463323" w:rsidP="00463323"/>
    <w:p w:rsidR="00463323" w:rsidRDefault="00463323" w:rsidP="00463323"/>
    <w:p w:rsidR="00463323" w:rsidRDefault="00463323" w:rsidP="00463323"/>
    <w:p w:rsidR="00463323" w:rsidRDefault="00463323" w:rsidP="00463323"/>
    <w:p w:rsidR="00463323" w:rsidRDefault="00463323" w:rsidP="00463323"/>
    <w:p w:rsidR="00463323" w:rsidRDefault="00463323" w:rsidP="00463323"/>
    <w:p w:rsidR="00463323" w:rsidRDefault="00463323" w:rsidP="00463323"/>
    <w:p w:rsidR="00463323" w:rsidRDefault="00463323" w:rsidP="00463323"/>
    <w:p w:rsidR="00463323" w:rsidRDefault="00463323" w:rsidP="00463323"/>
    <w:p w:rsidR="00463323" w:rsidRDefault="00463323" w:rsidP="00463323"/>
    <w:tbl>
      <w:tblPr>
        <w:tblW w:w="10089" w:type="dxa"/>
        <w:tblLook w:val="01E0" w:firstRow="1" w:lastRow="1" w:firstColumn="1" w:lastColumn="1" w:noHBand="0" w:noVBand="0"/>
      </w:tblPr>
      <w:tblGrid>
        <w:gridCol w:w="10089"/>
      </w:tblGrid>
      <w:tr w:rsidR="00463323" w:rsidRPr="00A443C2" w:rsidTr="00DC7C79">
        <w:tc>
          <w:tcPr>
            <w:tcW w:w="10089" w:type="dxa"/>
          </w:tcPr>
          <w:p w:rsidR="00463323" w:rsidRPr="00B033C8" w:rsidRDefault="00463323" w:rsidP="00DC7C79">
            <w:pPr>
              <w:spacing w:before="380" w:line="280" w:lineRule="exact"/>
              <w:jc w:val="right"/>
              <w:rPr>
                <w:rFonts w:ascii="Tahoma" w:hAnsi="Tahoma" w:cs="Tahoma"/>
                <w:b/>
                <w:bCs/>
                <w:iCs/>
                <w:color w:val="243285"/>
                <w:sz w:val="32"/>
                <w:szCs w:val="32"/>
                <w:lang w:val="en-US"/>
              </w:rPr>
            </w:pPr>
          </w:p>
          <w:p w:rsidR="00463323" w:rsidRPr="00A443C2" w:rsidRDefault="00463323" w:rsidP="0046332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V</w:t>
            </w:r>
            <w:r w:rsidRPr="00A443C2">
              <w:rPr>
                <w:rFonts w:ascii="Tahoma" w:hAnsi="Tahoma" w:cs="Tahoma"/>
                <w:b/>
                <w:bCs/>
                <w:iCs/>
                <w:color w:val="243285"/>
                <w:sz w:val="36"/>
                <w:szCs w:val="36"/>
              </w:rPr>
              <w:t>.</w:t>
            </w:r>
            <w:r>
              <w:rPr>
                <w:rFonts w:ascii="Tahoma" w:hAnsi="Tahoma" w:cs="Tahoma"/>
                <w:b/>
                <w:bCs/>
                <w:iCs/>
                <w:color w:val="243285"/>
                <w:sz w:val="36"/>
                <w:szCs w:val="36"/>
              </w:rPr>
              <w:t>573-6</w:t>
            </w:r>
          </w:p>
          <w:p w:rsidR="00463323" w:rsidRPr="00A443C2" w:rsidRDefault="00463323" w:rsidP="00617D9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617D91">
              <w:rPr>
                <w:rFonts w:ascii="Tahoma" w:hAnsi="Tahoma" w:cs="Tahoma"/>
                <w:b/>
                <w:bCs/>
                <w:iCs/>
                <w:color w:val="243285"/>
                <w:szCs w:val="24"/>
              </w:rPr>
              <w:t>8</w:t>
            </w:r>
            <w:r w:rsidRPr="00A443C2">
              <w:rPr>
                <w:rFonts w:ascii="Tahoma" w:hAnsi="Tahoma" w:cs="Tahoma"/>
                <w:b/>
                <w:bCs/>
                <w:iCs/>
                <w:color w:val="243285"/>
                <w:szCs w:val="24"/>
              </w:rPr>
              <w:t>/</w:t>
            </w:r>
            <w:r w:rsidR="00617D91">
              <w:rPr>
                <w:rFonts w:ascii="Tahoma" w:hAnsi="Tahoma" w:cs="Tahoma"/>
                <w:b/>
                <w:bCs/>
                <w:iCs/>
                <w:color w:val="243285"/>
                <w:szCs w:val="24"/>
              </w:rPr>
              <w:t>2015</w:t>
            </w:r>
            <w:r w:rsidRPr="00A443C2">
              <w:rPr>
                <w:rFonts w:ascii="Tahoma" w:hAnsi="Tahoma" w:cs="Tahoma"/>
                <w:b/>
                <w:bCs/>
                <w:iCs/>
                <w:color w:val="243285"/>
                <w:szCs w:val="24"/>
              </w:rPr>
              <w:t>)</w:t>
            </w:r>
          </w:p>
        </w:tc>
      </w:tr>
      <w:tr w:rsidR="00463323" w:rsidRPr="00F54FBD" w:rsidTr="00DC7C79">
        <w:tc>
          <w:tcPr>
            <w:tcW w:w="10089" w:type="dxa"/>
          </w:tcPr>
          <w:p w:rsidR="00463323" w:rsidRDefault="00463323" w:rsidP="00DC7C79">
            <w:pPr>
              <w:spacing w:before="80" w:line="500" w:lineRule="exact"/>
              <w:jc w:val="right"/>
              <w:rPr>
                <w:rFonts w:ascii="Tahoma" w:hAnsi="Tahoma" w:cs="Tahoma"/>
                <w:b/>
                <w:bCs/>
                <w:iCs/>
                <w:color w:val="243285"/>
                <w:sz w:val="44"/>
                <w:szCs w:val="44"/>
              </w:rPr>
            </w:pPr>
          </w:p>
          <w:p w:rsidR="00463323" w:rsidRDefault="00617D91" w:rsidP="00617D91">
            <w:pPr>
              <w:spacing w:before="80" w:line="500" w:lineRule="exact"/>
              <w:jc w:val="right"/>
              <w:rPr>
                <w:rFonts w:ascii="Tahoma" w:hAnsi="Tahoma" w:cs="Tahoma"/>
                <w:b/>
                <w:bCs/>
                <w:iCs/>
                <w:color w:val="243285"/>
                <w:sz w:val="44"/>
                <w:szCs w:val="44"/>
              </w:rPr>
            </w:pPr>
            <w:r w:rsidRPr="00617D91">
              <w:rPr>
                <w:rFonts w:ascii="Tahoma" w:hAnsi="Tahoma" w:cs="Tahoma"/>
                <w:b/>
                <w:bCs/>
                <w:iCs/>
                <w:color w:val="243285"/>
                <w:sz w:val="44"/>
                <w:szCs w:val="44"/>
                <w:lang w:val="fr-CH"/>
              </w:rPr>
              <w:t>Vocabulaire des radiocommunications</w:t>
            </w:r>
          </w:p>
          <w:p w:rsidR="00463323" w:rsidRPr="00F54FBD" w:rsidRDefault="00463323" w:rsidP="00DC7C79">
            <w:pPr>
              <w:spacing w:before="80" w:line="500" w:lineRule="exact"/>
              <w:jc w:val="right"/>
              <w:rPr>
                <w:rFonts w:ascii="Tahoma" w:hAnsi="Tahoma" w:cs="Tahoma"/>
                <w:b/>
                <w:bCs/>
                <w:iCs/>
                <w:color w:val="243285"/>
                <w:sz w:val="44"/>
                <w:szCs w:val="44"/>
              </w:rPr>
            </w:pPr>
          </w:p>
        </w:tc>
      </w:tr>
      <w:tr w:rsidR="00463323" w:rsidRPr="00F54FBD" w:rsidTr="00DC7C79">
        <w:tc>
          <w:tcPr>
            <w:tcW w:w="10089" w:type="dxa"/>
          </w:tcPr>
          <w:p w:rsidR="00463323" w:rsidRPr="00F54FBD" w:rsidRDefault="00463323" w:rsidP="00DC7C79">
            <w:pPr>
              <w:spacing w:before="80" w:line="280" w:lineRule="exact"/>
              <w:ind w:right="640"/>
              <w:rPr>
                <w:rFonts w:ascii="Tahoma" w:hAnsi="Tahoma" w:cs="Tahoma"/>
                <w:b/>
                <w:bCs/>
                <w:iCs/>
                <w:color w:val="243285"/>
                <w:sz w:val="32"/>
                <w:szCs w:val="32"/>
              </w:rPr>
            </w:pPr>
          </w:p>
          <w:p w:rsidR="00463323" w:rsidRPr="00F54FBD" w:rsidRDefault="00463323" w:rsidP="00DC7C79">
            <w:pPr>
              <w:spacing w:before="80" w:line="280" w:lineRule="exact"/>
              <w:ind w:right="640"/>
              <w:rPr>
                <w:rFonts w:ascii="Tahoma" w:hAnsi="Tahoma" w:cs="Tahoma"/>
                <w:b/>
                <w:bCs/>
                <w:iCs/>
                <w:color w:val="243285"/>
                <w:sz w:val="32"/>
                <w:szCs w:val="32"/>
              </w:rPr>
            </w:pPr>
          </w:p>
          <w:p w:rsidR="00463323" w:rsidRPr="00F54FBD" w:rsidRDefault="00463323" w:rsidP="00DC7C79">
            <w:pPr>
              <w:spacing w:before="80" w:after="180" w:line="360" w:lineRule="exact"/>
              <w:ind w:right="720"/>
              <w:rPr>
                <w:rFonts w:ascii="Tahoma" w:hAnsi="Tahoma" w:cs="Tahoma"/>
                <w:b/>
                <w:bCs/>
                <w:iCs/>
                <w:color w:val="243285"/>
                <w:sz w:val="36"/>
                <w:szCs w:val="36"/>
              </w:rPr>
            </w:pPr>
          </w:p>
          <w:p w:rsidR="00463323" w:rsidRPr="00F54FBD" w:rsidRDefault="00463323" w:rsidP="00DC7C7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V</w:t>
            </w:r>
          </w:p>
          <w:p w:rsidR="00463323" w:rsidRPr="00F54FBD" w:rsidRDefault="00463323" w:rsidP="00DC7C7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Vocabulaire et sujets associés</w:t>
            </w:r>
          </w:p>
        </w:tc>
      </w:tr>
    </w:tbl>
    <w:p w:rsidR="00463323" w:rsidRPr="00F54FBD" w:rsidRDefault="00463323" w:rsidP="00463323">
      <w:pPr>
        <w:spacing w:before="80"/>
        <w:rPr>
          <w:i/>
          <w:sz w:val="22"/>
        </w:rPr>
      </w:pPr>
    </w:p>
    <w:p w:rsidR="00463323" w:rsidRPr="00F54FBD" w:rsidRDefault="00463323" w:rsidP="00463323">
      <w:pPr>
        <w:spacing w:before="80"/>
        <w:rPr>
          <w:i/>
          <w:sz w:val="22"/>
        </w:rPr>
      </w:pPr>
    </w:p>
    <w:p w:rsidR="00463323" w:rsidRPr="00F54FBD" w:rsidRDefault="00463323" w:rsidP="00463323">
      <w:pPr>
        <w:spacing w:before="80"/>
        <w:rPr>
          <w:i/>
          <w:sz w:val="22"/>
        </w:rPr>
      </w:pPr>
    </w:p>
    <w:p w:rsidR="00463323" w:rsidRPr="00F54FBD" w:rsidRDefault="00463323" w:rsidP="00463323">
      <w:pPr>
        <w:spacing w:before="80"/>
        <w:rPr>
          <w:i/>
          <w:sz w:val="22"/>
        </w:rPr>
      </w:pPr>
    </w:p>
    <w:p w:rsidR="00463323" w:rsidRPr="00F54FBD" w:rsidRDefault="00463323" w:rsidP="00463323">
      <w:pPr>
        <w:spacing w:before="80"/>
        <w:rPr>
          <w:i/>
          <w:sz w:val="22"/>
        </w:rPr>
      </w:pPr>
    </w:p>
    <w:p w:rsidR="00463323" w:rsidRPr="00F54FBD" w:rsidRDefault="00463323" w:rsidP="00463323">
      <w:pPr>
        <w:spacing w:before="80"/>
        <w:rPr>
          <w:i/>
          <w:sz w:val="22"/>
        </w:rPr>
      </w:pPr>
    </w:p>
    <w:p w:rsidR="00463323" w:rsidRPr="00F54FBD" w:rsidRDefault="00463323" w:rsidP="00463323">
      <w:pPr>
        <w:pStyle w:val="Equation"/>
        <w:tabs>
          <w:tab w:val="clear" w:pos="4820"/>
          <w:tab w:val="clear" w:pos="9639"/>
          <w:tab w:val="left" w:pos="1191"/>
          <w:tab w:val="left" w:pos="1588"/>
          <w:tab w:val="left" w:pos="1985"/>
        </w:tabs>
        <w:rPr>
          <w:rFonts w:ascii="Palatino Linotype" w:hAnsi="Palatino Linotype"/>
        </w:rPr>
        <w:sectPr w:rsidR="00463323" w:rsidRPr="00F54FBD">
          <w:headerReference w:type="even" r:id="rId6"/>
          <w:headerReference w:type="default" r:id="rId7"/>
          <w:pgSz w:w="11907" w:h="16840" w:code="9"/>
          <w:pgMar w:top="1089" w:right="1089" w:bottom="284" w:left="1089" w:header="567" w:footer="284" w:gutter="0"/>
          <w:pgNumType w:start="1"/>
          <w:cols w:space="720"/>
        </w:sectPr>
      </w:pPr>
    </w:p>
    <w:p w:rsidR="00463323" w:rsidRPr="00F54FBD" w:rsidRDefault="00463323" w:rsidP="004633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463323" w:rsidRPr="00F54FBD" w:rsidRDefault="00463323" w:rsidP="0046332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63323" w:rsidRPr="00F54FBD" w:rsidRDefault="00463323" w:rsidP="0046332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63323" w:rsidRPr="00E44CBB" w:rsidRDefault="00463323" w:rsidP="0046332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63323" w:rsidRPr="00E44CBB" w:rsidRDefault="00463323" w:rsidP="0046332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63323" w:rsidRPr="00444E7C" w:rsidRDefault="00463323" w:rsidP="0046332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63323" w:rsidRPr="009454F8" w:rsidTr="00DC7C79">
        <w:tc>
          <w:tcPr>
            <w:tcW w:w="9360" w:type="dxa"/>
            <w:gridSpan w:val="2"/>
          </w:tcPr>
          <w:p w:rsidR="00463323" w:rsidRPr="009454F8" w:rsidRDefault="00463323" w:rsidP="00DC7C7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63323" w:rsidRPr="009454F8" w:rsidRDefault="00463323"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463323" w:rsidRPr="00036EE3" w:rsidTr="00DC7C79">
        <w:tc>
          <w:tcPr>
            <w:tcW w:w="1140" w:type="dxa"/>
            <w:tcBorders>
              <w:bottom w:val="nil"/>
            </w:tcBorders>
          </w:tcPr>
          <w:p w:rsidR="00463323" w:rsidRPr="00614CC6" w:rsidRDefault="00463323" w:rsidP="00DC7C79">
            <w:pPr>
              <w:spacing w:before="90" w:after="100"/>
              <w:ind w:left="57"/>
              <w:rPr>
                <w:b/>
                <w:bCs/>
                <w:sz w:val="20"/>
                <w:lang w:val="en-US"/>
              </w:rPr>
            </w:pPr>
            <w:r w:rsidRPr="00614CC6">
              <w:rPr>
                <w:b/>
                <w:bCs/>
                <w:sz w:val="20"/>
                <w:lang w:val="en-US"/>
              </w:rPr>
              <w:t>Séries</w:t>
            </w:r>
          </w:p>
        </w:tc>
        <w:tc>
          <w:tcPr>
            <w:tcW w:w="8220" w:type="dxa"/>
            <w:tcBorders>
              <w:bottom w:val="nil"/>
            </w:tcBorders>
          </w:tcPr>
          <w:p w:rsidR="00463323" w:rsidRPr="00614CC6" w:rsidRDefault="00463323"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63323" w:rsidRPr="005E427C" w:rsidTr="00DC7C79">
        <w:tc>
          <w:tcPr>
            <w:tcW w:w="1140" w:type="dxa"/>
            <w:tcBorders>
              <w:top w:val="nil"/>
              <w:bottom w:val="nil"/>
            </w:tcBorders>
            <w:shd w:val="clear" w:color="auto" w:fill="auto"/>
          </w:tcPr>
          <w:p w:rsidR="00463323" w:rsidRPr="005E427C" w:rsidRDefault="00463323" w:rsidP="00DC7C7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463323" w:rsidRPr="005E427C" w:rsidRDefault="00463323"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63323" w:rsidRPr="009454F8" w:rsidTr="00DC7C79">
        <w:tc>
          <w:tcPr>
            <w:tcW w:w="1140" w:type="dxa"/>
            <w:tcBorders>
              <w:top w:val="nil"/>
              <w:bottom w:val="nil"/>
            </w:tcBorders>
          </w:tcPr>
          <w:p w:rsidR="00463323" w:rsidRPr="00614CC6" w:rsidRDefault="00463323" w:rsidP="00DC7C7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463323" w:rsidRPr="00614CC6" w:rsidRDefault="00463323"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63323" w:rsidRPr="00E80F1D" w:rsidTr="00DC7C79">
        <w:tc>
          <w:tcPr>
            <w:tcW w:w="1140" w:type="dxa"/>
            <w:tcBorders>
              <w:top w:val="nil"/>
              <w:bottom w:val="nil"/>
            </w:tcBorders>
            <w:shd w:val="clear" w:color="auto" w:fill="auto"/>
          </w:tcPr>
          <w:p w:rsidR="00463323" w:rsidRPr="00E80F1D" w:rsidRDefault="00463323" w:rsidP="00DC7C79">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463323" w:rsidRPr="00E80F1D" w:rsidRDefault="00463323"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463323" w:rsidRPr="00ED2695" w:rsidTr="00DC7C79">
        <w:tc>
          <w:tcPr>
            <w:tcW w:w="1140" w:type="dxa"/>
            <w:tcBorders>
              <w:top w:val="nil"/>
              <w:bottom w:val="nil"/>
            </w:tcBorders>
            <w:shd w:val="clear" w:color="auto" w:fill="auto"/>
          </w:tcPr>
          <w:p w:rsidR="00463323" w:rsidRPr="00614CC6" w:rsidRDefault="00463323" w:rsidP="00DC7C7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463323" w:rsidRPr="00614CC6" w:rsidRDefault="00463323"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63323" w:rsidRPr="00DE5EA2" w:rsidTr="00DC7C79">
        <w:tc>
          <w:tcPr>
            <w:tcW w:w="1140" w:type="dxa"/>
            <w:tcBorders>
              <w:top w:val="nil"/>
              <w:bottom w:val="nil"/>
            </w:tcBorders>
            <w:shd w:val="clear" w:color="auto" w:fill="auto"/>
          </w:tcPr>
          <w:p w:rsidR="00463323" w:rsidRPr="00DE5EA2" w:rsidRDefault="00463323" w:rsidP="00DC7C7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463323" w:rsidRPr="00DE5EA2" w:rsidRDefault="00463323" w:rsidP="00DC7C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463323" w:rsidRPr="00B21066" w:rsidTr="00DC7C79">
        <w:tc>
          <w:tcPr>
            <w:tcW w:w="1140" w:type="dxa"/>
            <w:tcBorders>
              <w:top w:val="nil"/>
              <w:bottom w:val="nil"/>
            </w:tcBorders>
            <w:shd w:val="clear" w:color="auto" w:fill="auto"/>
          </w:tcPr>
          <w:p w:rsidR="00463323" w:rsidRPr="00B21066" w:rsidRDefault="00463323" w:rsidP="00DC7C7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463323" w:rsidRPr="00B21066" w:rsidRDefault="00463323"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63323" w:rsidRPr="00EC361D" w:rsidTr="00DC7C79">
        <w:tc>
          <w:tcPr>
            <w:tcW w:w="1140" w:type="dxa"/>
            <w:tcBorders>
              <w:top w:val="nil"/>
              <w:bottom w:val="nil"/>
            </w:tcBorders>
            <w:shd w:val="clear" w:color="auto" w:fill="auto"/>
          </w:tcPr>
          <w:p w:rsidR="00463323" w:rsidRPr="00EC361D" w:rsidRDefault="00463323" w:rsidP="00DC7C79">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463323" w:rsidRPr="00EC361D" w:rsidRDefault="00463323" w:rsidP="00DC7C79">
            <w:pPr>
              <w:spacing w:before="30" w:after="30"/>
              <w:jc w:val="left"/>
              <w:rPr>
                <w:sz w:val="20"/>
                <w:lang w:val="fr-CH"/>
              </w:rPr>
            </w:pPr>
            <w:r w:rsidRPr="00EC361D">
              <w:rPr>
                <w:sz w:val="20"/>
              </w:rPr>
              <w:t>Propagation des ondes radioélectriques</w:t>
            </w:r>
          </w:p>
        </w:tc>
      </w:tr>
      <w:tr w:rsidR="00463323" w:rsidRPr="004822EF" w:rsidTr="00DC7C79">
        <w:tc>
          <w:tcPr>
            <w:tcW w:w="1140" w:type="dxa"/>
            <w:tcBorders>
              <w:top w:val="nil"/>
              <w:bottom w:val="nil"/>
            </w:tcBorders>
            <w:shd w:val="clear" w:color="auto" w:fill="auto"/>
          </w:tcPr>
          <w:p w:rsidR="00463323" w:rsidRPr="004822EF" w:rsidRDefault="00463323" w:rsidP="00DC7C7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463323" w:rsidRPr="004822EF" w:rsidRDefault="00463323" w:rsidP="00DC7C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463323" w:rsidRPr="00326525" w:rsidTr="00DC7C79">
        <w:tc>
          <w:tcPr>
            <w:tcW w:w="1140" w:type="dxa"/>
            <w:tcBorders>
              <w:top w:val="nil"/>
              <w:bottom w:val="nil"/>
            </w:tcBorders>
            <w:shd w:val="clear" w:color="auto" w:fill="auto"/>
          </w:tcPr>
          <w:p w:rsidR="00463323" w:rsidRPr="00326525" w:rsidRDefault="00463323" w:rsidP="00DC7C7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463323" w:rsidRPr="00326525" w:rsidRDefault="00463323" w:rsidP="00DC7C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463323" w:rsidRPr="00C40D3E" w:rsidTr="00DC7C79">
        <w:tc>
          <w:tcPr>
            <w:tcW w:w="1140" w:type="dxa"/>
            <w:tcBorders>
              <w:top w:val="nil"/>
              <w:bottom w:val="nil"/>
            </w:tcBorders>
            <w:shd w:val="clear" w:color="auto" w:fill="auto"/>
          </w:tcPr>
          <w:p w:rsidR="00463323" w:rsidRPr="00C40D3E" w:rsidRDefault="00463323" w:rsidP="00DC7C7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463323" w:rsidRPr="00C40D3E" w:rsidRDefault="00463323" w:rsidP="00DC7C79">
            <w:pPr>
              <w:spacing w:before="30" w:after="30"/>
              <w:jc w:val="left"/>
              <w:rPr>
                <w:sz w:val="20"/>
                <w:lang w:val="en-US"/>
              </w:rPr>
            </w:pPr>
            <w:r w:rsidRPr="00C40D3E">
              <w:rPr>
                <w:sz w:val="20"/>
              </w:rPr>
              <w:t>Service fixe par satellite</w:t>
            </w:r>
          </w:p>
        </w:tc>
      </w:tr>
      <w:tr w:rsidR="00463323" w:rsidRPr="00595D3D" w:rsidTr="00DC7C79">
        <w:tc>
          <w:tcPr>
            <w:tcW w:w="1140" w:type="dxa"/>
            <w:tcBorders>
              <w:top w:val="nil"/>
              <w:bottom w:val="nil"/>
            </w:tcBorders>
            <w:shd w:val="clear" w:color="auto" w:fill="auto"/>
          </w:tcPr>
          <w:p w:rsidR="00463323" w:rsidRPr="00595D3D" w:rsidRDefault="00463323" w:rsidP="00DC7C79">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463323" w:rsidRPr="00595D3D" w:rsidRDefault="00463323" w:rsidP="00DC7C79">
            <w:pPr>
              <w:spacing w:before="30" w:after="30"/>
              <w:jc w:val="left"/>
              <w:rPr>
                <w:sz w:val="20"/>
                <w:lang w:val="en-US"/>
              </w:rPr>
            </w:pPr>
            <w:r w:rsidRPr="00595D3D">
              <w:rPr>
                <w:sz w:val="20"/>
              </w:rPr>
              <w:t>Applications spatiales et météorologie</w:t>
            </w:r>
          </w:p>
        </w:tc>
      </w:tr>
      <w:tr w:rsidR="00463323" w:rsidRPr="009B5564" w:rsidTr="00DC7C79">
        <w:tc>
          <w:tcPr>
            <w:tcW w:w="1140" w:type="dxa"/>
            <w:tcBorders>
              <w:top w:val="nil"/>
              <w:bottom w:val="nil"/>
            </w:tcBorders>
            <w:shd w:val="clear" w:color="auto" w:fill="auto"/>
          </w:tcPr>
          <w:p w:rsidR="00463323" w:rsidRPr="009B5564" w:rsidRDefault="00463323" w:rsidP="00DC7C79">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463323" w:rsidRPr="009B5564" w:rsidRDefault="00463323" w:rsidP="00DC7C79">
            <w:pPr>
              <w:spacing w:before="30" w:after="30"/>
              <w:jc w:val="left"/>
              <w:rPr>
                <w:bCs/>
                <w:sz w:val="20"/>
              </w:rPr>
            </w:pPr>
            <w:r w:rsidRPr="009B5564">
              <w:rPr>
                <w:bCs/>
                <w:sz w:val="20"/>
              </w:rPr>
              <w:t>Partage des fréquences et coordination entre les systèmes du service fixe par satellite et du service fixe</w:t>
            </w:r>
          </w:p>
        </w:tc>
      </w:tr>
      <w:tr w:rsidR="00463323" w:rsidRPr="009B5564" w:rsidTr="00DC7C79">
        <w:tc>
          <w:tcPr>
            <w:tcW w:w="1140" w:type="dxa"/>
            <w:tcBorders>
              <w:top w:val="nil"/>
              <w:bottom w:val="nil"/>
            </w:tcBorders>
            <w:shd w:val="clear" w:color="auto" w:fill="auto"/>
          </w:tcPr>
          <w:p w:rsidR="00463323" w:rsidRPr="001B1BA9" w:rsidRDefault="00463323" w:rsidP="00DC7C79">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463323" w:rsidRPr="001B1BA9" w:rsidRDefault="00463323" w:rsidP="00DC7C79">
            <w:pPr>
              <w:spacing w:before="30" w:after="30"/>
              <w:jc w:val="left"/>
              <w:rPr>
                <w:bCs/>
                <w:sz w:val="20"/>
                <w:lang w:val="en-US"/>
              </w:rPr>
            </w:pPr>
            <w:r w:rsidRPr="001B1BA9">
              <w:rPr>
                <w:bCs/>
                <w:sz w:val="20"/>
              </w:rPr>
              <w:t>Gestion du spectre</w:t>
            </w:r>
          </w:p>
        </w:tc>
      </w:tr>
      <w:tr w:rsidR="00463323" w:rsidRPr="00DD5F95" w:rsidTr="00DC7C79">
        <w:tc>
          <w:tcPr>
            <w:tcW w:w="1140" w:type="dxa"/>
            <w:tcBorders>
              <w:top w:val="nil"/>
              <w:bottom w:val="nil"/>
            </w:tcBorders>
            <w:shd w:val="clear" w:color="auto" w:fill="auto"/>
          </w:tcPr>
          <w:p w:rsidR="00463323" w:rsidRPr="00DD5F95" w:rsidRDefault="00463323" w:rsidP="00DC7C79">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463323" w:rsidRPr="00DD5F95" w:rsidRDefault="00463323" w:rsidP="00DC7C79">
            <w:pPr>
              <w:spacing w:before="30" w:after="30"/>
              <w:jc w:val="left"/>
              <w:rPr>
                <w:sz w:val="20"/>
                <w:lang w:val="en-US"/>
              </w:rPr>
            </w:pPr>
            <w:r w:rsidRPr="00DD5F95">
              <w:rPr>
                <w:sz w:val="20"/>
              </w:rPr>
              <w:t>Reportage d'actualités par satellite</w:t>
            </w:r>
          </w:p>
        </w:tc>
      </w:tr>
      <w:tr w:rsidR="00463323" w:rsidRPr="00540102" w:rsidTr="00DC7C79">
        <w:tc>
          <w:tcPr>
            <w:tcW w:w="1140" w:type="dxa"/>
            <w:tcBorders>
              <w:top w:val="nil"/>
              <w:bottom w:val="nil"/>
            </w:tcBorders>
            <w:shd w:val="clear" w:color="auto" w:fill="auto"/>
          </w:tcPr>
          <w:p w:rsidR="00463323" w:rsidRPr="00540102" w:rsidRDefault="00463323" w:rsidP="00DC7C79">
            <w:pPr>
              <w:spacing w:before="30" w:after="30"/>
              <w:ind w:left="57"/>
              <w:jc w:val="left"/>
              <w:rPr>
                <w:b/>
                <w:bCs/>
                <w:sz w:val="20"/>
                <w:lang w:val="en-US"/>
              </w:rPr>
            </w:pPr>
            <w:r w:rsidRPr="00540102">
              <w:rPr>
                <w:b/>
                <w:bCs/>
                <w:sz w:val="20"/>
                <w:lang w:val="en-US"/>
              </w:rPr>
              <w:t>TF</w:t>
            </w:r>
          </w:p>
        </w:tc>
        <w:tc>
          <w:tcPr>
            <w:tcW w:w="8220" w:type="dxa"/>
            <w:tcBorders>
              <w:top w:val="nil"/>
              <w:bottom w:val="nil"/>
            </w:tcBorders>
            <w:shd w:val="clear" w:color="auto" w:fill="auto"/>
          </w:tcPr>
          <w:p w:rsidR="00463323" w:rsidRPr="00540102" w:rsidRDefault="00463323" w:rsidP="00DC7C79">
            <w:pPr>
              <w:spacing w:before="30" w:after="30"/>
              <w:jc w:val="left"/>
              <w:rPr>
                <w:sz w:val="20"/>
              </w:rPr>
            </w:pPr>
            <w:r w:rsidRPr="00540102">
              <w:rPr>
                <w:sz w:val="20"/>
              </w:rPr>
              <w:t>Emissions de fréquences étalon et de signaux horaires</w:t>
            </w:r>
          </w:p>
        </w:tc>
      </w:tr>
      <w:tr w:rsidR="00463323" w:rsidRPr="00540102" w:rsidTr="00DC7C79">
        <w:tc>
          <w:tcPr>
            <w:tcW w:w="1140" w:type="dxa"/>
            <w:tcBorders>
              <w:top w:val="nil"/>
              <w:bottom w:val="single" w:sz="12" w:space="0" w:color="000080"/>
            </w:tcBorders>
            <w:shd w:val="clear" w:color="auto" w:fill="F3F3F3"/>
          </w:tcPr>
          <w:p w:rsidR="00463323" w:rsidRPr="00540102" w:rsidRDefault="00463323" w:rsidP="00DC7C79">
            <w:pPr>
              <w:spacing w:before="30" w:after="30"/>
              <w:ind w:left="57"/>
              <w:jc w:val="left"/>
              <w:rPr>
                <w:b/>
                <w:bCs/>
                <w:color w:val="000080"/>
                <w:sz w:val="20"/>
                <w:lang w:val="en-US"/>
              </w:rPr>
            </w:pPr>
            <w:r w:rsidRPr="00540102">
              <w:rPr>
                <w:b/>
                <w:bCs/>
                <w:color w:val="000080"/>
                <w:sz w:val="20"/>
                <w:lang w:val="en-US"/>
              </w:rPr>
              <w:t>V</w:t>
            </w:r>
          </w:p>
        </w:tc>
        <w:tc>
          <w:tcPr>
            <w:tcW w:w="8220" w:type="dxa"/>
            <w:tcBorders>
              <w:top w:val="nil"/>
              <w:bottom w:val="single" w:sz="12" w:space="0" w:color="000080"/>
            </w:tcBorders>
            <w:shd w:val="clear" w:color="auto" w:fill="F3F3F3"/>
          </w:tcPr>
          <w:p w:rsidR="00463323" w:rsidRPr="00540102" w:rsidRDefault="00463323" w:rsidP="00DC7C79">
            <w:pPr>
              <w:spacing w:before="30" w:after="140"/>
              <w:jc w:val="left"/>
              <w:rPr>
                <w:b/>
                <w:bCs/>
                <w:color w:val="000080"/>
                <w:sz w:val="20"/>
                <w:lang w:val="en-US"/>
              </w:rPr>
            </w:pPr>
            <w:r w:rsidRPr="00540102">
              <w:rPr>
                <w:b/>
                <w:bCs/>
                <w:color w:val="000080"/>
                <w:sz w:val="20"/>
              </w:rPr>
              <w:t>Vocabulaire et sujets associés</w:t>
            </w:r>
          </w:p>
        </w:tc>
      </w:tr>
    </w:tbl>
    <w:p w:rsidR="00463323" w:rsidRPr="00036EE3" w:rsidRDefault="00463323" w:rsidP="00463323">
      <w:pPr>
        <w:spacing w:before="0"/>
        <w:jc w:val="center"/>
        <w:rPr>
          <w:sz w:val="20"/>
          <w:lang w:val="en-US"/>
        </w:rPr>
      </w:pPr>
    </w:p>
    <w:p w:rsidR="00463323" w:rsidRPr="00036EE3" w:rsidRDefault="00463323" w:rsidP="0046332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63323" w:rsidRPr="00756B4D" w:rsidTr="00DC7C79">
        <w:tc>
          <w:tcPr>
            <w:tcW w:w="9360" w:type="dxa"/>
          </w:tcPr>
          <w:p w:rsidR="00463323" w:rsidRPr="00756B4D" w:rsidRDefault="00463323" w:rsidP="00DC7C7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63323" w:rsidRPr="00756B4D" w:rsidRDefault="00463323" w:rsidP="00463323">
      <w:pPr>
        <w:spacing w:before="0"/>
        <w:jc w:val="center"/>
        <w:rPr>
          <w:sz w:val="22"/>
        </w:rPr>
      </w:pPr>
    </w:p>
    <w:p w:rsidR="00463323" w:rsidRPr="00614CC6" w:rsidRDefault="00463323" w:rsidP="00463323">
      <w:pPr>
        <w:spacing w:before="100"/>
        <w:jc w:val="right"/>
        <w:rPr>
          <w:i/>
          <w:iCs/>
          <w:sz w:val="20"/>
        </w:rPr>
      </w:pPr>
      <w:r w:rsidRPr="00614CC6">
        <w:rPr>
          <w:i/>
          <w:iCs/>
          <w:sz w:val="20"/>
        </w:rPr>
        <w:t>Publication électronique</w:t>
      </w:r>
    </w:p>
    <w:p w:rsidR="00463323" w:rsidRPr="00614CC6" w:rsidRDefault="00463323" w:rsidP="00463323">
      <w:pPr>
        <w:spacing w:before="0"/>
        <w:jc w:val="right"/>
        <w:rPr>
          <w:sz w:val="20"/>
        </w:rPr>
      </w:pPr>
      <w:r w:rsidRPr="00614CC6">
        <w:rPr>
          <w:sz w:val="20"/>
        </w:rPr>
        <w:t>Genève, 20</w:t>
      </w:r>
      <w:r>
        <w:rPr>
          <w:sz w:val="20"/>
        </w:rPr>
        <w:t>16</w:t>
      </w:r>
    </w:p>
    <w:p w:rsidR="00463323" w:rsidRPr="00614CC6" w:rsidRDefault="00463323" w:rsidP="0046332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463323" w:rsidRPr="00614CC6" w:rsidRDefault="00463323" w:rsidP="0046332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63323" w:rsidRPr="00614CC6" w:rsidRDefault="00463323" w:rsidP="00463323">
      <w:pPr>
        <w:spacing w:before="160"/>
        <w:rPr>
          <w:i/>
          <w:sz w:val="20"/>
          <w:highlight w:val="yellow"/>
        </w:rPr>
        <w:sectPr w:rsidR="00463323"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463323" w:rsidRPr="00756B4D" w:rsidRDefault="00463323" w:rsidP="00617D91">
      <w:pPr>
        <w:pStyle w:val="RecNo"/>
        <w:spacing w:before="0"/>
      </w:pPr>
      <w:bookmarkStart w:id="3" w:name="irecnoe"/>
      <w:bookmarkEnd w:id="3"/>
      <w:r w:rsidRPr="00756B4D">
        <w:t xml:space="preserve">RECOMMANDATION  </w:t>
      </w:r>
      <w:r>
        <w:rPr>
          <w:rStyle w:val="href"/>
        </w:rPr>
        <w:t>UIT</w:t>
      </w:r>
      <w:r w:rsidRPr="00756B4D">
        <w:rPr>
          <w:rStyle w:val="href"/>
        </w:rPr>
        <w:t xml:space="preserve">-R  </w:t>
      </w:r>
      <w:r>
        <w:rPr>
          <w:rStyle w:val="href"/>
        </w:rPr>
        <w:t>V</w:t>
      </w:r>
      <w:r w:rsidRPr="00756B4D">
        <w:rPr>
          <w:rStyle w:val="href"/>
        </w:rPr>
        <w:t>.</w:t>
      </w:r>
      <w:r w:rsidR="00617D91">
        <w:rPr>
          <w:rStyle w:val="href"/>
        </w:rPr>
        <w:t>573-6</w:t>
      </w:r>
    </w:p>
    <w:p w:rsidR="00463323" w:rsidRPr="00A16F3D" w:rsidRDefault="00463323" w:rsidP="00463323">
      <w:pPr>
        <w:pStyle w:val="Rectitle"/>
        <w:rPr>
          <w:lang w:val="fr-CH"/>
        </w:rPr>
      </w:pPr>
      <w:r w:rsidRPr="00A16F3D">
        <w:rPr>
          <w:lang w:val="fr-CH"/>
        </w:rPr>
        <w:t>Vocabulaire des radiocommunications</w:t>
      </w:r>
    </w:p>
    <w:p w:rsidR="00463323" w:rsidRPr="00915BB0" w:rsidRDefault="00463323" w:rsidP="00463323">
      <w:pPr>
        <w:pStyle w:val="Recdate"/>
        <w:spacing w:before="240"/>
        <w:rPr>
          <w:szCs w:val="22"/>
          <w:lang w:val="fr-CH"/>
        </w:rPr>
      </w:pPr>
      <w:r w:rsidRPr="00915BB0">
        <w:rPr>
          <w:szCs w:val="22"/>
          <w:lang w:val="fr-CH"/>
        </w:rPr>
        <w:t>(1978-1982-1986-1990-2000-2007-2015)</w:t>
      </w:r>
    </w:p>
    <w:p w:rsidR="00463323" w:rsidRPr="00AB4C53" w:rsidRDefault="00463323" w:rsidP="00463323">
      <w:pPr>
        <w:pStyle w:val="HeadingSum"/>
        <w:rPr>
          <w:szCs w:val="22"/>
          <w:lang w:val="fr-CH"/>
        </w:rPr>
      </w:pPr>
      <w:bookmarkStart w:id="4" w:name="título"/>
      <w:bookmarkEnd w:id="4"/>
      <w:r w:rsidRPr="00AB4C53">
        <w:rPr>
          <w:szCs w:val="22"/>
          <w:lang w:val="fr-CH"/>
        </w:rPr>
        <w:t>Domaine d'application</w:t>
      </w:r>
    </w:p>
    <w:p w:rsidR="00463323" w:rsidRPr="00AB4C53" w:rsidRDefault="00463323" w:rsidP="00463323">
      <w:pPr>
        <w:pStyle w:val="Summary"/>
        <w:spacing w:after="0"/>
        <w:rPr>
          <w:szCs w:val="22"/>
          <w:lang w:val="fr-CH"/>
        </w:rPr>
      </w:pPr>
      <w:r w:rsidRPr="00AB4C53">
        <w:rPr>
          <w:szCs w:val="22"/>
          <w:lang w:val="fr-CH"/>
        </w:rPr>
        <w:t xml:space="preserve">La présente Recommandation fournit le vocabulaire principal de référence, indiquant les termes équivalents en six langues et les définitions associées. Elle inclut les termes contenus dans l'Article </w:t>
      </w:r>
      <w:r w:rsidRPr="00915BB0">
        <w:rPr>
          <w:b/>
          <w:bCs/>
          <w:szCs w:val="22"/>
          <w:lang w:val="fr-CH"/>
        </w:rPr>
        <w:t>1</w:t>
      </w:r>
      <w:r w:rsidRPr="00AB4C53">
        <w:rPr>
          <w:szCs w:val="22"/>
          <w:lang w:val="fr-CH"/>
        </w:rPr>
        <w:t xml:space="preserve"> du Règlement des radiocommunications (RR) et est complétée par la liste des termes techniques définis dans les textes de l'UIT-R.</w:t>
      </w:r>
    </w:p>
    <w:p w:rsidR="00463323" w:rsidRPr="00915BB0" w:rsidRDefault="00463323" w:rsidP="006F0029">
      <w:pPr>
        <w:pStyle w:val="Headingb"/>
        <w:rPr>
          <w:lang w:val="fr-CH"/>
        </w:rPr>
      </w:pPr>
      <w:r w:rsidRPr="00915BB0">
        <w:rPr>
          <w:lang w:val="fr-CH"/>
        </w:rPr>
        <w:t>Mots clés</w:t>
      </w:r>
    </w:p>
    <w:p w:rsidR="00463323" w:rsidRPr="00915BB0" w:rsidRDefault="00463323" w:rsidP="00463323">
      <w:pPr>
        <w:rPr>
          <w:szCs w:val="24"/>
          <w:lang w:val="fr-CH" w:eastAsia="ja-JP"/>
        </w:rPr>
      </w:pPr>
      <w:r w:rsidRPr="00915BB0">
        <w:rPr>
          <w:szCs w:val="24"/>
          <w:lang w:val="fr-CH" w:eastAsia="ja-JP"/>
        </w:rPr>
        <w:t>Vocabulaire des radiocommunications, Règlement des radiocommunications</w:t>
      </w:r>
    </w:p>
    <w:p w:rsidR="00463323" w:rsidRPr="00915BB0" w:rsidRDefault="00463323" w:rsidP="006F0029">
      <w:pPr>
        <w:pStyle w:val="Headingb"/>
        <w:rPr>
          <w:b w:val="0"/>
          <w:szCs w:val="24"/>
          <w:lang w:val="fr-CH"/>
        </w:rPr>
      </w:pPr>
      <w:r w:rsidRPr="006F0029">
        <w:rPr>
          <w:lang w:val="fr-CH"/>
        </w:rPr>
        <w:t>Recommandations</w:t>
      </w:r>
      <w:r w:rsidRPr="00915BB0">
        <w:rPr>
          <w:szCs w:val="24"/>
          <w:lang w:val="fr-CH"/>
        </w:rPr>
        <w:t xml:space="preserve"> connexes de l'UIT</w:t>
      </w:r>
    </w:p>
    <w:p w:rsidR="00463323" w:rsidRPr="00915BB0" w:rsidRDefault="00463323" w:rsidP="00463323">
      <w:pPr>
        <w:spacing w:before="80"/>
        <w:ind w:left="3345" w:hanging="3345"/>
        <w:rPr>
          <w:szCs w:val="24"/>
          <w:lang w:val="fr-CH"/>
        </w:rPr>
      </w:pPr>
      <w:r w:rsidRPr="00915BB0">
        <w:rPr>
          <w:szCs w:val="24"/>
          <w:lang w:val="fr-CH"/>
        </w:rPr>
        <w:t>Recommandation UIT-R V.430-4</w:t>
      </w:r>
      <w:r w:rsidRPr="00915BB0">
        <w:rPr>
          <w:szCs w:val="24"/>
          <w:lang w:val="fr-CH"/>
        </w:rPr>
        <w:tab/>
        <w:t>Emploi du système international d'unités (SI)</w:t>
      </w:r>
    </w:p>
    <w:p w:rsidR="00463323" w:rsidRPr="00915BB0" w:rsidRDefault="00463323" w:rsidP="00463323">
      <w:pPr>
        <w:spacing w:before="80"/>
        <w:ind w:left="3345" w:hanging="3345"/>
        <w:rPr>
          <w:szCs w:val="24"/>
          <w:lang w:val="fr-CH"/>
        </w:rPr>
      </w:pPr>
      <w:r w:rsidRPr="00915BB0">
        <w:rPr>
          <w:szCs w:val="24"/>
          <w:lang w:val="fr-CH"/>
        </w:rPr>
        <w:t>Recommandation UIT-R V.431-8</w:t>
      </w:r>
      <w:r w:rsidRPr="00915BB0">
        <w:rPr>
          <w:szCs w:val="24"/>
          <w:lang w:val="fr-CH"/>
        </w:rPr>
        <w:tab/>
        <w:t xml:space="preserve">Nomenclature des bandes de fréquences et de longueurs d'onde employées en télécommunication </w:t>
      </w:r>
    </w:p>
    <w:p w:rsidR="00463323" w:rsidRPr="00915BB0" w:rsidRDefault="00463323" w:rsidP="00463323">
      <w:pPr>
        <w:spacing w:before="80"/>
        <w:ind w:left="3345" w:hanging="3345"/>
        <w:rPr>
          <w:szCs w:val="24"/>
          <w:lang w:val="fr-CH"/>
        </w:rPr>
      </w:pPr>
      <w:r w:rsidRPr="00915BB0">
        <w:rPr>
          <w:szCs w:val="24"/>
          <w:lang w:val="fr-CH"/>
        </w:rPr>
        <w:t>Recommandation UIT-R V.574-5</w:t>
      </w:r>
      <w:r w:rsidRPr="00915BB0">
        <w:rPr>
          <w:szCs w:val="24"/>
          <w:lang w:val="fr-CH"/>
        </w:rPr>
        <w:tab/>
        <w:t xml:space="preserve">Emploi du décibel et du néper dans les télécommunications </w:t>
      </w:r>
    </w:p>
    <w:p w:rsidR="00463323" w:rsidRPr="00915BB0" w:rsidRDefault="00463323" w:rsidP="00463323">
      <w:pPr>
        <w:spacing w:before="80"/>
        <w:ind w:left="3345" w:hanging="3345"/>
        <w:rPr>
          <w:szCs w:val="24"/>
          <w:lang w:val="fr-CH"/>
        </w:rPr>
      </w:pPr>
      <w:r w:rsidRPr="00915BB0">
        <w:rPr>
          <w:szCs w:val="24"/>
          <w:lang w:val="fr-CH"/>
        </w:rPr>
        <w:t>Recommandation UIT-R V.665-3</w:t>
      </w:r>
      <w:r w:rsidRPr="00915BB0">
        <w:rPr>
          <w:szCs w:val="24"/>
          <w:lang w:val="fr-CH"/>
        </w:rPr>
        <w:tab/>
        <w:t xml:space="preserve">Unité d'intensité du trafic </w:t>
      </w:r>
    </w:p>
    <w:p w:rsidR="00463323" w:rsidRPr="00915BB0" w:rsidRDefault="00463323" w:rsidP="00463323">
      <w:pPr>
        <w:pStyle w:val="Normalaftertitle0"/>
        <w:spacing w:before="240"/>
        <w:rPr>
          <w:szCs w:val="24"/>
          <w:lang w:val="fr-CH"/>
        </w:rPr>
      </w:pPr>
      <w:r w:rsidRPr="00915BB0">
        <w:rPr>
          <w:szCs w:val="24"/>
          <w:lang w:val="fr-CH"/>
        </w:rPr>
        <w:t>L'Assemblée des radiocommunications de l'UIT,</w:t>
      </w:r>
    </w:p>
    <w:p w:rsidR="00463323" w:rsidRPr="00915BB0" w:rsidRDefault="00463323" w:rsidP="00463323">
      <w:pPr>
        <w:pStyle w:val="Call"/>
        <w:rPr>
          <w:lang w:val="fr-CH"/>
        </w:rPr>
      </w:pPr>
      <w:r w:rsidRPr="00915BB0">
        <w:rPr>
          <w:lang w:val="fr-CH"/>
        </w:rPr>
        <w:t>considérant</w:t>
      </w:r>
    </w:p>
    <w:p w:rsidR="00463323" w:rsidRPr="00915BB0" w:rsidRDefault="00463323" w:rsidP="00463323">
      <w:pPr>
        <w:rPr>
          <w:szCs w:val="24"/>
          <w:lang w:val="fr-CH"/>
        </w:rPr>
      </w:pPr>
      <w:r w:rsidRPr="00915BB0">
        <w:rPr>
          <w:i/>
          <w:iCs/>
          <w:szCs w:val="24"/>
          <w:lang w:val="fr-CH"/>
        </w:rPr>
        <w:t>a)</w:t>
      </w:r>
      <w:r w:rsidRPr="00915BB0">
        <w:rPr>
          <w:szCs w:val="24"/>
          <w:lang w:val="fr-CH"/>
        </w:rPr>
        <w:tab/>
        <w:t>que l'Article </w:t>
      </w:r>
      <w:r w:rsidRPr="00915BB0">
        <w:rPr>
          <w:b/>
          <w:bCs/>
          <w:szCs w:val="24"/>
          <w:lang w:val="fr-CH"/>
        </w:rPr>
        <w:t>1</w:t>
      </w:r>
      <w:r w:rsidRPr="00915BB0">
        <w:rPr>
          <w:szCs w:val="24"/>
          <w:lang w:val="fr-CH"/>
        </w:rPr>
        <w:t xml:space="preserve"> du Règlement des radiocommunications (RR) contient la définition de termes à des fins de réglementation;</w:t>
      </w:r>
    </w:p>
    <w:p w:rsidR="00463323" w:rsidRPr="00915BB0" w:rsidRDefault="00463323" w:rsidP="00463323">
      <w:pPr>
        <w:rPr>
          <w:szCs w:val="24"/>
          <w:lang w:val="fr-CH"/>
        </w:rPr>
      </w:pPr>
      <w:r w:rsidRPr="00915BB0">
        <w:rPr>
          <w:i/>
          <w:iCs/>
          <w:szCs w:val="24"/>
          <w:lang w:val="fr-CH"/>
        </w:rPr>
        <w:t>b)</w:t>
      </w:r>
      <w:r w:rsidRPr="00915BB0">
        <w:rPr>
          <w:szCs w:val="24"/>
          <w:lang w:val="fr-CH"/>
        </w:rPr>
        <w:tab/>
        <w:t>que les Commissions d'études des radiocommunications ont parfois besoin d'établir des définitions pour des termes techniques qui ne figurent pas dans cet Article;</w:t>
      </w:r>
    </w:p>
    <w:p w:rsidR="00463323" w:rsidRPr="00915BB0" w:rsidRDefault="00463323" w:rsidP="00463323">
      <w:pPr>
        <w:rPr>
          <w:szCs w:val="24"/>
          <w:lang w:val="fr-CH"/>
        </w:rPr>
      </w:pPr>
      <w:r w:rsidRPr="00915BB0">
        <w:rPr>
          <w:i/>
          <w:iCs/>
          <w:szCs w:val="24"/>
          <w:lang w:val="fr-CH"/>
        </w:rPr>
        <w:t>c)</w:t>
      </w:r>
      <w:r w:rsidRPr="00915BB0">
        <w:rPr>
          <w:szCs w:val="24"/>
          <w:lang w:val="fr-CH"/>
        </w:rPr>
        <w:tab/>
        <w:t>qu'il serait souhaitable que certains de ces termes et définitions établis par les Commissions d'études des radiocommunications soient plus largement utilisés au sein de l'UIT-R,</w:t>
      </w:r>
    </w:p>
    <w:p w:rsidR="00463323" w:rsidRPr="00915BB0" w:rsidRDefault="00463323" w:rsidP="00463323">
      <w:pPr>
        <w:pStyle w:val="Call"/>
        <w:rPr>
          <w:lang w:val="fr-CH"/>
        </w:rPr>
      </w:pPr>
      <w:r w:rsidRPr="00915BB0">
        <w:rPr>
          <w:lang w:val="fr-CH"/>
        </w:rPr>
        <w:t>recommande</w:t>
      </w:r>
    </w:p>
    <w:p w:rsidR="00463323" w:rsidRPr="00915BB0" w:rsidRDefault="00463323" w:rsidP="00463323">
      <w:pPr>
        <w:rPr>
          <w:szCs w:val="24"/>
          <w:lang w:val="fr-CH"/>
        </w:rPr>
      </w:pPr>
      <w:r w:rsidRPr="00915BB0">
        <w:rPr>
          <w:b/>
          <w:bCs/>
          <w:szCs w:val="24"/>
          <w:lang w:val="fr-CH"/>
        </w:rPr>
        <w:t>1</w:t>
      </w:r>
      <w:r w:rsidRPr="00915BB0">
        <w:rPr>
          <w:szCs w:val="24"/>
          <w:lang w:val="fr-CH"/>
        </w:rPr>
        <w:tab/>
        <w:t>que les termes figurant dans l'Article </w:t>
      </w:r>
      <w:r w:rsidRPr="00915BB0">
        <w:rPr>
          <w:b/>
          <w:bCs/>
          <w:szCs w:val="24"/>
          <w:lang w:val="fr-CH"/>
        </w:rPr>
        <w:t>1</w:t>
      </w:r>
      <w:r w:rsidRPr="00915BB0">
        <w:rPr>
          <w:szCs w:val="24"/>
          <w:lang w:val="fr-CH"/>
        </w:rPr>
        <w:t xml:space="preserve"> du RR et les termes établis par les Commissions d'études des radiocommunications soient utilisés, dans toute la mesure possible, avec le sens indiqué dans la définition correspondante;</w:t>
      </w:r>
    </w:p>
    <w:p w:rsidR="00463323" w:rsidRPr="00915BB0" w:rsidRDefault="00463323" w:rsidP="00463323">
      <w:pPr>
        <w:rPr>
          <w:szCs w:val="24"/>
          <w:lang w:val="fr-CH"/>
        </w:rPr>
      </w:pPr>
      <w:r w:rsidRPr="00915BB0">
        <w:rPr>
          <w:b/>
          <w:bCs/>
          <w:szCs w:val="24"/>
          <w:lang w:val="fr-CH"/>
        </w:rPr>
        <w:t>2</w:t>
      </w:r>
      <w:r w:rsidRPr="00915BB0">
        <w:rPr>
          <w:szCs w:val="24"/>
          <w:lang w:val="fr-CH"/>
        </w:rPr>
        <w:tab/>
        <w:t>que, en cas de difficulté pour utiliser un de ces termes avec le sens indiqué dans la définition correspondante, les Commissions d'études transmettent au Comité de coordination pour le vocabulaire (CCV) une proposition de révision ou d'application différente, accompagnée de justifications;</w:t>
      </w:r>
    </w:p>
    <w:p w:rsidR="00463323" w:rsidRPr="00915BB0" w:rsidRDefault="00463323" w:rsidP="00463323">
      <w:pPr>
        <w:rPr>
          <w:szCs w:val="24"/>
          <w:lang w:val="fr-CH"/>
        </w:rPr>
      </w:pPr>
      <w:r w:rsidRPr="00915BB0">
        <w:rPr>
          <w:b/>
          <w:bCs/>
          <w:szCs w:val="24"/>
          <w:lang w:val="fr-CH"/>
        </w:rPr>
        <w:t>3</w:t>
      </w:r>
      <w:r w:rsidRPr="00915BB0">
        <w:rPr>
          <w:szCs w:val="24"/>
          <w:lang w:val="fr-CH"/>
        </w:rPr>
        <w:tab/>
        <w:t>que les administrations et les exploitations reconnues ainsi que le Bureau des radiocommunications utilisent, dans les schémas se rapportant aux télécommunications et destinés à une utilisation sur le plan international, les symboles graphiques pour schémas donnés dans les Normes internationales de la série CEI 60617 de la Commission électrotechnique internationale (CEI) et qu'ils observent les règles pour l'établissement de la documentation, ainsi que pour la désignation des éléments énoncées dans les Normes internationales des séries CEI 61082 et CEI 61346. Les administrations qui désirent utiliser des symboles sur le matériel sont invitées à se référer aux Normes internationales de la série CEI 60417;</w:t>
      </w:r>
    </w:p>
    <w:p w:rsidR="00463323" w:rsidRPr="00915BB0" w:rsidRDefault="00463323" w:rsidP="00463323">
      <w:pPr>
        <w:rPr>
          <w:szCs w:val="24"/>
          <w:lang w:val="fr-CH"/>
        </w:rPr>
      </w:pPr>
      <w:r w:rsidRPr="00915BB0">
        <w:rPr>
          <w:b/>
          <w:bCs/>
          <w:szCs w:val="24"/>
          <w:lang w:val="fr-CH"/>
        </w:rPr>
        <w:t>4</w:t>
      </w:r>
      <w:r w:rsidRPr="00915BB0">
        <w:rPr>
          <w:szCs w:val="24"/>
          <w:lang w:val="fr-CH"/>
        </w:rPr>
        <w:tab/>
        <w:t>que, en ce qui concerne l'emploi des abréviations dans les textes de l'UIT, il soit tenu compte des directives suivantes:</w:t>
      </w:r>
    </w:p>
    <w:p w:rsidR="00463323" w:rsidRPr="00915BB0" w:rsidRDefault="00463323" w:rsidP="00463323">
      <w:pPr>
        <w:spacing w:before="80"/>
        <w:ind w:left="794" w:hanging="794"/>
        <w:rPr>
          <w:szCs w:val="24"/>
          <w:lang w:val="fr-CH"/>
        </w:rPr>
      </w:pPr>
      <w:r w:rsidRPr="00915BB0">
        <w:rPr>
          <w:szCs w:val="24"/>
          <w:lang w:val="fr-CH"/>
        </w:rPr>
        <w:t>–</w:t>
      </w:r>
      <w:r w:rsidRPr="00915BB0">
        <w:rPr>
          <w:szCs w:val="24"/>
          <w:lang w:val="fr-CH"/>
        </w:rPr>
        <w:tab/>
        <w:t>On ne devrait pas utiliser d'abréviations dans les titres.</w:t>
      </w:r>
    </w:p>
    <w:p w:rsidR="00463323" w:rsidRPr="00915BB0" w:rsidRDefault="00463323" w:rsidP="00463323">
      <w:pPr>
        <w:spacing w:before="80"/>
        <w:ind w:left="794" w:hanging="794"/>
        <w:rPr>
          <w:szCs w:val="24"/>
          <w:lang w:val="fr-CH"/>
        </w:rPr>
      </w:pPr>
      <w:r w:rsidRPr="00915BB0">
        <w:rPr>
          <w:szCs w:val="24"/>
          <w:lang w:val="fr-CH"/>
        </w:rPr>
        <w:t>–</w:t>
      </w:r>
      <w:r w:rsidRPr="00915BB0">
        <w:rPr>
          <w:szCs w:val="24"/>
          <w:lang w:val="fr-CH"/>
        </w:rPr>
        <w:tab/>
        <w:t>L'emploi d'abréviations spécifiques à un texte devrait être limité aux cas où cet emploi facilite la lecture du texte, à savoir lorsqu'une abréviation peut être utilisée un certain nombre de fois dans un même texte, ou est utilisée dans un tableau ou un schéma.</w:t>
      </w:r>
    </w:p>
    <w:p w:rsidR="00463323" w:rsidRPr="00915BB0" w:rsidRDefault="00463323" w:rsidP="00463323">
      <w:pPr>
        <w:spacing w:before="80"/>
        <w:ind w:left="794" w:hanging="794"/>
        <w:rPr>
          <w:szCs w:val="24"/>
          <w:lang w:val="fr-CH"/>
        </w:rPr>
      </w:pPr>
      <w:r w:rsidRPr="00915BB0">
        <w:rPr>
          <w:szCs w:val="24"/>
          <w:lang w:val="fr-CH"/>
        </w:rPr>
        <w:t>–</w:t>
      </w:r>
      <w:r w:rsidRPr="00915BB0">
        <w:rPr>
          <w:szCs w:val="24"/>
          <w:lang w:val="fr-CH"/>
        </w:rPr>
        <w:tab/>
        <w:t>Dans chaque texte, la signification de toute abréviation doit être indiquée la première fois que cette abréviation est utilisée; en outre, la signification des abréviations utilisées dans un texte doit être rappelée dans une liste alphabétique, ou dans la légende des tableaux ou des schémas.</w:t>
      </w:r>
    </w:p>
    <w:p w:rsidR="00463323" w:rsidRPr="00915BB0" w:rsidRDefault="00463323" w:rsidP="00463323">
      <w:pPr>
        <w:spacing w:before="80"/>
        <w:ind w:left="794" w:hanging="794"/>
        <w:rPr>
          <w:szCs w:val="24"/>
          <w:lang w:val="fr-CH"/>
        </w:rPr>
      </w:pPr>
      <w:r w:rsidRPr="00915BB0">
        <w:rPr>
          <w:szCs w:val="24"/>
          <w:lang w:val="fr-CH"/>
        </w:rPr>
        <w:t>–</w:t>
      </w:r>
      <w:r w:rsidRPr="00915BB0">
        <w:rPr>
          <w:szCs w:val="24"/>
          <w:lang w:val="fr-CH"/>
        </w:rPr>
        <w:tab/>
        <w:t>Dans la mesure du possible, la même abréviation devrait être utilisée dans les différentes langues de travail, en particulier dans le cas des abréviations spécifiques mentionnées au deuxième alinéa ci</w:t>
      </w:r>
      <w:r w:rsidRPr="00915BB0">
        <w:rPr>
          <w:szCs w:val="24"/>
          <w:lang w:val="fr-CH"/>
        </w:rPr>
        <w:noBreakHyphen/>
        <w:t>dessus.</w:t>
      </w:r>
    </w:p>
    <w:p w:rsidR="00463323" w:rsidRPr="00915BB0" w:rsidRDefault="00463323" w:rsidP="00463323">
      <w:pPr>
        <w:spacing w:before="80"/>
        <w:ind w:left="794" w:hanging="794"/>
        <w:rPr>
          <w:szCs w:val="24"/>
          <w:lang w:val="fr-CH"/>
        </w:rPr>
      </w:pPr>
      <w:r w:rsidRPr="00915BB0">
        <w:rPr>
          <w:szCs w:val="24"/>
          <w:lang w:val="fr-CH"/>
        </w:rPr>
        <w:t>–</w:t>
      </w:r>
      <w:r w:rsidRPr="00915BB0">
        <w:rPr>
          <w:szCs w:val="24"/>
          <w:lang w:val="fr-CH"/>
        </w:rPr>
        <w:tab/>
        <w:t>L'emploi d'abréviations comportant moins de trois caractères risque de prêter à confusion et devrait être évité;</w:t>
      </w:r>
    </w:p>
    <w:p w:rsidR="00463323" w:rsidRPr="00915BB0" w:rsidRDefault="00463323" w:rsidP="00463323">
      <w:pPr>
        <w:rPr>
          <w:szCs w:val="24"/>
          <w:lang w:val="fr-CH"/>
        </w:rPr>
      </w:pPr>
      <w:r w:rsidRPr="00915BB0">
        <w:rPr>
          <w:b/>
          <w:bCs/>
          <w:szCs w:val="24"/>
          <w:lang w:val="fr-CH"/>
        </w:rPr>
        <w:t>5</w:t>
      </w:r>
      <w:r w:rsidRPr="00915BB0">
        <w:rPr>
          <w:szCs w:val="24"/>
          <w:lang w:val="fr-CH"/>
        </w:rPr>
        <w:tab/>
        <w:t xml:space="preserve">que l'on utilise la liste complète des termes et de leurs définitions accessible à l'adresse </w:t>
      </w:r>
      <w:hyperlink r:id="rId12" w:history="1">
        <w:r w:rsidRPr="00915BB0">
          <w:rPr>
            <w:color w:val="0000FF"/>
            <w:szCs w:val="24"/>
            <w:u w:val="single"/>
            <w:lang w:val="fr-CH"/>
          </w:rPr>
          <w:t>http://www.itu.int/ITU-R/go/terminology-database</w:t>
        </w:r>
      </w:hyperlink>
      <w:r w:rsidRPr="00915BB0">
        <w:rPr>
          <w:szCs w:val="24"/>
          <w:lang w:val="fr-CH"/>
        </w:rPr>
        <w:t>.</w:t>
      </w:r>
    </w:p>
    <w:p w:rsidR="00463323" w:rsidRDefault="00463323" w:rsidP="00463323">
      <w:pPr>
        <w:pStyle w:val="Reasons"/>
      </w:pPr>
    </w:p>
    <w:p w:rsidR="00463323" w:rsidRPr="00463323" w:rsidRDefault="00463323" w:rsidP="00463323">
      <w:pPr>
        <w:pStyle w:val="Line"/>
      </w:pPr>
    </w:p>
    <w:sectPr w:rsidR="00463323" w:rsidRPr="00463323" w:rsidSect="00617D9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323" w:rsidRDefault="00463323">
      <w:r>
        <w:separator/>
      </w:r>
    </w:p>
  </w:endnote>
  <w:endnote w:type="continuationSeparator" w:id="0">
    <w:p w:rsidR="00463323" w:rsidRDefault="00463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323" w:rsidRDefault="00463323">
      <w:r>
        <w:separator/>
      </w:r>
    </w:p>
  </w:footnote>
  <w:footnote w:type="continuationSeparator" w:id="0">
    <w:p w:rsidR="00463323" w:rsidRDefault="004633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323" w:rsidRDefault="0046332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323" w:rsidRDefault="00463323" w:rsidP="00C668C8">
    <w:pPr>
      <w:pStyle w:val="Header"/>
      <w:ind w:right="360" w:firstLine="360"/>
    </w:pPr>
    <w:r>
      <w:rPr>
        <w:noProof/>
        <w:lang w:val="en-US" w:eastAsia="zh-CN"/>
      </w:rPr>
      <w:drawing>
        <wp:anchor distT="0" distB="0" distL="114300" distR="114300" simplePos="0" relativeHeight="251659264" behindDoc="1" locked="0" layoutInCell="1" allowOverlap="1" wp14:anchorId="70507E37" wp14:editId="5B06F18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323" w:rsidRPr="00837CB5" w:rsidRDefault="0046332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515BE">
      <w:rPr>
        <w:rStyle w:val="PageNumber"/>
        <w:b/>
        <w:bCs/>
        <w:noProof/>
      </w:rPr>
      <w:t>ii</w:t>
    </w:r>
    <w:r>
      <w:rPr>
        <w:rStyle w:val="PageNumber"/>
        <w:b/>
        <w:bCs/>
      </w:rPr>
      <w:fldChar w:fldCharType="end"/>
    </w:r>
    <w:r w:rsidRPr="00837CB5">
      <w:tab/>
    </w:r>
    <w:fldSimple w:instr=" DOCPROPERTY &quot;Header&quot; \* MERGEFORMAT ">
      <w:r w:rsidR="00D515BE" w:rsidRPr="00D515B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515BE">
      <w:rPr>
        <w:b/>
        <w:bCs/>
        <w:noProof/>
      </w:rPr>
      <w:t>UIT-R  V.573-6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323" w:rsidRDefault="00463323">
    <w:pPr>
      <w:pStyle w:val="Header"/>
    </w:pPr>
    <w:r>
      <w:tab/>
    </w:r>
    <w:fldSimple w:instr=" DOCPROPERTY &quot;Header&quot; \* MERGEFORMAT ">
      <w:r w:rsidR="00D515BE" w:rsidRPr="00D515B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15BE">
      <w:rPr>
        <w:b/>
        <w:bCs/>
        <w:noProof/>
      </w:rPr>
      <w:t>UIT-R  V.573-6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15BE">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515BE" w:rsidRPr="00D515B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515BE">
      <w:rPr>
        <w:b/>
        <w:bCs/>
        <w:noProof/>
      </w:rPr>
      <w:t>UIT-R  V.573-6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D515BE" w:rsidRPr="00D515B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15BE">
      <w:rPr>
        <w:b/>
        <w:bCs/>
        <w:noProof/>
      </w:rPr>
      <w:t>UIT-R  V.573-6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15B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323"/>
    <w:rsid w:val="00217EBF"/>
    <w:rsid w:val="00242AEE"/>
    <w:rsid w:val="002D76C4"/>
    <w:rsid w:val="00463323"/>
    <w:rsid w:val="004B1CE5"/>
    <w:rsid w:val="004E1F92"/>
    <w:rsid w:val="0052529D"/>
    <w:rsid w:val="005864EE"/>
    <w:rsid w:val="00607D68"/>
    <w:rsid w:val="00617D91"/>
    <w:rsid w:val="006F0029"/>
    <w:rsid w:val="007468DA"/>
    <w:rsid w:val="009E00A8"/>
    <w:rsid w:val="00A6617B"/>
    <w:rsid w:val="00AB0DC8"/>
    <w:rsid w:val="00B44E24"/>
    <w:rsid w:val="00D515BE"/>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570B716-B12A-4BCA-9011-AF212DFB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3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63323"/>
    <w:rPr>
      <w:b/>
      <w:sz w:val="24"/>
      <w:lang w:val="fr-FR" w:eastAsia="en-US"/>
    </w:rPr>
  </w:style>
  <w:style w:type="character" w:customStyle="1" w:styleId="HeaderChar">
    <w:name w:val="Header Char"/>
    <w:basedOn w:val="DefaultParagraphFont"/>
    <w:link w:val="Header"/>
    <w:rsid w:val="00463323"/>
    <w:rPr>
      <w:sz w:val="24"/>
      <w:lang w:val="fr-FR" w:eastAsia="en-US"/>
    </w:rPr>
  </w:style>
  <w:style w:type="character" w:styleId="Hyperlink">
    <w:name w:val="Hyperlink"/>
    <w:basedOn w:val="DefaultParagraphFont"/>
    <w:rsid w:val="00463323"/>
    <w:rPr>
      <w:color w:val="0000FF"/>
      <w:u w:val="single"/>
    </w:rPr>
  </w:style>
  <w:style w:type="paragraph" w:customStyle="1" w:styleId="Normalaftertitle0">
    <w:name w:val="Normal after title"/>
    <w:basedOn w:val="Normal"/>
    <w:next w:val="Normal"/>
    <w:rsid w:val="00463323"/>
    <w:pPr>
      <w:tabs>
        <w:tab w:val="clear" w:pos="794"/>
        <w:tab w:val="clear" w:pos="1191"/>
        <w:tab w:val="clear" w:pos="1588"/>
        <w:tab w:val="clear" w:pos="1985"/>
        <w:tab w:val="left" w:pos="1134"/>
        <w:tab w:val="left" w:pos="1871"/>
        <w:tab w:val="left" w:pos="2268"/>
      </w:tabs>
      <w:spacing w:before="280"/>
      <w:jc w:val="left"/>
    </w:pPr>
  </w:style>
  <w:style w:type="paragraph" w:customStyle="1" w:styleId="Reasons">
    <w:name w:val="Reasons"/>
    <w:basedOn w:val="Normal"/>
    <w:qFormat/>
    <w:rsid w:val="00463323"/>
    <w:pPr>
      <w:tabs>
        <w:tab w:val="clear" w:pos="794"/>
        <w:tab w:val="clear" w:pos="1191"/>
        <w:tab w:val="left" w:pos="1134"/>
      </w:tabs>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itu.int/ITU-R/go/terminology-databas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1</Pages>
  <Words>964</Words>
  <Characters>5790</Characters>
  <Application>Microsoft Office Word</Application>
  <DocSecurity>0</DocSecurity>
  <Lines>413</Lines>
  <Paragraphs>182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Politique en matière de droits de propriété intellectuelle (IPR)</vt:lpstr>
    </vt:vector>
  </TitlesOfParts>
  <Manager/>
  <Company>ITU</Company>
  <LinksUpToDate>false</LinksUpToDate>
  <CharactersWithSpaces>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2016-08-02T06:15:00Z</cp:lastPrinted>
  <dcterms:created xsi:type="dcterms:W3CDTF">2016-08-02T06:09:00Z</dcterms:created>
  <dcterms:modified xsi:type="dcterms:W3CDTF">2016-08-02T06:15:00Z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