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8BF" w:rsidRDefault="004078BF" w:rsidP="004078BF">
      <w:bookmarkStart w:id="0" w:name="_GoBack"/>
      <w:bookmarkEnd w:id="0"/>
    </w:p>
    <w:p w:rsidR="004078BF" w:rsidRDefault="004078BF" w:rsidP="004078BF"/>
    <w:p w:rsidR="004078BF" w:rsidRDefault="004078BF" w:rsidP="004078BF"/>
    <w:p w:rsidR="004078BF" w:rsidRDefault="004078BF" w:rsidP="004078BF"/>
    <w:p w:rsidR="004078BF" w:rsidRDefault="004078BF" w:rsidP="004078BF"/>
    <w:p w:rsidR="004078BF" w:rsidRDefault="004078BF" w:rsidP="004078BF"/>
    <w:p w:rsidR="004078BF" w:rsidRDefault="004078BF" w:rsidP="004078BF"/>
    <w:p w:rsidR="004078BF" w:rsidRDefault="004078BF" w:rsidP="004078BF"/>
    <w:p w:rsidR="004078BF" w:rsidRDefault="004078BF" w:rsidP="004078BF"/>
    <w:p w:rsidR="004078BF" w:rsidRDefault="004078BF" w:rsidP="004078BF"/>
    <w:p w:rsidR="004078BF" w:rsidRDefault="004078BF" w:rsidP="004078BF"/>
    <w:p w:rsidR="004078BF" w:rsidRDefault="004078BF" w:rsidP="004078BF"/>
    <w:tbl>
      <w:tblPr>
        <w:tblW w:w="10089" w:type="dxa"/>
        <w:tblLook w:val="01E0" w:firstRow="1" w:lastRow="1" w:firstColumn="1" w:lastColumn="1" w:noHBand="0" w:noVBand="0"/>
      </w:tblPr>
      <w:tblGrid>
        <w:gridCol w:w="10089"/>
      </w:tblGrid>
      <w:tr w:rsidR="004078BF" w:rsidTr="00974F4D">
        <w:tc>
          <w:tcPr>
            <w:tcW w:w="10089" w:type="dxa"/>
          </w:tcPr>
          <w:p w:rsidR="004078BF" w:rsidRPr="001511A6" w:rsidRDefault="004078BF" w:rsidP="00974F4D">
            <w:pPr>
              <w:spacing w:before="380" w:line="280" w:lineRule="exact"/>
              <w:jc w:val="right"/>
              <w:rPr>
                <w:rFonts w:ascii="Tahoma" w:hAnsi="Tahoma" w:cs="Tahoma"/>
                <w:b/>
                <w:bCs/>
                <w:iCs/>
                <w:color w:val="243285"/>
                <w:sz w:val="32"/>
                <w:szCs w:val="32"/>
                <w:lang w:val="en-US"/>
              </w:rPr>
            </w:pPr>
          </w:p>
          <w:p w:rsidR="004078BF" w:rsidRPr="001E1D9C" w:rsidRDefault="004078BF" w:rsidP="004078BF">
            <w:pPr>
              <w:spacing w:before="380" w:line="280" w:lineRule="exact"/>
              <w:jc w:val="right"/>
              <w:rPr>
                <w:rFonts w:ascii="Tahoma" w:hAnsi="Tahoma" w:cs="Tahoma"/>
                <w:b/>
                <w:bCs/>
                <w:iCs/>
                <w:color w:val="243285"/>
                <w:sz w:val="36"/>
                <w:szCs w:val="36"/>
                <w:lang w:val="fr-CH"/>
              </w:rPr>
            </w:pPr>
            <w:r w:rsidRPr="001E1D9C">
              <w:rPr>
                <w:rFonts w:ascii="Tahoma" w:hAnsi="Tahoma" w:cs="Tahoma"/>
                <w:b/>
                <w:bCs/>
                <w:iCs/>
                <w:color w:val="243285"/>
                <w:sz w:val="36"/>
                <w:szCs w:val="36"/>
                <w:lang w:val="fr-CH"/>
              </w:rPr>
              <w:t>Recommendation  ITU-R  V.</w:t>
            </w:r>
            <w:r>
              <w:rPr>
                <w:rFonts w:ascii="Tahoma" w:hAnsi="Tahoma" w:cs="Tahoma"/>
                <w:b/>
                <w:bCs/>
                <w:iCs/>
                <w:color w:val="243285"/>
                <w:sz w:val="36"/>
                <w:szCs w:val="36"/>
                <w:lang w:val="fr-CH"/>
              </w:rPr>
              <w:t>665-3</w:t>
            </w:r>
          </w:p>
          <w:p w:rsidR="004078BF" w:rsidRPr="001E1D9C" w:rsidRDefault="004078BF" w:rsidP="004078BF">
            <w:pPr>
              <w:spacing w:before="80" w:line="280" w:lineRule="exact"/>
              <w:jc w:val="right"/>
              <w:rPr>
                <w:rFonts w:ascii="Tahoma" w:hAnsi="Tahoma" w:cs="Tahoma"/>
                <w:b/>
                <w:bCs/>
                <w:iCs/>
                <w:color w:val="243285"/>
                <w:szCs w:val="24"/>
                <w:lang w:val="fr-CH"/>
              </w:rPr>
            </w:pPr>
            <w:r w:rsidRPr="001E1D9C">
              <w:rPr>
                <w:rFonts w:ascii="Tahoma" w:hAnsi="Tahoma" w:cs="Tahoma"/>
                <w:b/>
                <w:bCs/>
                <w:iCs/>
                <w:color w:val="243285"/>
                <w:szCs w:val="24"/>
                <w:lang w:val="fr-CH"/>
              </w:rPr>
              <w:t>(</w:t>
            </w:r>
            <w:r>
              <w:rPr>
                <w:rFonts w:ascii="Tahoma" w:hAnsi="Tahoma" w:cs="Tahoma"/>
                <w:b/>
                <w:bCs/>
                <w:iCs/>
                <w:color w:val="243285"/>
                <w:szCs w:val="24"/>
                <w:lang w:val="fr-CH"/>
              </w:rPr>
              <w:t>08</w:t>
            </w:r>
            <w:r w:rsidRPr="001E1D9C">
              <w:rPr>
                <w:rFonts w:ascii="Tahoma" w:hAnsi="Tahoma" w:cs="Tahoma"/>
                <w:b/>
                <w:bCs/>
                <w:iCs/>
                <w:color w:val="243285"/>
                <w:szCs w:val="24"/>
                <w:lang w:val="fr-CH"/>
              </w:rPr>
              <w:t>/</w:t>
            </w:r>
            <w:r>
              <w:rPr>
                <w:rFonts w:ascii="Tahoma" w:hAnsi="Tahoma" w:cs="Tahoma"/>
                <w:b/>
                <w:bCs/>
                <w:iCs/>
                <w:color w:val="243285"/>
                <w:szCs w:val="24"/>
                <w:lang w:val="fr-CH"/>
              </w:rPr>
              <w:t>2015</w:t>
            </w:r>
            <w:r w:rsidRPr="001E1D9C">
              <w:rPr>
                <w:rFonts w:ascii="Tahoma" w:hAnsi="Tahoma" w:cs="Tahoma"/>
                <w:b/>
                <w:bCs/>
                <w:iCs/>
                <w:color w:val="243285"/>
                <w:szCs w:val="24"/>
                <w:lang w:val="fr-CH"/>
              </w:rPr>
              <w:t>)</w:t>
            </w:r>
          </w:p>
        </w:tc>
      </w:tr>
      <w:tr w:rsidR="004078BF" w:rsidRPr="001511A6" w:rsidTr="00974F4D">
        <w:tc>
          <w:tcPr>
            <w:tcW w:w="10089" w:type="dxa"/>
          </w:tcPr>
          <w:p w:rsidR="004078BF" w:rsidRPr="001E1D9C" w:rsidRDefault="004078BF" w:rsidP="00974F4D">
            <w:pPr>
              <w:spacing w:before="80" w:line="500" w:lineRule="exact"/>
              <w:jc w:val="right"/>
              <w:rPr>
                <w:rFonts w:ascii="Tahoma" w:hAnsi="Tahoma" w:cs="Tahoma"/>
                <w:b/>
                <w:bCs/>
                <w:iCs/>
                <w:color w:val="243285"/>
                <w:sz w:val="44"/>
                <w:szCs w:val="44"/>
                <w:lang w:val="fr-CH"/>
              </w:rPr>
            </w:pPr>
          </w:p>
          <w:p w:rsidR="004078BF" w:rsidRPr="001511A6" w:rsidRDefault="004078BF" w:rsidP="004078BF">
            <w:pPr>
              <w:spacing w:before="80" w:line="500" w:lineRule="exact"/>
              <w:jc w:val="right"/>
              <w:rPr>
                <w:rFonts w:ascii="Tahoma" w:hAnsi="Tahoma" w:cs="Tahoma"/>
                <w:b/>
                <w:bCs/>
                <w:iCs/>
                <w:color w:val="243285"/>
                <w:sz w:val="44"/>
                <w:szCs w:val="44"/>
                <w:lang w:val="en-US"/>
              </w:rPr>
            </w:pPr>
            <w:r w:rsidRPr="004078BF">
              <w:rPr>
                <w:rFonts w:ascii="Tahoma" w:hAnsi="Tahoma" w:cs="Tahoma"/>
                <w:b/>
                <w:bCs/>
                <w:iCs/>
                <w:color w:val="243285"/>
                <w:sz w:val="44"/>
                <w:szCs w:val="44"/>
                <w:lang w:val="en-GB"/>
              </w:rPr>
              <w:t>Traffic intensity unit</w:t>
            </w:r>
          </w:p>
          <w:p w:rsidR="004078BF" w:rsidRPr="001511A6" w:rsidRDefault="004078BF" w:rsidP="00974F4D">
            <w:pPr>
              <w:spacing w:before="80" w:line="500" w:lineRule="exact"/>
              <w:jc w:val="right"/>
              <w:rPr>
                <w:rFonts w:ascii="Tahoma" w:hAnsi="Tahoma" w:cs="Tahoma"/>
                <w:b/>
                <w:bCs/>
                <w:iCs/>
                <w:color w:val="243285"/>
                <w:sz w:val="40"/>
                <w:szCs w:val="40"/>
                <w:lang w:val="en-US"/>
              </w:rPr>
            </w:pPr>
          </w:p>
        </w:tc>
      </w:tr>
      <w:tr w:rsidR="004078BF" w:rsidRPr="003978C4" w:rsidTr="00974F4D">
        <w:tc>
          <w:tcPr>
            <w:tcW w:w="10089" w:type="dxa"/>
          </w:tcPr>
          <w:p w:rsidR="004078BF" w:rsidRPr="001E1D9C" w:rsidRDefault="004078BF" w:rsidP="00974F4D">
            <w:pPr>
              <w:spacing w:before="80" w:line="280" w:lineRule="exact"/>
              <w:ind w:right="640"/>
              <w:rPr>
                <w:rFonts w:ascii="Tahoma" w:hAnsi="Tahoma" w:cs="Tahoma"/>
                <w:b/>
                <w:bCs/>
                <w:iCs/>
                <w:color w:val="243285"/>
                <w:sz w:val="32"/>
                <w:szCs w:val="32"/>
                <w:lang w:val="en-US"/>
              </w:rPr>
            </w:pPr>
          </w:p>
          <w:p w:rsidR="004078BF" w:rsidRPr="001E1D9C" w:rsidRDefault="004078BF" w:rsidP="00974F4D">
            <w:pPr>
              <w:spacing w:before="80" w:line="280" w:lineRule="exact"/>
              <w:ind w:right="640"/>
              <w:rPr>
                <w:rFonts w:ascii="Tahoma" w:hAnsi="Tahoma" w:cs="Tahoma"/>
                <w:b/>
                <w:bCs/>
                <w:iCs/>
                <w:color w:val="243285"/>
                <w:sz w:val="32"/>
                <w:szCs w:val="32"/>
                <w:lang w:val="en-US"/>
              </w:rPr>
            </w:pPr>
          </w:p>
          <w:p w:rsidR="004078BF" w:rsidRPr="001E1D9C" w:rsidRDefault="004078BF" w:rsidP="00974F4D">
            <w:pPr>
              <w:spacing w:before="80" w:after="180" w:line="360" w:lineRule="exact"/>
              <w:ind w:right="720"/>
              <w:rPr>
                <w:rFonts w:ascii="Tahoma" w:hAnsi="Tahoma" w:cs="Tahoma"/>
                <w:b/>
                <w:bCs/>
                <w:iCs/>
                <w:color w:val="243285"/>
                <w:sz w:val="36"/>
                <w:szCs w:val="36"/>
                <w:lang w:val="en-US"/>
              </w:rPr>
            </w:pPr>
          </w:p>
          <w:p w:rsidR="004078BF" w:rsidRPr="001511A6" w:rsidRDefault="004078BF" w:rsidP="00974F4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V</w:t>
            </w:r>
            <w:r w:rsidRPr="001511A6">
              <w:rPr>
                <w:rFonts w:ascii="Tahoma" w:hAnsi="Tahoma" w:cs="Tahoma"/>
                <w:b/>
                <w:bCs/>
                <w:iCs/>
                <w:color w:val="243285"/>
                <w:sz w:val="36"/>
                <w:szCs w:val="36"/>
                <w:lang w:val="en-US"/>
              </w:rPr>
              <w:t xml:space="preserve"> Series</w:t>
            </w:r>
          </w:p>
          <w:p w:rsidR="004078BF" w:rsidRPr="001511A6" w:rsidRDefault="004078BF" w:rsidP="00974F4D">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Vocabulary and related subjects</w:t>
            </w:r>
          </w:p>
        </w:tc>
      </w:tr>
    </w:tbl>
    <w:p w:rsidR="004078BF" w:rsidRDefault="004078BF" w:rsidP="004078BF">
      <w:pPr>
        <w:spacing w:before="80"/>
        <w:rPr>
          <w:i/>
          <w:sz w:val="22"/>
          <w:lang w:val="en-US"/>
        </w:rPr>
      </w:pPr>
    </w:p>
    <w:p w:rsidR="004078BF" w:rsidRDefault="004078BF" w:rsidP="004078BF">
      <w:pPr>
        <w:spacing w:before="80"/>
        <w:rPr>
          <w:i/>
          <w:sz w:val="22"/>
          <w:lang w:val="en-US"/>
        </w:rPr>
      </w:pPr>
    </w:p>
    <w:p w:rsidR="004078BF" w:rsidRDefault="004078BF" w:rsidP="004078BF">
      <w:pPr>
        <w:spacing w:before="80"/>
        <w:rPr>
          <w:i/>
          <w:sz w:val="22"/>
          <w:lang w:val="en-US"/>
        </w:rPr>
      </w:pPr>
    </w:p>
    <w:p w:rsidR="004078BF" w:rsidRDefault="004078BF" w:rsidP="004078BF">
      <w:pPr>
        <w:spacing w:before="80"/>
        <w:rPr>
          <w:i/>
          <w:sz w:val="22"/>
          <w:lang w:val="en-US"/>
        </w:rPr>
      </w:pPr>
    </w:p>
    <w:p w:rsidR="004078BF" w:rsidRDefault="004078BF" w:rsidP="004078BF">
      <w:pPr>
        <w:spacing w:before="80"/>
        <w:rPr>
          <w:i/>
          <w:sz w:val="22"/>
          <w:lang w:val="en-US"/>
        </w:rPr>
      </w:pPr>
    </w:p>
    <w:p w:rsidR="004078BF" w:rsidRDefault="004078BF" w:rsidP="004078BF">
      <w:pPr>
        <w:spacing w:before="80"/>
        <w:rPr>
          <w:i/>
          <w:sz w:val="22"/>
          <w:lang w:val="en-US"/>
        </w:rPr>
      </w:pPr>
    </w:p>
    <w:p w:rsidR="004078BF" w:rsidRDefault="004078BF" w:rsidP="004078BF">
      <w:pPr>
        <w:pStyle w:val="Equation"/>
        <w:tabs>
          <w:tab w:val="clear" w:pos="4820"/>
          <w:tab w:val="clear" w:pos="9639"/>
          <w:tab w:val="left" w:pos="1191"/>
          <w:tab w:val="left" w:pos="1588"/>
          <w:tab w:val="left" w:pos="1985"/>
        </w:tabs>
        <w:rPr>
          <w:rFonts w:ascii="Palatino Linotype" w:hAnsi="Palatino Linotype"/>
          <w:lang w:val="en-US"/>
        </w:rPr>
        <w:sectPr w:rsidR="004078BF">
          <w:headerReference w:type="even" r:id="rId7"/>
          <w:headerReference w:type="default" r:id="rId8"/>
          <w:pgSz w:w="11907" w:h="16840" w:code="9"/>
          <w:pgMar w:top="1089" w:right="1089" w:bottom="284" w:left="1089" w:header="567" w:footer="284" w:gutter="0"/>
          <w:pgNumType w:start="1"/>
          <w:cols w:space="720"/>
        </w:sectPr>
      </w:pPr>
    </w:p>
    <w:p w:rsidR="004078BF" w:rsidRPr="00586EF8" w:rsidRDefault="004078BF" w:rsidP="00407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078BF" w:rsidRDefault="004078BF" w:rsidP="004078B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078BF" w:rsidRDefault="004078BF" w:rsidP="004078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078BF" w:rsidRPr="00B714F3" w:rsidRDefault="004078BF" w:rsidP="004078BF">
      <w:pPr>
        <w:pStyle w:val="Heading1"/>
        <w:spacing w:before="680"/>
        <w:jc w:val="center"/>
        <w:rPr>
          <w:szCs w:val="24"/>
          <w:lang w:val="en-US"/>
        </w:rPr>
      </w:pPr>
      <w:r w:rsidRPr="00B714F3">
        <w:rPr>
          <w:szCs w:val="24"/>
          <w:lang w:val="en-US"/>
        </w:rPr>
        <w:t>Policy on Intellectual Property Right (IPR)</w:t>
      </w:r>
    </w:p>
    <w:p w:rsidR="004078BF" w:rsidRPr="00B714F3" w:rsidRDefault="004078BF" w:rsidP="004078B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078BF" w:rsidRDefault="004078BF" w:rsidP="004078BF">
      <w:pPr>
        <w:jc w:val="center"/>
        <w:rPr>
          <w:sz w:val="22"/>
          <w:lang w:val="en-US"/>
        </w:rPr>
      </w:pPr>
    </w:p>
    <w:p w:rsidR="004078BF" w:rsidRDefault="004078BF" w:rsidP="004078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078BF" w:rsidRPr="003978C4" w:rsidTr="00974F4D">
        <w:tc>
          <w:tcPr>
            <w:tcW w:w="9360" w:type="dxa"/>
            <w:gridSpan w:val="2"/>
          </w:tcPr>
          <w:p w:rsidR="004078BF" w:rsidRPr="00036EE3" w:rsidRDefault="004078BF" w:rsidP="00974F4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078BF" w:rsidRPr="00036EE3" w:rsidRDefault="004078BF"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4078BF" w:rsidRPr="00036EE3" w:rsidTr="00974F4D">
        <w:tc>
          <w:tcPr>
            <w:tcW w:w="1140" w:type="dxa"/>
            <w:tcBorders>
              <w:bottom w:val="nil"/>
            </w:tcBorders>
          </w:tcPr>
          <w:p w:rsidR="004078BF" w:rsidRPr="00036EE3" w:rsidRDefault="004078BF" w:rsidP="00974F4D">
            <w:pPr>
              <w:spacing w:before="200" w:after="100"/>
              <w:ind w:left="57"/>
              <w:rPr>
                <w:b/>
                <w:bCs/>
                <w:sz w:val="20"/>
                <w:lang w:val="en-US"/>
              </w:rPr>
            </w:pPr>
            <w:r w:rsidRPr="00036EE3">
              <w:rPr>
                <w:b/>
                <w:bCs/>
                <w:sz w:val="20"/>
                <w:lang w:val="en-US"/>
              </w:rPr>
              <w:t>Series</w:t>
            </w:r>
          </w:p>
        </w:tc>
        <w:tc>
          <w:tcPr>
            <w:tcW w:w="8220" w:type="dxa"/>
            <w:tcBorders>
              <w:bottom w:val="nil"/>
            </w:tcBorders>
          </w:tcPr>
          <w:p w:rsidR="004078BF" w:rsidRPr="00036EE3" w:rsidRDefault="004078BF"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078BF" w:rsidRPr="00A4173A" w:rsidTr="00974F4D">
        <w:tc>
          <w:tcPr>
            <w:tcW w:w="1140" w:type="dxa"/>
            <w:tcBorders>
              <w:top w:val="nil"/>
              <w:bottom w:val="nil"/>
            </w:tcBorders>
            <w:shd w:val="clear" w:color="auto" w:fill="auto"/>
          </w:tcPr>
          <w:p w:rsidR="004078BF" w:rsidRPr="00A4173A" w:rsidRDefault="004078BF" w:rsidP="00974F4D">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4078BF" w:rsidRPr="00A4173A" w:rsidRDefault="004078BF"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4078BF" w:rsidRPr="003978C4" w:rsidTr="00974F4D">
        <w:tc>
          <w:tcPr>
            <w:tcW w:w="1140" w:type="dxa"/>
            <w:tcBorders>
              <w:top w:val="nil"/>
            </w:tcBorders>
          </w:tcPr>
          <w:p w:rsidR="004078BF" w:rsidRPr="00036EE3" w:rsidRDefault="004078BF" w:rsidP="00974F4D">
            <w:pPr>
              <w:spacing w:before="30" w:after="30"/>
              <w:ind w:left="57"/>
              <w:jc w:val="left"/>
              <w:rPr>
                <w:b/>
                <w:bCs/>
                <w:sz w:val="20"/>
                <w:lang w:val="en-US"/>
              </w:rPr>
            </w:pPr>
            <w:r w:rsidRPr="00036EE3">
              <w:rPr>
                <w:b/>
                <w:bCs/>
                <w:sz w:val="20"/>
                <w:lang w:val="en-US"/>
              </w:rPr>
              <w:t>BR</w:t>
            </w:r>
          </w:p>
        </w:tc>
        <w:tc>
          <w:tcPr>
            <w:tcW w:w="8220" w:type="dxa"/>
            <w:tcBorders>
              <w:top w:val="nil"/>
            </w:tcBorders>
          </w:tcPr>
          <w:p w:rsidR="004078BF" w:rsidRPr="00036EE3" w:rsidRDefault="004078BF"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078BF" w:rsidRPr="00036EE3" w:rsidTr="00974F4D">
        <w:tc>
          <w:tcPr>
            <w:tcW w:w="1140" w:type="dxa"/>
          </w:tcPr>
          <w:p w:rsidR="004078BF" w:rsidRPr="00036EE3" w:rsidRDefault="004078BF" w:rsidP="00974F4D">
            <w:pPr>
              <w:spacing w:before="30" w:after="30"/>
              <w:ind w:left="57"/>
              <w:jc w:val="left"/>
              <w:rPr>
                <w:b/>
                <w:bCs/>
                <w:sz w:val="20"/>
                <w:lang w:val="en-US"/>
              </w:rPr>
            </w:pPr>
            <w:r w:rsidRPr="00036EE3">
              <w:rPr>
                <w:b/>
                <w:bCs/>
                <w:sz w:val="20"/>
                <w:lang w:val="en-US"/>
              </w:rPr>
              <w:t>BS</w:t>
            </w:r>
          </w:p>
        </w:tc>
        <w:tc>
          <w:tcPr>
            <w:tcW w:w="8220" w:type="dxa"/>
          </w:tcPr>
          <w:p w:rsidR="004078BF" w:rsidRPr="00036EE3" w:rsidRDefault="004078BF"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078BF" w:rsidRPr="00ED2695" w:rsidTr="00974F4D">
        <w:tc>
          <w:tcPr>
            <w:tcW w:w="1140" w:type="dxa"/>
            <w:shd w:val="clear" w:color="auto" w:fill="auto"/>
          </w:tcPr>
          <w:p w:rsidR="004078BF" w:rsidRPr="00ED2695" w:rsidRDefault="004078BF" w:rsidP="00974F4D">
            <w:pPr>
              <w:spacing w:before="30" w:after="30"/>
              <w:ind w:left="57"/>
              <w:jc w:val="left"/>
              <w:rPr>
                <w:b/>
                <w:bCs/>
                <w:sz w:val="20"/>
                <w:lang w:val="en-US"/>
              </w:rPr>
            </w:pPr>
            <w:r w:rsidRPr="00ED2695">
              <w:rPr>
                <w:b/>
                <w:bCs/>
                <w:sz w:val="20"/>
                <w:lang w:val="en-US"/>
              </w:rPr>
              <w:t>BT</w:t>
            </w:r>
          </w:p>
        </w:tc>
        <w:tc>
          <w:tcPr>
            <w:tcW w:w="8220" w:type="dxa"/>
            <w:shd w:val="clear" w:color="auto" w:fill="auto"/>
          </w:tcPr>
          <w:p w:rsidR="004078BF" w:rsidRPr="00ED2695" w:rsidRDefault="004078BF"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078BF" w:rsidRPr="00036EE3" w:rsidTr="00974F4D">
        <w:tc>
          <w:tcPr>
            <w:tcW w:w="1140" w:type="dxa"/>
            <w:shd w:val="clear" w:color="auto" w:fill="auto"/>
          </w:tcPr>
          <w:p w:rsidR="004078BF" w:rsidRPr="00036EE3" w:rsidRDefault="004078BF" w:rsidP="00974F4D">
            <w:pPr>
              <w:spacing w:before="30" w:after="30"/>
              <w:ind w:left="57"/>
              <w:jc w:val="left"/>
              <w:rPr>
                <w:b/>
                <w:bCs/>
                <w:sz w:val="20"/>
                <w:lang w:val="fr-CH"/>
              </w:rPr>
            </w:pPr>
            <w:r w:rsidRPr="00036EE3">
              <w:rPr>
                <w:b/>
                <w:bCs/>
                <w:sz w:val="20"/>
                <w:lang w:val="fr-CH"/>
              </w:rPr>
              <w:t>F</w:t>
            </w:r>
          </w:p>
        </w:tc>
        <w:tc>
          <w:tcPr>
            <w:tcW w:w="8220" w:type="dxa"/>
            <w:shd w:val="clear" w:color="auto" w:fill="auto"/>
          </w:tcPr>
          <w:p w:rsidR="004078BF" w:rsidRPr="00036EE3" w:rsidRDefault="004078BF"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078BF" w:rsidRPr="00036EE3" w:rsidTr="00974F4D">
        <w:tc>
          <w:tcPr>
            <w:tcW w:w="1140" w:type="dxa"/>
            <w:shd w:val="clear" w:color="auto" w:fill="auto"/>
          </w:tcPr>
          <w:p w:rsidR="004078BF" w:rsidRPr="00906589" w:rsidRDefault="004078BF" w:rsidP="00974F4D">
            <w:pPr>
              <w:spacing w:before="30" w:after="30"/>
              <w:ind w:left="57"/>
              <w:jc w:val="left"/>
              <w:rPr>
                <w:b/>
                <w:bCs/>
                <w:sz w:val="20"/>
                <w:lang w:val="en-US"/>
              </w:rPr>
            </w:pPr>
            <w:r w:rsidRPr="00906589">
              <w:rPr>
                <w:b/>
                <w:bCs/>
                <w:sz w:val="20"/>
                <w:lang w:val="en-US"/>
              </w:rPr>
              <w:t>M</w:t>
            </w:r>
          </w:p>
        </w:tc>
        <w:tc>
          <w:tcPr>
            <w:tcW w:w="8220" w:type="dxa"/>
            <w:shd w:val="clear" w:color="auto" w:fill="auto"/>
          </w:tcPr>
          <w:p w:rsidR="004078BF" w:rsidRPr="00906589" w:rsidRDefault="004078BF"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4078BF" w:rsidRPr="00036EE3" w:rsidTr="00974F4D">
        <w:tc>
          <w:tcPr>
            <w:tcW w:w="1140" w:type="dxa"/>
          </w:tcPr>
          <w:p w:rsidR="004078BF" w:rsidRPr="00036EE3" w:rsidRDefault="004078BF" w:rsidP="00974F4D">
            <w:pPr>
              <w:spacing w:before="30" w:after="30"/>
              <w:ind w:left="57"/>
              <w:jc w:val="left"/>
              <w:rPr>
                <w:b/>
                <w:bCs/>
                <w:sz w:val="20"/>
                <w:lang w:val="fr-CH"/>
              </w:rPr>
            </w:pPr>
            <w:r w:rsidRPr="00036EE3">
              <w:rPr>
                <w:b/>
                <w:bCs/>
                <w:sz w:val="20"/>
                <w:lang w:val="fr-CH"/>
              </w:rPr>
              <w:t>P</w:t>
            </w:r>
          </w:p>
        </w:tc>
        <w:tc>
          <w:tcPr>
            <w:tcW w:w="8220" w:type="dxa"/>
          </w:tcPr>
          <w:p w:rsidR="004078BF" w:rsidRPr="00036EE3" w:rsidRDefault="004078BF" w:rsidP="00974F4D">
            <w:pPr>
              <w:spacing w:before="30" w:after="30"/>
              <w:jc w:val="left"/>
              <w:rPr>
                <w:sz w:val="20"/>
                <w:lang w:val="fr-CH"/>
              </w:rPr>
            </w:pPr>
            <w:r w:rsidRPr="00036EE3">
              <w:rPr>
                <w:sz w:val="20"/>
                <w:lang w:val="fr-CH"/>
              </w:rPr>
              <w:t>Radiowave propagation</w:t>
            </w:r>
          </w:p>
        </w:tc>
      </w:tr>
      <w:tr w:rsidR="004078BF" w:rsidRPr="00036EE3" w:rsidTr="00974F4D">
        <w:tc>
          <w:tcPr>
            <w:tcW w:w="1140" w:type="dxa"/>
          </w:tcPr>
          <w:p w:rsidR="004078BF" w:rsidRPr="00036EE3" w:rsidRDefault="004078BF" w:rsidP="00974F4D">
            <w:pPr>
              <w:spacing w:before="30" w:after="30"/>
              <w:ind w:left="57"/>
              <w:jc w:val="left"/>
              <w:rPr>
                <w:b/>
                <w:bCs/>
                <w:sz w:val="20"/>
                <w:lang w:val="en-US"/>
              </w:rPr>
            </w:pPr>
            <w:r w:rsidRPr="00036EE3">
              <w:rPr>
                <w:b/>
                <w:bCs/>
                <w:sz w:val="20"/>
                <w:lang w:val="en-US"/>
              </w:rPr>
              <w:t>RA</w:t>
            </w:r>
          </w:p>
        </w:tc>
        <w:tc>
          <w:tcPr>
            <w:tcW w:w="8220" w:type="dxa"/>
          </w:tcPr>
          <w:p w:rsidR="004078BF" w:rsidRPr="00036EE3" w:rsidRDefault="004078BF"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078BF" w:rsidRPr="00036EE3" w:rsidTr="00974F4D">
        <w:tc>
          <w:tcPr>
            <w:tcW w:w="1140" w:type="dxa"/>
          </w:tcPr>
          <w:p w:rsidR="004078BF" w:rsidRPr="00036EE3" w:rsidRDefault="004078BF" w:rsidP="00974F4D">
            <w:pPr>
              <w:spacing w:before="30" w:after="30"/>
              <w:ind w:left="57"/>
              <w:jc w:val="left"/>
              <w:rPr>
                <w:b/>
                <w:bCs/>
                <w:sz w:val="20"/>
                <w:lang w:val="en-US"/>
              </w:rPr>
            </w:pPr>
            <w:r w:rsidRPr="00036EE3">
              <w:rPr>
                <w:b/>
                <w:bCs/>
                <w:sz w:val="20"/>
                <w:lang w:val="en-US"/>
              </w:rPr>
              <w:t>RS</w:t>
            </w:r>
          </w:p>
        </w:tc>
        <w:tc>
          <w:tcPr>
            <w:tcW w:w="8220" w:type="dxa"/>
          </w:tcPr>
          <w:p w:rsidR="004078BF" w:rsidRPr="00036EE3" w:rsidRDefault="004078BF"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078BF" w:rsidRPr="00036EE3" w:rsidTr="00974F4D">
        <w:tc>
          <w:tcPr>
            <w:tcW w:w="1140" w:type="dxa"/>
            <w:tcBorders>
              <w:bottom w:val="nil"/>
            </w:tcBorders>
          </w:tcPr>
          <w:p w:rsidR="004078BF" w:rsidRPr="00036EE3" w:rsidRDefault="004078BF" w:rsidP="00974F4D">
            <w:pPr>
              <w:spacing w:before="30" w:after="30"/>
              <w:ind w:left="57"/>
              <w:jc w:val="left"/>
              <w:rPr>
                <w:b/>
                <w:bCs/>
                <w:sz w:val="20"/>
                <w:lang w:val="en-US"/>
              </w:rPr>
            </w:pPr>
            <w:r w:rsidRPr="00036EE3">
              <w:rPr>
                <w:b/>
                <w:bCs/>
                <w:sz w:val="20"/>
                <w:lang w:val="en-US"/>
              </w:rPr>
              <w:t>S</w:t>
            </w:r>
          </w:p>
        </w:tc>
        <w:tc>
          <w:tcPr>
            <w:tcW w:w="8220" w:type="dxa"/>
            <w:tcBorders>
              <w:bottom w:val="nil"/>
            </w:tcBorders>
          </w:tcPr>
          <w:p w:rsidR="004078BF" w:rsidRPr="00036EE3" w:rsidRDefault="004078BF" w:rsidP="00974F4D">
            <w:pPr>
              <w:spacing w:before="30" w:after="30"/>
              <w:jc w:val="left"/>
              <w:rPr>
                <w:sz w:val="20"/>
                <w:lang w:val="en-US"/>
              </w:rPr>
            </w:pPr>
            <w:r w:rsidRPr="00036EE3">
              <w:rPr>
                <w:sz w:val="20"/>
                <w:lang w:val="en-US"/>
              </w:rPr>
              <w:t>Fixed-satellite service</w:t>
            </w:r>
          </w:p>
        </w:tc>
      </w:tr>
      <w:tr w:rsidR="004078BF" w:rsidRPr="00A84B4E" w:rsidTr="00974F4D">
        <w:tc>
          <w:tcPr>
            <w:tcW w:w="1140" w:type="dxa"/>
            <w:tcBorders>
              <w:top w:val="nil"/>
              <w:bottom w:val="nil"/>
            </w:tcBorders>
            <w:shd w:val="clear" w:color="auto" w:fill="auto"/>
          </w:tcPr>
          <w:p w:rsidR="004078BF" w:rsidRPr="00A84B4E" w:rsidRDefault="004078BF" w:rsidP="00974F4D">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4078BF" w:rsidRPr="00A84B4E" w:rsidRDefault="004078BF" w:rsidP="00974F4D">
            <w:pPr>
              <w:spacing w:before="30" w:after="30"/>
              <w:jc w:val="left"/>
              <w:rPr>
                <w:sz w:val="20"/>
                <w:lang w:val="en-US"/>
              </w:rPr>
            </w:pPr>
            <w:r w:rsidRPr="00A84B4E">
              <w:rPr>
                <w:sz w:val="20"/>
                <w:lang w:val="en-US"/>
              </w:rPr>
              <w:t>Space applications and meteorology</w:t>
            </w:r>
          </w:p>
        </w:tc>
      </w:tr>
      <w:tr w:rsidR="004078BF" w:rsidRPr="003978C4" w:rsidTr="00974F4D">
        <w:tc>
          <w:tcPr>
            <w:tcW w:w="1140" w:type="dxa"/>
            <w:tcBorders>
              <w:top w:val="nil"/>
              <w:bottom w:val="nil"/>
            </w:tcBorders>
            <w:shd w:val="clear" w:color="auto" w:fill="auto"/>
          </w:tcPr>
          <w:p w:rsidR="004078BF" w:rsidRPr="00406B1A" w:rsidRDefault="004078BF" w:rsidP="00974F4D">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rsidR="004078BF" w:rsidRPr="00406B1A" w:rsidRDefault="004078BF" w:rsidP="00974F4D">
            <w:pPr>
              <w:spacing w:before="30" w:after="30"/>
              <w:jc w:val="left"/>
              <w:rPr>
                <w:sz w:val="20"/>
                <w:lang w:val="en-US"/>
              </w:rPr>
            </w:pPr>
            <w:r w:rsidRPr="00406B1A">
              <w:rPr>
                <w:sz w:val="20"/>
                <w:lang w:val="en-US"/>
              </w:rPr>
              <w:t>Frequency sharing and coordination between fixed-satellite and fixed service systems</w:t>
            </w:r>
          </w:p>
        </w:tc>
      </w:tr>
      <w:tr w:rsidR="004078BF" w:rsidRPr="00036EE3" w:rsidTr="00974F4D">
        <w:tc>
          <w:tcPr>
            <w:tcW w:w="1140" w:type="dxa"/>
            <w:tcBorders>
              <w:top w:val="nil"/>
              <w:bottom w:val="nil"/>
            </w:tcBorders>
            <w:shd w:val="clear" w:color="auto" w:fill="auto"/>
          </w:tcPr>
          <w:p w:rsidR="004078BF" w:rsidRPr="001B164E" w:rsidRDefault="004078BF" w:rsidP="00974F4D">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4078BF" w:rsidRPr="001B164E" w:rsidRDefault="004078BF" w:rsidP="00974F4D">
            <w:pPr>
              <w:spacing w:before="30" w:after="30"/>
              <w:jc w:val="left"/>
              <w:rPr>
                <w:rFonts w:hAnsi="Times New Roman Bold"/>
                <w:sz w:val="20"/>
                <w:lang w:val="en-US"/>
              </w:rPr>
            </w:pPr>
            <w:r w:rsidRPr="001B164E">
              <w:rPr>
                <w:rFonts w:hAnsi="Times New Roman Bold"/>
                <w:sz w:val="20"/>
                <w:lang w:val="en-US"/>
              </w:rPr>
              <w:t>Spectrum management</w:t>
            </w:r>
          </w:p>
        </w:tc>
      </w:tr>
      <w:tr w:rsidR="004078BF" w:rsidRPr="00632D21" w:rsidTr="00974F4D">
        <w:tc>
          <w:tcPr>
            <w:tcW w:w="1140" w:type="dxa"/>
            <w:tcBorders>
              <w:top w:val="nil"/>
              <w:bottom w:val="nil"/>
            </w:tcBorders>
            <w:shd w:val="clear" w:color="auto" w:fill="auto"/>
          </w:tcPr>
          <w:p w:rsidR="004078BF" w:rsidRPr="00632D21" w:rsidRDefault="004078BF" w:rsidP="00974F4D">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rsidR="004078BF" w:rsidRPr="00632D21" w:rsidRDefault="004078BF" w:rsidP="00974F4D">
            <w:pPr>
              <w:spacing w:before="30" w:after="30"/>
              <w:jc w:val="left"/>
              <w:rPr>
                <w:sz w:val="20"/>
                <w:lang w:val="en-US"/>
              </w:rPr>
            </w:pPr>
            <w:r w:rsidRPr="00632D21">
              <w:rPr>
                <w:sz w:val="20"/>
                <w:lang w:val="en-US"/>
              </w:rPr>
              <w:t>Satellite news gathering</w:t>
            </w:r>
          </w:p>
        </w:tc>
      </w:tr>
      <w:tr w:rsidR="004078BF" w:rsidRPr="003978C4" w:rsidTr="00974F4D">
        <w:tc>
          <w:tcPr>
            <w:tcW w:w="1140" w:type="dxa"/>
            <w:tcBorders>
              <w:top w:val="nil"/>
              <w:bottom w:val="nil"/>
            </w:tcBorders>
            <w:shd w:val="clear" w:color="auto" w:fill="auto"/>
          </w:tcPr>
          <w:p w:rsidR="004078BF" w:rsidRPr="00DE7D89" w:rsidRDefault="004078BF" w:rsidP="00974F4D">
            <w:pPr>
              <w:spacing w:before="30" w:after="30"/>
              <w:ind w:left="57"/>
              <w:jc w:val="left"/>
              <w:rPr>
                <w:b/>
                <w:bCs/>
                <w:sz w:val="20"/>
                <w:lang w:val="en-US"/>
              </w:rPr>
            </w:pPr>
            <w:r w:rsidRPr="00DE7D89">
              <w:rPr>
                <w:b/>
                <w:bCs/>
                <w:sz w:val="20"/>
                <w:lang w:val="en-US"/>
              </w:rPr>
              <w:t>TF</w:t>
            </w:r>
          </w:p>
        </w:tc>
        <w:tc>
          <w:tcPr>
            <w:tcW w:w="8220" w:type="dxa"/>
            <w:tcBorders>
              <w:top w:val="nil"/>
              <w:bottom w:val="nil"/>
            </w:tcBorders>
            <w:shd w:val="clear" w:color="auto" w:fill="auto"/>
          </w:tcPr>
          <w:p w:rsidR="004078BF" w:rsidRPr="00DE7D89" w:rsidRDefault="004078BF" w:rsidP="00974F4D">
            <w:pPr>
              <w:spacing w:before="30" w:after="30"/>
              <w:jc w:val="left"/>
              <w:rPr>
                <w:sz w:val="20"/>
                <w:lang w:val="en-US"/>
              </w:rPr>
            </w:pPr>
            <w:r w:rsidRPr="00DE7D89">
              <w:rPr>
                <w:sz w:val="20"/>
                <w:lang w:val="en-US"/>
              </w:rPr>
              <w:t>Time signals and frequency standards emissions</w:t>
            </w:r>
          </w:p>
        </w:tc>
      </w:tr>
      <w:tr w:rsidR="004078BF" w:rsidRPr="00DE7D89" w:rsidTr="00974F4D">
        <w:tc>
          <w:tcPr>
            <w:tcW w:w="1140" w:type="dxa"/>
            <w:tcBorders>
              <w:top w:val="nil"/>
              <w:bottom w:val="single" w:sz="12" w:space="0" w:color="000080"/>
            </w:tcBorders>
            <w:shd w:val="clear" w:color="auto" w:fill="F3F3F3"/>
          </w:tcPr>
          <w:p w:rsidR="004078BF" w:rsidRPr="00DE7D89" w:rsidRDefault="004078BF" w:rsidP="00974F4D">
            <w:pPr>
              <w:spacing w:before="30" w:after="30"/>
              <w:ind w:left="57"/>
              <w:jc w:val="left"/>
              <w:rPr>
                <w:b/>
                <w:bCs/>
                <w:color w:val="000080"/>
                <w:sz w:val="20"/>
                <w:lang w:val="en-US"/>
              </w:rPr>
            </w:pPr>
            <w:r w:rsidRPr="00DE7D89">
              <w:rPr>
                <w:b/>
                <w:bCs/>
                <w:color w:val="000080"/>
                <w:sz w:val="20"/>
                <w:lang w:val="en-US"/>
              </w:rPr>
              <w:t>V</w:t>
            </w:r>
          </w:p>
        </w:tc>
        <w:tc>
          <w:tcPr>
            <w:tcW w:w="8220" w:type="dxa"/>
            <w:tcBorders>
              <w:top w:val="nil"/>
              <w:bottom w:val="single" w:sz="12" w:space="0" w:color="000080"/>
            </w:tcBorders>
            <w:shd w:val="clear" w:color="auto" w:fill="F3F3F3"/>
          </w:tcPr>
          <w:p w:rsidR="004078BF" w:rsidRPr="00DE7D89" w:rsidRDefault="004078BF" w:rsidP="00974F4D">
            <w:pPr>
              <w:spacing w:before="30" w:after="180"/>
              <w:jc w:val="left"/>
              <w:rPr>
                <w:b/>
                <w:bCs/>
                <w:color w:val="000080"/>
                <w:sz w:val="20"/>
                <w:lang w:val="en-US"/>
              </w:rPr>
            </w:pPr>
            <w:r w:rsidRPr="00DE7D89">
              <w:rPr>
                <w:b/>
                <w:bCs/>
                <w:color w:val="000080"/>
                <w:sz w:val="20"/>
                <w:lang w:val="en-US"/>
              </w:rPr>
              <w:t>Vocabulary and related subjects</w:t>
            </w:r>
          </w:p>
        </w:tc>
      </w:tr>
    </w:tbl>
    <w:p w:rsidR="004078BF" w:rsidRPr="00036EE3" w:rsidRDefault="004078BF" w:rsidP="004078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078BF" w:rsidTr="00974F4D">
        <w:tc>
          <w:tcPr>
            <w:tcW w:w="720" w:type="dxa"/>
          </w:tcPr>
          <w:p w:rsidR="004078BF" w:rsidRDefault="004078BF" w:rsidP="00974F4D">
            <w:pPr>
              <w:jc w:val="center"/>
              <w:rPr>
                <w:sz w:val="22"/>
                <w:lang w:val="en-US"/>
              </w:rPr>
            </w:pPr>
          </w:p>
        </w:tc>
      </w:tr>
    </w:tbl>
    <w:p w:rsidR="004078BF" w:rsidRPr="00036EE3" w:rsidRDefault="004078BF" w:rsidP="004078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078BF" w:rsidRPr="003978C4" w:rsidTr="00974F4D">
        <w:tc>
          <w:tcPr>
            <w:tcW w:w="9360" w:type="dxa"/>
          </w:tcPr>
          <w:p w:rsidR="004078BF" w:rsidRPr="002F5199" w:rsidRDefault="004078BF" w:rsidP="00974F4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078BF" w:rsidRDefault="004078BF" w:rsidP="004078BF">
      <w:pPr>
        <w:spacing w:before="0"/>
        <w:jc w:val="center"/>
        <w:rPr>
          <w:sz w:val="22"/>
          <w:lang w:val="en-US"/>
        </w:rPr>
      </w:pPr>
    </w:p>
    <w:p w:rsidR="004078BF" w:rsidRDefault="004078BF" w:rsidP="004078BF">
      <w:pPr>
        <w:spacing w:before="0"/>
        <w:jc w:val="center"/>
        <w:rPr>
          <w:sz w:val="22"/>
          <w:lang w:val="en-US"/>
        </w:rPr>
      </w:pPr>
    </w:p>
    <w:p w:rsidR="004078BF" w:rsidRPr="002F5199" w:rsidRDefault="004078BF" w:rsidP="004078BF">
      <w:pPr>
        <w:spacing w:before="0"/>
        <w:jc w:val="right"/>
        <w:rPr>
          <w:i/>
          <w:iCs/>
          <w:sz w:val="20"/>
          <w:lang w:val="en-US"/>
        </w:rPr>
      </w:pPr>
      <w:r w:rsidRPr="002F5199">
        <w:rPr>
          <w:i/>
          <w:iCs/>
          <w:sz w:val="20"/>
          <w:lang w:val="en-US"/>
        </w:rPr>
        <w:t>Electronic Publication</w:t>
      </w:r>
    </w:p>
    <w:p w:rsidR="004078BF" w:rsidRPr="002F5199" w:rsidRDefault="004078BF" w:rsidP="004078BF">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4078BF" w:rsidRDefault="004078BF" w:rsidP="004078BF">
      <w:pPr>
        <w:jc w:val="center"/>
        <w:rPr>
          <w:sz w:val="22"/>
          <w:lang w:val="en-US"/>
        </w:rPr>
      </w:pPr>
    </w:p>
    <w:p w:rsidR="004078BF" w:rsidRPr="00470E28" w:rsidRDefault="004078BF" w:rsidP="004078B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4078BF" w:rsidRPr="00470E28" w:rsidRDefault="004078BF" w:rsidP="004078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078BF" w:rsidRDefault="004078BF" w:rsidP="004078BF">
      <w:pPr>
        <w:spacing w:before="160"/>
        <w:rPr>
          <w:i/>
          <w:sz w:val="20"/>
          <w:lang w:val="en-US"/>
        </w:rPr>
        <w:sectPr w:rsidR="004078BF"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078BF" w:rsidRPr="00BF487A" w:rsidRDefault="004078BF" w:rsidP="004078BF">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V</w:t>
      </w:r>
      <w:r w:rsidRPr="00BF487A">
        <w:rPr>
          <w:rStyle w:val="href"/>
          <w:lang w:val="en-US"/>
        </w:rPr>
        <w:t>.</w:t>
      </w:r>
      <w:r>
        <w:rPr>
          <w:rStyle w:val="href"/>
          <w:lang w:val="en-US"/>
        </w:rPr>
        <w:t>665-3</w:t>
      </w:r>
    </w:p>
    <w:p w:rsidR="00163B6A" w:rsidRDefault="00163B6A" w:rsidP="00163B6A">
      <w:pPr>
        <w:pStyle w:val="Rectitle"/>
      </w:pPr>
      <w:bookmarkStart w:id="4" w:name="dbreak"/>
      <w:bookmarkEnd w:id="4"/>
      <w:r w:rsidRPr="000178B3">
        <w:rPr>
          <w:lang w:eastAsia="zh-CN"/>
        </w:rPr>
        <w:t>Traffic intensity unit</w:t>
      </w:r>
    </w:p>
    <w:p w:rsidR="004078BF" w:rsidRPr="007256D3" w:rsidRDefault="004078BF" w:rsidP="004078BF">
      <w:pPr>
        <w:pStyle w:val="Recdate"/>
      </w:pPr>
      <w:r w:rsidRPr="007256D3">
        <w:t>(</w:t>
      </w:r>
      <w:r w:rsidRPr="000178B3">
        <w:t>1986-1990-2000-2015</w:t>
      </w:r>
      <w:r w:rsidRPr="007256D3">
        <w:t>)</w:t>
      </w:r>
    </w:p>
    <w:p w:rsidR="004078BF" w:rsidRPr="001E0A51" w:rsidRDefault="004078BF" w:rsidP="004078BF">
      <w:pPr>
        <w:pStyle w:val="HeadingSum"/>
        <w:rPr>
          <w:szCs w:val="22"/>
          <w:lang w:val="en-US"/>
        </w:rPr>
      </w:pPr>
      <w:r w:rsidRPr="001E0A51">
        <w:rPr>
          <w:szCs w:val="22"/>
          <w:lang w:val="en-US"/>
        </w:rPr>
        <w:t>Scope</w:t>
      </w:r>
    </w:p>
    <w:p w:rsidR="004078BF" w:rsidRPr="001E0A51" w:rsidRDefault="004078BF" w:rsidP="004078BF">
      <w:pPr>
        <w:pStyle w:val="Summary"/>
        <w:rPr>
          <w:szCs w:val="22"/>
          <w:lang w:val="en-US"/>
        </w:rPr>
      </w:pPr>
      <w:r w:rsidRPr="001E0A51">
        <w:rPr>
          <w:szCs w:val="22"/>
          <w:lang w:val="en-US"/>
        </w:rPr>
        <w:t>This Recommendation defines the variable “traffic intensity” and the unit used: the erlang (E).</w:t>
      </w:r>
    </w:p>
    <w:p w:rsidR="004078BF" w:rsidRPr="004078BF" w:rsidRDefault="004078BF" w:rsidP="004078BF">
      <w:pPr>
        <w:pStyle w:val="Headingb"/>
        <w:rPr>
          <w:lang w:val="en-US"/>
        </w:rPr>
      </w:pPr>
      <w:r w:rsidRPr="004078BF">
        <w:rPr>
          <w:lang w:val="en-US"/>
        </w:rPr>
        <w:t>Keywords</w:t>
      </w:r>
    </w:p>
    <w:p w:rsidR="004078BF" w:rsidRPr="004078BF" w:rsidRDefault="004078BF" w:rsidP="004078BF">
      <w:pPr>
        <w:rPr>
          <w:lang w:val="en-US" w:eastAsia="ja-JP"/>
        </w:rPr>
      </w:pPr>
      <w:r>
        <w:rPr>
          <w:lang w:val="en-US" w:eastAsia="ja-JP"/>
        </w:rPr>
        <w:t>T</w:t>
      </w:r>
      <w:r w:rsidRPr="001E0A51">
        <w:rPr>
          <w:lang w:val="en-US" w:eastAsia="ja-JP"/>
        </w:rPr>
        <w:t>raffic intensity</w:t>
      </w:r>
      <w:r>
        <w:rPr>
          <w:lang w:val="en-US" w:eastAsia="ja-JP"/>
        </w:rPr>
        <w:t xml:space="preserve">, </w:t>
      </w:r>
      <w:r w:rsidRPr="001E0A51">
        <w:rPr>
          <w:lang w:val="en-US" w:eastAsia="ja-JP"/>
        </w:rPr>
        <w:t>erlang</w:t>
      </w:r>
    </w:p>
    <w:p w:rsidR="004078BF" w:rsidRPr="004078BF" w:rsidRDefault="004078BF" w:rsidP="004078BF">
      <w:pPr>
        <w:pStyle w:val="Headingb"/>
        <w:rPr>
          <w:lang w:val="en-US"/>
        </w:rPr>
      </w:pPr>
      <w:bookmarkStart w:id="5" w:name="_Toc368428505"/>
      <w:bookmarkStart w:id="6" w:name="_Toc368428583"/>
      <w:bookmarkStart w:id="7" w:name="_Toc368430174"/>
      <w:bookmarkStart w:id="8" w:name="_Toc369007123"/>
      <w:r w:rsidRPr="004078BF">
        <w:rPr>
          <w:lang w:val="en-US"/>
        </w:rPr>
        <w:t>Related ITU Recommendation</w:t>
      </w:r>
      <w:bookmarkEnd w:id="5"/>
      <w:bookmarkEnd w:id="6"/>
      <w:bookmarkEnd w:id="7"/>
      <w:bookmarkEnd w:id="8"/>
      <w:r w:rsidRPr="004078BF">
        <w:rPr>
          <w:lang w:val="en-US"/>
        </w:rPr>
        <w:t>s</w:t>
      </w:r>
    </w:p>
    <w:p w:rsidR="004078BF" w:rsidRPr="004078BF" w:rsidRDefault="004078BF" w:rsidP="00163B6A">
      <w:pPr>
        <w:pStyle w:val="enumlev1"/>
        <w:ind w:left="3345" w:hanging="3345"/>
        <w:rPr>
          <w:lang w:val="en-US"/>
        </w:rPr>
      </w:pPr>
      <w:r w:rsidRPr="004078BF">
        <w:rPr>
          <w:lang w:val="en-US"/>
        </w:rPr>
        <w:t>Recommendation ITU-R V.430-</w:t>
      </w:r>
      <w:r w:rsidR="00163B6A">
        <w:rPr>
          <w:lang w:val="en-US"/>
        </w:rPr>
        <w:t>4</w:t>
      </w:r>
      <w:r w:rsidRPr="004078BF">
        <w:rPr>
          <w:lang w:val="en-US"/>
        </w:rPr>
        <w:tab/>
        <w:t>Use of the international system of units (SI)</w:t>
      </w:r>
    </w:p>
    <w:p w:rsidR="004078BF" w:rsidRPr="004078BF" w:rsidRDefault="004078BF" w:rsidP="00163B6A">
      <w:pPr>
        <w:pStyle w:val="enumlev1"/>
        <w:ind w:left="3345" w:hanging="3345"/>
        <w:rPr>
          <w:lang w:val="en-US"/>
        </w:rPr>
      </w:pPr>
      <w:r w:rsidRPr="004078BF">
        <w:rPr>
          <w:lang w:val="en-US"/>
        </w:rPr>
        <w:t>Recommendation ITU-R V.431-</w:t>
      </w:r>
      <w:r w:rsidR="00163B6A">
        <w:rPr>
          <w:lang w:val="en-US"/>
        </w:rPr>
        <w:t>8</w:t>
      </w:r>
      <w:r w:rsidRPr="004078BF">
        <w:rPr>
          <w:lang w:val="en-US"/>
        </w:rPr>
        <w:tab/>
        <w:t>Nomenclature of the frequency and wavelength bands used in telecommunications</w:t>
      </w:r>
    </w:p>
    <w:p w:rsidR="004078BF" w:rsidRPr="00282E6B" w:rsidRDefault="004078BF" w:rsidP="00163B6A">
      <w:pPr>
        <w:pStyle w:val="enumlev1"/>
        <w:ind w:left="3345" w:hanging="3345"/>
        <w:rPr>
          <w:lang w:val="fr-CH"/>
        </w:rPr>
      </w:pPr>
      <w:r w:rsidRPr="00282E6B">
        <w:rPr>
          <w:lang w:val="fr-CH"/>
        </w:rPr>
        <w:t>Recommendation ITU-R V.573-</w:t>
      </w:r>
      <w:r w:rsidR="00163B6A">
        <w:rPr>
          <w:lang w:val="fr-CH"/>
        </w:rPr>
        <w:t>6</w:t>
      </w:r>
      <w:r w:rsidRPr="00282E6B">
        <w:rPr>
          <w:lang w:val="fr-CH"/>
        </w:rPr>
        <w:tab/>
      </w:r>
      <w:r w:rsidRPr="00282E6B">
        <w:t>Radiocommunication vocabulary</w:t>
      </w:r>
    </w:p>
    <w:p w:rsidR="004078BF" w:rsidRPr="004078BF" w:rsidRDefault="004078BF" w:rsidP="00163B6A">
      <w:pPr>
        <w:pStyle w:val="enumlev1"/>
        <w:ind w:left="3345" w:hanging="3345"/>
        <w:rPr>
          <w:sz w:val="20"/>
          <w:lang w:val="en-US"/>
        </w:rPr>
      </w:pPr>
      <w:r w:rsidRPr="004078BF">
        <w:rPr>
          <w:lang w:val="en-US"/>
        </w:rPr>
        <w:t>Recommendation ITU-R V.574-</w:t>
      </w:r>
      <w:r w:rsidR="00163B6A">
        <w:rPr>
          <w:lang w:val="en-US"/>
        </w:rPr>
        <w:t>5</w:t>
      </w:r>
      <w:r w:rsidRPr="004078BF">
        <w:rPr>
          <w:lang w:val="en-US"/>
        </w:rPr>
        <w:tab/>
      </w:r>
      <w:r w:rsidRPr="00896B27">
        <w:rPr>
          <w:lang w:val="en-US"/>
        </w:rPr>
        <w:t>Use of the decibel and the neper in telecommunications</w:t>
      </w:r>
    </w:p>
    <w:p w:rsidR="004078BF" w:rsidRPr="004078BF" w:rsidRDefault="004078BF" w:rsidP="004078BF">
      <w:pPr>
        <w:pStyle w:val="Normalaftertitle"/>
        <w:rPr>
          <w:lang w:val="en-US"/>
        </w:rPr>
      </w:pPr>
      <w:r w:rsidRPr="004078BF">
        <w:rPr>
          <w:lang w:val="en-US"/>
        </w:rPr>
        <w:t>The ITU Radiocommunication Assembly,</w:t>
      </w:r>
    </w:p>
    <w:p w:rsidR="004078BF" w:rsidRPr="004078BF" w:rsidRDefault="004078BF" w:rsidP="004078BF">
      <w:pPr>
        <w:pStyle w:val="Call"/>
        <w:rPr>
          <w:szCs w:val="24"/>
          <w:lang w:val="en-US"/>
        </w:rPr>
      </w:pPr>
      <w:r w:rsidRPr="004078BF">
        <w:rPr>
          <w:szCs w:val="24"/>
          <w:lang w:val="en-US"/>
        </w:rPr>
        <w:t>considering</w:t>
      </w:r>
    </w:p>
    <w:p w:rsidR="004078BF" w:rsidRPr="004078BF" w:rsidRDefault="004078BF" w:rsidP="004078BF">
      <w:pPr>
        <w:rPr>
          <w:szCs w:val="24"/>
          <w:lang w:val="en-US"/>
        </w:rPr>
      </w:pPr>
      <w:r w:rsidRPr="004078BF">
        <w:rPr>
          <w:i/>
          <w:iCs/>
          <w:szCs w:val="24"/>
          <w:lang w:val="en-US"/>
        </w:rPr>
        <w:t>a)</w:t>
      </w:r>
      <w:r w:rsidRPr="004078BF">
        <w:rPr>
          <w:szCs w:val="24"/>
          <w:lang w:val="en-US"/>
        </w:rPr>
        <w:tab/>
        <w:t>that in ITU-T texts concerning telephone operations and tariffs and in ITU-R texts concerning radiotelephone transmissions (e.g. telephone radio-relay systems and the maritime mobile service radiotelephony), the quantity “traffic intensity” is used together with the unit in which it is expressed. With progress in telecommunications, increasing use will be made of this term and this unit;</w:t>
      </w:r>
    </w:p>
    <w:p w:rsidR="004078BF" w:rsidRPr="004078BF" w:rsidRDefault="004078BF" w:rsidP="008054F6">
      <w:pPr>
        <w:rPr>
          <w:szCs w:val="24"/>
          <w:lang w:val="en-US"/>
        </w:rPr>
      </w:pPr>
      <w:r w:rsidRPr="004078BF">
        <w:rPr>
          <w:i/>
          <w:iCs/>
          <w:szCs w:val="24"/>
          <w:lang w:val="en-US"/>
        </w:rPr>
        <w:t>b)</w:t>
      </w:r>
      <w:r w:rsidRPr="004078BF">
        <w:rPr>
          <w:szCs w:val="24"/>
          <w:lang w:val="en-US"/>
        </w:rPr>
        <w:tab/>
        <w:t xml:space="preserve">that the variable “traffic intensity” and its unit “erlang” are defined in Recommendation </w:t>
      </w:r>
      <w:r w:rsidR="008054F6">
        <w:rPr>
          <w:szCs w:val="24"/>
          <w:lang w:val="en-US"/>
        </w:rPr>
        <w:t xml:space="preserve">ITU-T </w:t>
      </w:r>
      <w:r w:rsidRPr="004078BF">
        <w:rPr>
          <w:szCs w:val="24"/>
          <w:lang w:val="en-US"/>
        </w:rPr>
        <w:t>E.600 and reproduced below,</w:t>
      </w:r>
    </w:p>
    <w:p w:rsidR="004078BF" w:rsidRPr="004078BF" w:rsidRDefault="004078BF" w:rsidP="004078BF">
      <w:pPr>
        <w:pStyle w:val="Call"/>
        <w:rPr>
          <w:lang w:val="en-US"/>
        </w:rPr>
      </w:pPr>
      <w:r w:rsidRPr="004078BF">
        <w:rPr>
          <w:lang w:val="en-US"/>
        </w:rPr>
        <w:t>recommends</w:t>
      </w:r>
    </w:p>
    <w:p w:rsidR="004078BF" w:rsidRPr="004078BF" w:rsidRDefault="004078BF" w:rsidP="004078BF">
      <w:pPr>
        <w:rPr>
          <w:szCs w:val="24"/>
          <w:lang w:val="en-US"/>
        </w:rPr>
      </w:pPr>
      <w:r w:rsidRPr="004078BF">
        <w:rPr>
          <w:b/>
          <w:bCs/>
          <w:szCs w:val="24"/>
          <w:lang w:val="en-US"/>
        </w:rPr>
        <w:t>1</w:t>
      </w:r>
      <w:r w:rsidRPr="004078BF">
        <w:rPr>
          <w:szCs w:val="24"/>
          <w:lang w:val="en-US"/>
        </w:rPr>
        <w:tab/>
        <w:t>that for telecommunication purposes, the following definitions should be used:</w:t>
      </w:r>
    </w:p>
    <w:p w:rsidR="004078BF" w:rsidRPr="004078BF" w:rsidRDefault="004078BF" w:rsidP="004078BF">
      <w:pPr>
        <w:rPr>
          <w:szCs w:val="24"/>
          <w:lang w:val="en-US"/>
        </w:rPr>
      </w:pPr>
      <w:r w:rsidRPr="004078BF">
        <w:rPr>
          <w:b/>
          <w:szCs w:val="24"/>
          <w:lang w:val="en-US"/>
        </w:rPr>
        <w:t>traffic intensity</w:t>
      </w:r>
      <w:r w:rsidRPr="004078BF">
        <w:rPr>
          <w:szCs w:val="24"/>
          <w:lang w:val="en-US"/>
        </w:rPr>
        <w:t>:  The instantaneous traffic intensity in a pool of resources</w:t>
      </w:r>
      <w:r w:rsidR="00DF3AE3">
        <w:rPr>
          <w:rStyle w:val="FootnoteReference"/>
          <w:szCs w:val="24"/>
          <w:lang w:val="en-US"/>
        </w:rPr>
        <w:footnoteReference w:id="1"/>
      </w:r>
      <w:r w:rsidRPr="004078BF">
        <w:rPr>
          <w:szCs w:val="24"/>
          <w:lang w:val="en-US"/>
        </w:rPr>
        <w:t xml:space="preserve"> is the number of busy resources at a given instant of time.</w:t>
      </w:r>
    </w:p>
    <w:p w:rsidR="004078BF" w:rsidRPr="004078BF" w:rsidRDefault="004078BF" w:rsidP="00A047C9">
      <w:pPr>
        <w:rPr>
          <w:lang w:val="en-US"/>
        </w:rPr>
      </w:pPr>
      <w:r w:rsidRPr="004078BF">
        <w:rPr>
          <w:lang w:val="en-US"/>
        </w:rPr>
        <w:t xml:space="preserve">NOTE 1 – Statistical moments may be calculated for a given period of time, for instance the mean traffic intensity </w:t>
      </w:r>
      <w:r w:rsidR="00A047C9" w:rsidRPr="005F439D">
        <w:rPr>
          <w:position w:val="-10"/>
        </w:rPr>
        <w:object w:dxaOrig="8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18.35pt" o:ole="">
            <v:imagedata r:id="rId13" o:title=""/>
          </v:shape>
          <o:OLEObject Type="Embed" ProgID="Equation.3" ShapeID="_x0000_i1025" DrawAspect="Content" ObjectID="_1502196492" r:id="rId14"/>
        </w:object>
      </w:r>
      <w:r w:rsidRPr="004078BF">
        <w:rPr>
          <w:lang w:val="en-US"/>
        </w:rPr>
        <w:t xml:space="preserve"> is related to the instantaneous traffic intensity </w:t>
      </w:r>
      <w:r w:rsidRPr="004078BF">
        <w:rPr>
          <w:i/>
          <w:iCs/>
          <w:lang w:val="en-US"/>
        </w:rPr>
        <w:t>A</w:t>
      </w:r>
      <w:r w:rsidRPr="004078BF">
        <w:rPr>
          <w:lang w:val="en-US"/>
        </w:rPr>
        <w:t>(</w:t>
      </w:r>
      <w:r w:rsidRPr="004078BF">
        <w:rPr>
          <w:i/>
          <w:iCs/>
          <w:lang w:val="en-US"/>
        </w:rPr>
        <w:t>t</w:t>
      </w:r>
      <w:r w:rsidRPr="004078BF">
        <w:rPr>
          <w:lang w:val="en-US"/>
        </w:rPr>
        <w:t>) as:</w:t>
      </w:r>
    </w:p>
    <w:p w:rsidR="004078BF" w:rsidRPr="005F439D" w:rsidRDefault="004078BF" w:rsidP="004078BF">
      <w:pPr>
        <w:pStyle w:val="Equation"/>
      </w:pPr>
      <w:r w:rsidRPr="004078BF">
        <w:rPr>
          <w:lang w:val="en-US"/>
        </w:rPr>
        <w:tab/>
      </w:r>
      <w:r w:rsidRPr="004078BF">
        <w:rPr>
          <w:lang w:val="en-US"/>
        </w:rPr>
        <w:tab/>
      </w:r>
      <w:r w:rsidR="00A047C9" w:rsidRPr="00A047C9">
        <w:rPr>
          <w:position w:val="-36"/>
        </w:rPr>
        <w:object w:dxaOrig="2640" w:dyaOrig="840">
          <v:shape id="_x0000_i1026" type="#_x0000_t75" style="width:132.45pt;height:42.1pt" o:ole="">
            <v:imagedata r:id="rId15" o:title=""/>
          </v:shape>
          <o:OLEObject Type="Embed" ProgID="Equation.3" ShapeID="_x0000_i1026" DrawAspect="Content" ObjectID="_1502196493" r:id="rId16"/>
        </w:object>
      </w:r>
    </w:p>
    <w:p w:rsidR="004078BF" w:rsidRPr="004078BF" w:rsidRDefault="004078BF" w:rsidP="004078BF">
      <w:pPr>
        <w:rPr>
          <w:szCs w:val="24"/>
          <w:lang w:val="en-US"/>
        </w:rPr>
      </w:pPr>
      <w:r w:rsidRPr="004078BF">
        <w:rPr>
          <w:szCs w:val="24"/>
          <w:lang w:val="en-US"/>
        </w:rPr>
        <w:t>In applications, the term traffic intensity usually has this meaning of mean traffic intensity.</w:t>
      </w:r>
    </w:p>
    <w:p w:rsidR="004078BF" w:rsidRPr="004078BF" w:rsidRDefault="004078BF" w:rsidP="00A047C9">
      <w:pPr>
        <w:rPr>
          <w:lang w:val="en-US"/>
        </w:rPr>
      </w:pPr>
      <w:r w:rsidRPr="004078BF">
        <w:rPr>
          <w:lang w:val="en-US"/>
        </w:rPr>
        <w:t>NOTE 2 – Traffic intensity is equivalent to the product of arrival rate and mean holding time.</w:t>
      </w:r>
    </w:p>
    <w:p w:rsidR="004078BF" w:rsidRPr="004078BF" w:rsidRDefault="004078BF" w:rsidP="00A047C9">
      <w:pPr>
        <w:rPr>
          <w:lang w:val="en-US"/>
        </w:rPr>
      </w:pPr>
      <w:r w:rsidRPr="004078BF">
        <w:rPr>
          <w:lang w:val="en-US"/>
        </w:rPr>
        <w:lastRenderedPageBreak/>
        <w:t>NOTE 3 – The unit usually used for traffic intensity is the erlang (symbol: E).</w:t>
      </w:r>
    </w:p>
    <w:p w:rsidR="004078BF" w:rsidRPr="004078BF" w:rsidRDefault="004078BF" w:rsidP="004078BF">
      <w:pPr>
        <w:rPr>
          <w:szCs w:val="24"/>
          <w:lang w:val="en-US"/>
        </w:rPr>
      </w:pPr>
      <w:r w:rsidRPr="004078BF">
        <w:rPr>
          <w:b/>
          <w:szCs w:val="24"/>
          <w:lang w:val="en-US"/>
        </w:rPr>
        <w:t>erlang</w:t>
      </w:r>
      <w:r w:rsidRPr="004078BF">
        <w:rPr>
          <w:szCs w:val="24"/>
          <w:lang w:val="en-US"/>
        </w:rPr>
        <w:t>:  Unit of traffic intensity (symbol: E). 1 erlang is the traffic intensity in a pool of resources when just one of the resources is busy.</w:t>
      </w:r>
    </w:p>
    <w:p w:rsidR="004078BF" w:rsidRPr="004078BF" w:rsidRDefault="004078BF" w:rsidP="00A047C9">
      <w:pPr>
        <w:rPr>
          <w:lang w:val="en-US"/>
        </w:rPr>
      </w:pPr>
      <w:r w:rsidRPr="004078BF">
        <w:rPr>
          <w:lang w:val="en-US"/>
        </w:rPr>
        <w:t>NOTE – The name “erlang” was given to the traffic unit in 1946 by the CCIF, in honour of the Danish mathematician, A. K. Erlang (1878-1929), who was the founder of traffic theory in telephony.</w:t>
      </w:r>
    </w:p>
    <w:p w:rsidR="004078BF" w:rsidRPr="004078BF" w:rsidRDefault="004078BF" w:rsidP="004078BF">
      <w:pPr>
        <w:pStyle w:val="Note"/>
        <w:rPr>
          <w:szCs w:val="24"/>
          <w:lang w:val="en-US"/>
        </w:rPr>
      </w:pPr>
    </w:p>
    <w:p w:rsidR="004078BF" w:rsidRPr="004078BF" w:rsidRDefault="004078BF" w:rsidP="00163B6A">
      <w:pPr>
        <w:pStyle w:val="Line"/>
      </w:pPr>
    </w:p>
    <w:sectPr w:rsidR="004078BF" w:rsidRPr="004078BF" w:rsidSect="00163B6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8BF" w:rsidRDefault="004078BF">
      <w:r>
        <w:separator/>
      </w:r>
    </w:p>
  </w:endnote>
  <w:endnote w:type="continuationSeparator" w:id="0">
    <w:p w:rsidR="004078BF" w:rsidRDefault="00407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8BF" w:rsidRDefault="004078BF">
      <w:r>
        <w:separator/>
      </w:r>
    </w:p>
  </w:footnote>
  <w:footnote w:type="continuationSeparator" w:id="0">
    <w:p w:rsidR="004078BF" w:rsidRDefault="004078BF">
      <w:r>
        <w:continuationSeparator/>
      </w:r>
    </w:p>
  </w:footnote>
  <w:footnote w:id="1">
    <w:p w:rsidR="00DF3AE3" w:rsidRPr="00266D07" w:rsidRDefault="00DF3AE3" w:rsidP="004078BF">
      <w:pPr>
        <w:pStyle w:val="FootnoteText"/>
        <w:rPr>
          <w:lang w:val="en-US"/>
        </w:rPr>
      </w:pPr>
      <w:r>
        <w:rPr>
          <w:rStyle w:val="FootnoteReference"/>
        </w:rPr>
        <w:footnoteRef/>
      </w:r>
      <w:r w:rsidRPr="004078BF">
        <w:rPr>
          <w:lang w:val="en-US"/>
        </w:rPr>
        <w:t xml:space="preserve"> </w:t>
      </w:r>
      <w:r w:rsidR="00A047C9">
        <w:rPr>
          <w:lang w:val="en-US"/>
        </w:rPr>
        <w:tab/>
      </w:r>
      <w:r w:rsidRPr="004078BF">
        <w:rPr>
          <w:lang w:val="en-US"/>
        </w:rPr>
        <w:t>The term “resource” means any physically or conceptually identifiable entity, whose use and state at any time can be unambiguously determined, for example, a telecommunication circuit, a switching equipment, a subscriber line or a radio channel.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8BF" w:rsidRDefault="004078B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8BF" w:rsidRDefault="004078BF" w:rsidP="00B033C8">
    <w:pPr>
      <w:pStyle w:val="Header"/>
      <w:ind w:right="360" w:firstLine="360"/>
    </w:pPr>
    <w:r>
      <w:rPr>
        <w:noProof/>
        <w:lang w:val="en-US" w:eastAsia="zh-CN"/>
      </w:rPr>
      <w:drawing>
        <wp:anchor distT="0" distB="0" distL="114300" distR="114300" simplePos="0" relativeHeight="251659264" behindDoc="0" locked="0" layoutInCell="1" allowOverlap="1" wp14:anchorId="5B3EF8D1" wp14:editId="19DC49F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330F1D24" wp14:editId="65DDCA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8BF" w:rsidRPr="004078BF" w:rsidRDefault="004078BF">
    <w:pPr>
      <w:pStyle w:val="Header"/>
      <w:jc w:val="left"/>
      <w:rPr>
        <w:lang w:val="fr-CH"/>
      </w:rPr>
    </w:pPr>
    <w:r>
      <w:rPr>
        <w:rStyle w:val="PageNumber"/>
        <w:b/>
        <w:bCs/>
      </w:rPr>
      <w:fldChar w:fldCharType="begin"/>
    </w:r>
    <w:r w:rsidRPr="004078BF">
      <w:rPr>
        <w:rStyle w:val="PageNumber"/>
        <w:b/>
        <w:bCs/>
        <w:lang w:val="fr-CH"/>
      </w:rPr>
      <w:instrText xml:space="preserve"> PAGE </w:instrText>
    </w:r>
    <w:r>
      <w:rPr>
        <w:rStyle w:val="PageNumber"/>
        <w:b/>
        <w:bCs/>
      </w:rPr>
      <w:fldChar w:fldCharType="separate"/>
    </w:r>
    <w:r w:rsidR="00B6442C">
      <w:rPr>
        <w:rStyle w:val="PageNumber"/>
        <w:b/>
        <w:bCs/>
        <w:noProof/>
        <w:lang w:val="fr-CH"/>
      </w:rPr>
      <w:t>ii</w:t>
    </w:r>
    <w:r>
      <w:rPr>
        <w:rStyle w:val="PageNumber"/>
        <w:b/>
        <w:bCs/>
      </w:rPr>
      <w:fldChar w:fldCharType="end"/>
    </w:r>
    <w:r w:rsidRPr="004078BF">
      <w:rPr>
        <w:lang w:val="fr-CH"/>
      </w:rPr>
      <w:tab/>
    </w:r>
    <w:r w:rsidR="00B6442C">
      <w:fldChar w:fldCharType="begin"/>
    </w:r>
    <w:r w:rsidR="00B6442C">
      <w:instrText xml:space="preserve"> DOCPROPERTY "Header" \* MERGEFORMAT </w:instrText>
    </w:r>
    <w:r w:rsidR="00B6442C">
      <w:fldChar w:fldCharType="separate"/>
    </w:r>
    <w:r w:rsidR="00B6442C" w:rsidRPr="00B6442C">
      <w:rPr>
        <w:b/>
        <w:bCs/>
        <w:lang w:val="fr-CH"/>
      </w:rPr>
      <w:t xml:space="preserve">Rec. </w:t>
    </w:r>
    <w:r w:rsidR="00B6442C">
      <w:rPr>
        <w:b/>
        <w:bCs/>
        <w:lang w:val="fr-CH"/>
      </w:rPr>
      <w:fldChar w:fldCharType="end"/>
    </w:r>
    <w:r>
      <w:rPr>
        <w:b/>
        <w:bCs/>
      </w:rPr>
      <w:t xml:space="preserve"> </w:t>
    </w:r>
    <w:r>
      <w:rPr>
        <w:b/>
        <w:bCs/>
      </w:rPr>
      <w:fldChar w:fldCharType="begin"/>
    </w:r>
    <w:r w:rsidRPr="004078BF">
      <w:rPr>
        <w:b/>
        <w:bCs/>
        <w:lang w:val="fr-CH"/>
      </w:rPr>
      <w:instrText>styleref href</w:instrText>
    </w:r>
    <w:r>
      <w:rPr>
        <w:b/>
        <w:bCs/>
      </w:rPr>
      <w:fldChar w:fldCharType="separate"/>
    </w:r>
    <w:r w:rsidR="00B6442C">
      <w:rPr>
        <w:b/>
        <w:bCs/>
        <w:noProof/>
      </w:rPr>
      <w:t>ITU-R  V.665-3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8BF" w:rsidRDefault="004078BF">
    <w:pPr>
      <w:pStyle w:val="Header"/>
    </w:pPr>
    <w:r>
      <w:tab/>
    </w:r>
    <w:r w:rsidR="00B6442C">
      <w:fldChar w:fldCharType="begin"/>
    </w:r>
    <w:r w:rsidR="00B6442C">
      <w:instrText xml:space="preserve"> DOCPROPERTY "Header" \* MERGEFORMAT </w:instrText>
    </w:r>
    <w:r w:rsidR="00B6442C">
      <w:fldChar w:fldCharType="separate"/>
    </w:r>
    <w:r w:rsidR="00B6442C" w:rsidRPr="00B6442C">
      <w:rPr>
        <w:b/>
        <w:bCs/>
      </w:rPr>
      <w:t xml:space="preserve">Rec. </w:t>
    </w:r>
    <w:r w:rsidR="00B6442C">
      <w:rPr>
        <w:b/>
        <w:bCs/>
      </w:rPr>
      <w:fldChar w:fldCharType="end"/>
    </w:r>
    <w:r>
      <w:rPr>
        <w:b/>
        <w:bCs/>
      </w:rPr>
      <w:t xml:space="preserve"> </w:t>
    </w:r>
    <w:r>
      <w:rPr>
        <w:b/>
        <w:bCs/>
      </w:rPr>
      <w:fldChar w:fldCharType="begin"/>
    </w:r>
    <w:r>
      <w:rPr>
        <w:b/>
        <w:bCs/>
      </w:rPr>
      <w:instrText>styleref href</w:instrText>
    </w:r>
    <w:r>
      <w:rPr>
        <w:b/>
        <w:bCs/>
      </w:rPr>
      <w:fldChar w:fldCharType="separate"/>
    </w:r>
    <w:r w:rsidR="00B6442C">
      <w:rPr>
        <w:b/>
        <w:bCs/>
        <w:noProof/>
      </w:rPr>
      <w:t>ITU-R  V.665-3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442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6442C" w:rsidRPr="00B6442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6442C">
      <w:rPr>
        <w:b/>
        <w:bCs/>
        <w:noProof/>
      </w:rPr>
      <w:t>ITU-R  V.665-3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B6442C">
      <w:fldChar w:fldCharType="begin"/>
    </w:r>
    <w:r w:rsidR="00B6442C">
      <w:instrText xml:space="preserve"> DOCPROPERTY "Header" \* MERGEFORMAT </w:instrText>
    </w:r>
    <w:r w:rsidR="00B6442C">
      <w:fldChar w:fldCharType="separate"/>
    </w:r>
    <w:r w:rsidR="00B6442C" w:rsidRPr="00B6442C">
      <w:rPr>
        <w:b/>
        <w:bCs/>
      </w:rPr>
      <w:t xml:space="preserve">Rec. </w:t>
    </w:r>
    <w:r w:rsidR="00B6442C">
      <w:rPr>
        <w:b/>
        <w:bCs/>
      </w:rPr>
      <w:fldChar w:fldCharType="end"/>
    </w:r>
    <w:r>
      <w:rPr>
        <w:b/>
        <w:bCs/>
      </w:rPr>
      <w:t xml:space="preserve"> </w:t>
    </w:r>
    <w:r>
      <w:rPr>
        <w:b/>
        <w:bCs/>
      </w:rPr>
      <w:fldChar w:fldCharType="begin"/>
    </w:r>
    <w:r>
      <w:rPr>
        <w:b/>
        <w:bCs/>
      </w:rPr>
      <w:instrText>styleref href</w:instrText>
    </w:r>
    <w:r>
      <w:rPr>
        <w:b/>
        <w:bCs/>
      </w:rPr>
      <w:fldChar w:fldCharType="separate"/>
    </w:r>
    <w:r w:rsidR="00B6442C">
      <w:rPr>
        <w:b/>
        <w:bCs/>
        <w:noProof/>
      </w:rPr>
      <w:t>ITU-R  V.665-3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6442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BF"/>
    <w:rsid w:val="00163B6A"/>
    <w:rsid w:val="001E1078"/>
    <w:rsid w:val="00217EBF"/>
    <w:rsid w:val="00242AEE"/>
    <w:rsid w:val="002D76C4"/>
    <w:rsid w:val="003978C4"/>
    <w:rsid w:val="004078BF"/>
    <w:rsid w:val="00515CBE"/>
    <w:rsid w:val="0052529D"/>
    <w:rsid w:val="00607D68"/>
    <w:rsid w:val="007468DA"/>
    <w:rsid w:val="008054F6"/>
    <w:rsid w:val="009E00A8"/>
    <w:rsid w:val="00A047C9"/>
    <w:rsid w:val="00A6617B"/>
    <w:rsid w:val="00AB0DC8"/>
    <w:rsid w:val="00B44E24"/>
    <w:rsid w:val="00B6442C"/>
    <w:rsid w:val="00BC5CBF"/>
    <w:rsid w:val="00DF3AE3"/>
    <w:rsid w:val="00DF4176"/>
    <w:rsid w:val="00FB5F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8"/>
    <o:shapelayout v:ext="edit">
      <o:idmap v:ext="edit" data="1"/>
    </o:shapelayout>
  </w:shapeDefaults>
  <w:decimalSymbol w:val="."/>
  <w:listSeparator w:val=";"/>
  <w15:docId w15:val="{FA85471B-EE8A-4437-9800-C5C97092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8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078BF"/>
    <w:rPr>
      <w:b/>
      <w:sz w:val="24"/>
      <w:lang w:val="fr-FR" w:eastAsia="en-US"/>
    </w:rPr>
  </w:style>
  <w:style w:type="character" w:customStyle="1" w:styleId="HeaderChar">
    <w:name w:val="Header Char"/>
    <w:basedOn w:val="DefaultParagraphFont"/>
    <w:link w:val="Header"/>
    <w:rsid w:val="004078BF"/>
    <w:rPr>
      <w:sz w:val="24"/>
      <w:lang w:val="fr-FR" w:eastAsia="en-US"/>
    </w:rPr>
  </w:style>
  <w:style w:type="character" w:styleId="Hyperlink">
    <w:name w:val="Hyperlink"/>
    <w:basedOn w:val="DefaultParagraphFont"/>
    <w:rsid w:val="004078BF"/>
    <w:rPr>
      <w:color w:val="0000FF"/>
      <w:u w:val="single"/>
    </w:rPr>
  </w:style>
  <w:style w:type="character" w:customStyle="1" w:styleId="FootnoteTextChar">
    <w:name w:val="Footnote Text Char"/>
    <w:basedOn w:val="DefaultParagraphFont"/>
    <w:link w:val="FootnoteText"/>
    <w:rsid w:val="004078BF"/>
    <w:rPr>
      <w:sz w:val="22"/>
      <w:lang w:val="fr-FR" w:eastAsia="en-US"/>
    </w:rPr>
  </w:style>
  <w:style w:type="character" w:customStyle="1" w:styleId="CallChar">
    <w:name w:val="Call Char"/>
    <w:link w:val="Call"/>
    <w:locked/>
    <w:rsid w:val="004078BF"/>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E2F87-4503-4119-A3D9-B4082B65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Pages>
  <Words>635</Words>
  <Characters>3833</Characters>
  <Application>Microsoft Office Word</Application>
  <DocSecurity>0</DocSecurity>
  <Lines>136</Lines>
  <Paragraphs>93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RECOMMENDATION  ITU-R  V.665-3 - Traffic intensity unit</vt:lpstr>
      <vt:lpstr>Policy on Intellectual Property Right (IPR)</vt:lpstr>
    </vt:vector>
  </TitlesOfParts>
  <Manager/>
  <Company>ITU</Company>
  <LinksUpToDate>false</LinksUpToDate>
  <CharactersWithSpaces>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V.665-3 - Traffic intensity unit</dc:title>
  <dc:subject>V Series = Vocabulary and related subjects</dc:subject>
  <dc:creator>ITU Radiocommunication Bureau (BR)</dc:creator>
  <cp:keywords>V,665-3</cp:keywords>
  <dc:description>Gachetc, 27.08.2015, ITU51007784</dc:description>
  <cp:lastModifiedBy>Gachet, Christelle</cp:lastModifiedBy>
  <cp:revision>11</cp:revision>
  <cp:lastPrinted>2015-08-27T13:48:00Z</cp:lastPrinted>
  <dcterms:created xsi:type="dcterms:W3CDTF">2015-07-29T07:08:00Z</dcterms:created>
  <dcterms:modified xsi:type="dcterms:W3CDTF">2015-08-27T13:48:00Z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27 août 2015</vt:lpwstr>
  </property>
</Properties>
</file>