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DC1" w:rsidRDefault="00755DC1" w:rsidP="00755DC1"/>
    <w:p w:rsidR="00755DC1" w:rsidRDefault="00755DC1" w:rsidP="00755DC1"/>
    <w:p w:rsidR="00755DC1" w:rsidRDefault="00755DC1" w:rsidP="00755DC1"/>
    <w:p w:rsidR="00755DC1" w:rsidRDefault="00755DC1" w:rsidP="00755DC1"/>
    <w:p w:rsidR="00755DC1" w:rsidRDefault="00755DC1" w:rsidP="00755DC1"/>
    <w:p w:rsidR="00755DC1" w:rsidRDefault="00755DC1" w:rsidP="00755DC1"/>
    <w:p w:rsidR="00755DC1" w:rsidRDefault="00755DC1" w:rsidP="00755DC1"/>
    <w:p w:rsidR="00755DC1" w:rsidRDefault="00755DC1" w:rsidP="00755DC1"/>
    <w:p w:rsidR="00755DC1" w:rsidRDefault="00755DC1" w:rsidP="00755DC1"/>
    <w:p w:rsidR="00755DC1" w:rsidRDefault="00755DC1" w:rsidP="00755DC1"/>
    <w:p w:rsidR="00755DC1" w:rsidRDefault="00755DC1" w:rsidP="00755DC1">
      <w:bookmarkStart w:id="0" w:name="_GoBack"/>
      <w:bookmarkEnd w:id="0"/>
    </w:p>
    <w:p w:rsidR="00755DC1" w:rsidRDefault="00755DC1" w:rsidP="00755DC1"/>
    <w:tbl>
      <w:tblPr>
        <w:tblW w:w="10089" w:type="dxa"/>
        <w:tblLook w:val="01E0" w:firstRow="1" w:lastRow="1" w:firstColumn="1" w:lastColumn="1" w:noHBand="0" w:noVBand="0"/>
      </w:tblPr>
      <w:tblGrid>
        <w:gridCol w:w="10089"/>
      </w:tblGrid>
      <w:tr w:rsidR="00755DC1" w:rsidRPr="00A443C2" w:rsidTr="002C61FE">
        <w:tc>
          <w:tcPr>
            <w:tcW w:w="10089" w:type="dxa"/>
          </w:tcPr>
          <w:p w:rsidR="00755DC1" w:rsidRPr="00B033C8" w:rsidRDefault="00755DC1" w:rsidP="002C61FE">
            <w:pPr>
              <w:spacing w:before="380" w:line="280" w:lineRule="exact"/>
              <w:jc w:val="right"/>
              <w:rPr>
                <w:rFonts w:ascii="Tahoma" w:hAnsi="Tahoma" w:cs="Tahoma"/>
                <w:b/>
                <w:bCs/>
                <w:iCs/>
                <w:color w:val="243285"/>
                <w:sz w:val="32"/>
                <w:szCs w:val="32"/>
                <w:lang w:val="en-US"/>
              </w:rPr>
            </w:pPr>
          </w:p>
          <w:p w:rsidR="00755DC1" w:rsidRPr="00A443C2" w:rsidRDefault="00755DC1" w:rsidP="00755DC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V</w:t>
            </w:r>
            <w:r w:rsidRPr="00A443C2">
              <w:rPr>
                <w:rFonts w:ascii="Tahoma" w:hAnsi="Tahoma" w:cs="Tahoma"/>
                <w:b/>
                <w:bCs/>
                <w:iCs/>
                <w:color w:val="243285"/>
                <w:sz w:val="36"/>
                <w:szCs w:val="36"/>
              </w:rPr>
              <w:t>.</w:t>
            </w:r>
            <w:r>
              <w:rPr>
                <w:rFonts w:ascii="Tahoma" w:hAnsi="Tahoma" w:cs="Tahoma"/>
                <w:b/>
                <w:bCs/>
                <w:iCs/>
                <w:color w:val="243285"/>
                <w:sz w:val="36"/>
                <w:szCs w:val="36"/>
              </w:rPr>
              <w:t>665-3</w:t>
            </w:r>
          </w:p>
          <w:p w:rsidR="00755DC1" w:rsidRPr="00A443C2" w:rsidRDefault="00755DC1" w:rsidP="00755DC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8</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755DC1" w:rsidRPr="00F54FBD" w:rsidTr="002C61FE">
        <w:tc>
          <w:tcPr>
            <w:tcW w:w="10089" w:type="dxa"/>
          </w:tcPr>
          <w:p w:rsidR="00755DC1" w:rsidRDefault="00755DC1" w:rsidP="002C61FE">
            <w:pPr>
              <w:spacing w:before="80" w:line="500" w:lineRule="exact"/>
              <w:jc w:val="right"/>
              <w:rPr>
                <w:rFonts w:ascii="Tahoma" w:hAnsi="Tahoma" w:cs="Tahoma"/>
                <w:b/>
                <w:bCs/>
                <w:iCs/>
                <w:color w:val="243285"/>
                <w:sz w:val="44"/>
                <w:szCs w:val="44"/>
              </w:rPr>
            </w:pPr>
          </w:p>
          <w:p w:rsidR="00755DC1" w:rsidRDefault="00755DC1" w:rsidP="00755DC1">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Unité d'intensité du trafic</w:t>
            </w:r>
          </w:p>
          <w:p w:rsidR="00755DC1" w:rsidRPr="00F54FBD" w:rsidRDefault="00755DC1" w:rsidP="002C61FE">
            <w:pPr>
              <w:spacing w:before="80" w:line="500" w:lineRule="exact"/>
              <w:jc w:val="right"/>
              <w:rPr>
                <w:rFonts w:ascii="Tahoma" w:hAnsi="Tahoma" w:cs="Tahoma"/>
                <w:b/>
                <w:bCs/>
                <w:iCs/>
                <w:color w:val="243285"/>
                <w:sz w:val="44"/>
                <w:szCs w:val="44"/>
              </w:rPr>
            </w:pPr>
          </w:p>
        </w:tc>
      </w:tr>
      <w:tr w:rsidR="00755DC1" w:rsidRPr="00F54FBD" w:rsidTr="002C61FE">
        <w:tc>
          <w:tcPr>
            <w:tcW w:w="10089" w:type="dxa"/>
          </w:tcPr>
          <w:p w:rsidR="00755DC1" w:rsidRPr="00F54FBD" w:rsidRDefault="00755DC1" w:rsidP="002C61FE">
            <w:pPr>
              <w:spacing w:before="80" w:line="280" w:lineRule="exact"/>
              <w:ind w:right="640"/>
              <w:rPr>
                <w:rFonts w:ascii="Tahoma" w:hAnsi="Tahoma" w:cs="Tahoma"/>
                <w:b/>
                <w:bCs/>
                <w:iCs/>
                <w:color w:val="243285"/>
                <w:sz w:val="32"/>
                <w:szCs w:val="32"/>
              </w:rPr>
            </w:pPr>
          </w:p>
          <w:p w:rsidR="00755DC1" w:rsidRPr="00F54FBD" w:rsidRDefault="00755DC1" w:rsidP="002C61FE">
            <w:pPr>
              <w:spacing w:before="80" w:line="280" w:lineRule="exact"/>
              <w:ind w:right="640"/>
              <w:rPr>
                <w:rFonts w:ascii="Tahoma" w:hAnsi="Tahoma" w:cs="Tahoma"/>
                <w:b/>
                <w:bCs/>
                <w:iCs/>
                <w:color w:val="243285"/>
                <w:sz w:val="32"/>
                <w:szCs w:val="32"/>
              </w:rPr>
            </w:pPr>
          </w:p>
          <w:p w:rsidR="00755DC1" w:rsidRPr="00F54FBD" w:rsidRDefault="00755DC1" w:rsidP="002C61FE">
            <w:pPr>
              <w:spacing w:before="80" w:after="180" w:line="360" w:lineRule="exact"/>
              <w:ind w:right="720"/>
              <w:rPr>
                <w:rFonts w:ascii="Tahoma" w:hAnsi="Tahoma" w:cs="Tahoma"/>
                <w:b/>
                <w:bCs/>
                <w:iCs/>
                <w:color w:val="243285"/>
                <w:sz w:val="36"/>
                <w:szCs w:val="36"/>
              </w:rPr>
            </w:pPr>
          </w:p>
          <w:p w:rsidR="00755DC1" w:rsidRPr="00F54FBD" w:rsidRDefault="00755DC1" w:rsidP="002C61F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V</w:t>
            </w:r>
          </w:p>
          <w:p w:rsidR="00755DC1" w:rsidRPr="00F54FBD" w:rsidRDefault="00755DC1" w:rsidP="002C61F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Vocabulaire et sujets associés</w:t>
            </w:r>
          </w:p>
        </w:tc>
      </w:tr>
    </w:tbl>
    <w:p w:rsidR="00755DC1" w:rsidRPr="00F54FBD" w:rsidRDefault="00755DC1" w:rsidP="00755DC1">
      <w:pPr>
        <w:spacing w:before="80"/>
        <w:rPr>
          <w:i/>
          <w:sz w:val="22"/>
        </w:rPr>
      </w:pPr>
    </w:p>
    <w:p w:rsidR="00755DC1" w:rsidRPr="00F54FBD" w:rsidRDefault="00755DC1" w:rsidP="00755DC1">
      <w:pPr>
        <w:spacing w:before="80"/>
        <w:rPr>
          <w:i/>
          <w:sz w:val="22"/>
        </w:rPr>
      </w:pPr>
    </w:p>
    <w:p w:rsidR="00755DC1" w:rsidRPr="00F54FBD" w:rsidRDefault="00755DC1" w:rsidP="00755DC1">
      <w:pPr>
        <w:spacing w:before="80"/>
        <w:rPr>
          <w:i/>
          <w:sz w:val="22"/>
        </w:rPr>
      </w:pPr>
    </w:p>
    <w:p w:rsidR="00755DC1" w:rsidRPr="00F54FBD" w:rsidRDefault="00755DC1" w:rsidP="00755DC1">
      <w:pPr>
        <w:spacing w:before="80"/>
        <w:rPr>
          <w:i/>
          <w:sz w:val="22"/>
        </w:rPr>
      </w:pPr>
    </w:p>
    <w:p w:rsidR="00755DC1" w:rsidRPr="00F54FBD" w:rsidRDefault="00755DC1" w:rsidP="00755DC1">
      <w:pPr>
        <w:spacing w:before="80"/>
        <w:rPr>
          <w:i/>
          <w:sz w:val="22"/>
        </w:rPr>
      </w:pPr>
    </w:p>
    <w:p w:rsidR="00755DC1" w:rsidRPr="00F54FBD" w:rsidRDefault="00755DC1" w:rsidP="00755DC1">
      <w:pPr>
        <w:spacing w:before="80"/>
        <w:rPr>
          <w:i/>
          <w:sz w:val="22"/>
        </w:rPr>
      </w:pPr>
    </w:p>
    <w:p w:rsidR="00755DC1" w:rsidRPr="00F54FBD" w:rsidRDefault="00755DC1" w:rsidP="00755DC1">
      <w:pPr>
        <w:pStyle w:val="Equation"/>
        <w:tabs>
          <w:tab w:val="clear" w:pos="4820"/>
          <w:tab w:val="clear" w:pos="9639"/>
          <w:tab w:val="left" w:pos="1191"/>
          <w:tab w:val="left" w:pos="1588"/>
          <w:tab w:val="left" w:pos="1985"/>
        </w:tabs>
        <w:rPr>
          <w:rFonts w:ascii="Palatino Linotype" w:hAnsi="Palatino Linotype"/>
        </w:rPr>
        <w:sectPr w:rsidR="00755DC1" w:rsidRPr="00F54FBD">
          <w:headerReference w:type="even" r:id="rId7"/>
          <w:headerReference w:type="default" r:id="rId8"/>
          <w:pgSz w:w="11907" w:h="16840" w:code="9"/>
          <w:pgMar w:top="1089" w:right="1089" w:bottom="284" w:left="1089" w:header="567" w:footer="284" w:gutter="0"/>
          <w:pgNumType w:start="1"/>
          <w:cols w:space="720"/>
        </w:sectPr>
      </w:pPr>
    </w:p>
    <w:p w:rsidR="00755DC1" w:rsidRPr="00F54FBD" w:rsidRDefault="00755DC1" w:rsidP="00755D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55DC1" w:rsidRPr="00F54FBD" w:rsidRDefault="00755DC1" w:rsidP="00755DC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55DC1" w:rsidRPr="00F54FBD" w:rsidRDefault="00755DC1" w:rsidP="00755DC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55DC1" w:rsidRPr="00E44CBB" w:rsidRDefault="00755DC1" w:rsidP="00755DC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55DC1" w:rsidRPr="00E44CBB" w:rsidRDefault="00755DC1" w:rsidP="00755DC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55DC1" w:rsidRPr="00444E7C" w:rsidRDefault="00755DC1" w:rsidP="00755DC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55DC1" w:rsidRPr="009454F8" w:rsidTr="002C61FE">
        <w:tc>
          <w:tcPr>
            <w:tcW w:w="9360" w:type="dxa"/>
            <w:gridSpan w:val="2"/>
          </w:tcPr>
          <w:p w:rsidR="00755DC1" w:rsidRPr="009454F8" w:rsidRDefault="00755DC1" w:rsidP="002C61F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55DC1" w:rsidRPr="009454F8" w:rsidRDefault="00755DC1" w:rsidP="002C6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55DC1" w:rsidRPr="00036EE3" w:rsidTr="002C61FE">
        <w:tc>
          <w:tcPr>
            <w:tcW w:w="1140" w:type="dxa"/>
            <w:tcBorders>
              <w:bottom w:val="nil"/>
            </w:tcBorders>
          </w:tcPr>
          <w:p w:rsidR="00755DC1" w:rsidRPr="00614CC6" w:rsidRDefault="00755DC1" w:rsidP="002C61FE">
            <w:pPr>
              <w:spacing w:before="90" w:after="100"/>
              <w:ind w:left="57"/>
              <w:rPr>
                <w:b/>
                <w:bCs/>
                <w:sz w:val="20"/>
                <w:lang w:val="en-US"/>
              </w:rPr>
            </w:pPr>
            <w:r w:rsidRPr="00614CC6">
              <w:rPr>
                <w:b/>
                <w:bCs/>
                <w:sz w:val="20"/>
                <w:lang w:val="en-US"/>
              </w:rPr>
              <w:t>Séries</w:t>
            </w:r>
          </w:p>
        </w:tc>
        <w:tc>
          <w:tcPr>
            <w:tcW w:w="8220" w:type="dxa"/>
            <w:tcBorders>
              <w:bottom w:val="nil"/>
            </w:tcBorders>
          </w:tcPr>
          <w:p w:rsidR="00755DC1" w:rsidRPr="00614CC6" w:rsidRDefault="00755DC1" w:rsidP="002C6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55DC1" w:rsidRPr="005E427C" w:rsidTr="002C61FE">
        <w:tc>
          <w:tcPr>
            <w:tcW w:w="1140" w:type="dxa"/>
            <w:tcBorders>
              <w:top w:val="nil"/>
              <w:bottom w:val="nil"/>
            </w:tcBorders>
            <w:shd w:val="clear" w:color="auto" w:fill="auto"/>
          </w:tcPr>
          <w:p w:rsidR="00755DC1" w:rsidRPr="005E427C" w:rsidRDefault="00755DC1" w:rsidP="002C61F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55DC1" w:rsidRPr="005E427C" w:rsidRDefault="00755DC1" w:rsidP="002C6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55DC1" w:rsidRPr="009454F8" w:rsidTr="002C61FE">
        <w:tc>
          <w:tcPr>
            <w:tcW w:w="1140" w:type="dxa"/>
            <w:tcBorders>
              <w:top w:val="nil"/>
              <w:bottom w:val="nil"/>
            </w:tcBorders>
          </w:tcPr>
          <w:p w:rsidR="00755DC1" w:rsidRPr="00614CC6" w:rsidRDefault="00755DC1" w:rsidP="002C61F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55DC1" w:rsidRPr="00614CC6" w:rsidRDefault="00755DC1" w:rsidP="002C6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55DC1" w:rsidRPr="00E80F1D" w:rsidTr="002C61FE">
        <w:tc>
          <w:tcPr>
            <w:tcW w:w="1140" w:type="dxa"/>
            <w:tcBorders>
              <w:top w:val="nil"/>
              <w:bottom w:val="nil"/>
            </w:tcBorders>
            <w:shd w:val="clear" w:color="auto" w:fill="auto"/>
          </w:tcPr>
          <w:p w:rsidR="00755DC1" w:rsidRPr="00E80F1D" w:rsidRDefault="00755DC1" w:rsidP="002C61F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55DC1" w:rsidRPr="00E80F1D" w:rsidRDefault="00755DC1" w:rsidP="002C6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55DC1" w:rsidRPr="00ED2695" w:rsidTr="002C61FE">
        <w:tc>
          <w:tcPr>
            <w:tcW w:w="1140" w:type="dxa"/>
            <w:tcBorders>
              <w:top w:val="nil"/>
              <w:bottom w:val="nil"/>
            </w:tcBorders>
            <w:shd w:val="clear" w:color="auto" w:fill="auto"/>
          </w:tcPr>
          <w:p w:rsidR="00755DC1" w:rsidRPr="00614CC6" w:rsidRDefault="00755DC1" w:rsidP="002C61F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55DC1" w:rsidRPr="00614CC6" w:rsidRDefault="00755DC1" w:rsidP="002C6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55DC1" w:rsidRPr="00DE5EA2" w:rsidTr="002C61FE">
        <w:tc>
          <w:tcPr>
            <w:tcW w:w="1140" w:type="dxa"/>
            <w:tcBorders>
              <w:top w:val="nil"/>
              <w:bottom w:val="nil"/>
            </w:tcBorders>
            <w:shd w:val="clear" w:color="auto" w:fill="auto"/>
          </w:tcPr>
          <w:p w:rsidR="00755DC1" w:rsidRPr="00DE5EA2" w:rsidRDefault="00755DC1" w:rsidP="002C61F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55DC1" w:rsidRPr="00DE5EA2" w:rsidRDefault="00755DC1" w:rsidP="002C61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55DC1" w:rsidRPr="00B21066" w:rsidTr="002C61FE">
        <w:tc>
          <w:tcPr>
            <w:tcW w:w="1140" w:type="dxa"/>
            <w:tcBorders>
              <w:top w:val="nil"/>
              <w:bottom w:val="nil"/>
            </w:tcBorders>
            <w:shd w:val="clear" w:color="auto" w:fill="auto"/>
          </w:tcPr>
          <w:p w:rsidR="00755DC1" w:rsidRPr="00B21066" w:rsidRDefault="00755DC1" w:rsidP="002C61F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55DC1" w:rsidRPr="00B21066" w:rsidRDefault="00755DC1" w:rsidP="002C6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55DC1" w:rsidRPr="00EC361D" w:rsidTr="002C61FE">
        <w:tc>
          <w:tcPr>
            <w:tcW w:w="1140" w:type="dxa"/>
            <w:tcBorders>
              <w:top w:val="nil"/>
              <w:bottom w:val="nil"/>
            </w:tcBorders>
            <w:shd w:val="clear" w:color="auto" w:fill="auto"/>
          </w:tcPr>
          <w:p w:rsidR="00755DC1" w:rsidRPr="00EC361D" w:rsidRDefault="00755DC1" w:rsidP="002C61FE">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755DC1" w:rsidRPr="00EC361D" w:rsidRDefault="00755DC1" w:rsidP="002C61FE">
            <w:pPr>
              <w:spacing w:before="30" w:after="30"/>
              <w:jc w:val="left"/>
              <w:rPr>
                <w:sz w:val="20"/>
                <w:lang w:val="fr-CH"/>
              </w:rPr>
            </w:pPr>
            <w:r w:rsidRPr="00EC361D">
              <w:rPr>
                <w:sz w:val="20"/>
              </w:rPr>
              <w:t>Propagation des ondes radioélectriques</w:t>
            </w:r>
          </w:p>
        </w:tc>
      </w:tr>
      <w:tr w:rsidR="00755DC1" w:rsidRPr="004822EF" w:rsidTr="002C61FE">
        <w:tc>
          <w:tcPr>
            <w:tcW w:w="1140" w:type="dxa"/>
            <w:tcBorders>
              <w:top w:val="nil"/>
              <w:bottom w:val="nil"/>
            </w:tcBorders>
            <w:shd w:val="clear" w:color="auto" w:fill="auto"/>
          </w:tcPr>
          <w:p w:rsidR="00755DC1" w:rsidRPr="004822EF" w:rsidRDefault="00755DC1" w:rsidP="002C61FE">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755DC1" w:rsidRPr="004822EF" w:rsidRDefault="00755DC1" w:rsidP="002C61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755DC1" w:rsidRPr="00326525" w:rsidTr="002C61FE">
        <w:tc>
          <w:tcPr>
            <w:tcW w:w="1140" w:type="dxa"/>
            <w:tcBorders>
              <w:top w:val="nil"/>
              <w:bottom w:val="nil"/>
            </w:tcBorders>
            <w:shd w:val="clear" w:color="auto" w:fill="auto"/>
          </w:tcPr>
          <w:p w:rsidR="00755DC1" w:rsidRPr="00326525" w:rsidRDefault="00755DC1" w:rsidP="002C61FE">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755DC1" w:rsidRPr="00326525" w:rsidRDefault="00755DC1" w:rsidP="002C61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755DC1" w:rsidRPr="00C40D3E" w:rsidTr="002C61FE">
        <w:tc>
          <w:tcPr>
            <w:tcW w:w="1140" w:type="dxa"/>
            <w:tcBorders>
              <w:top w:val="nil"/>
              <w:bottom w:val="nil"/>
            </w:tcBorders>
            <w:shd w:val="clear" w:color="auto" w:fill="auto"/>
          </w:tcPr>
          <w:p w:rsidR="00755DC1" w:rsidRPr="00C40D3E" w:rsidRDefault="00755DC1" w:rsidP="002C61FE">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755DC1" w:rsidRPr="00C40D3E" w:rsidRDefault="00755DC1" w:rsidP="002C61FE">
            <w:pPr>
              <w:spacing w:before="30" w:after="30"/>
              <w:jc w:val="left"/>
              <w:rPr>
                <w:sz w:val="20"/>
                <w:lang w:val="en-US"/>
              </w:rPr>
            </w:pPr>
            <w:r w:rsidRPr="00C40D3E">
              <w:rPr>
                <w:sz w:val="20"/>
              </w:rPr>
              <w:t>Service fixe par satellite</w:t>
            </w:r>
          </w:p>
        </w:tc>
      </w:tr>
      <w:tr w:rsidR="00755DC1" w:rsidRPr="00595D3D" w:rsidTr="002C61FE">
        <w:tc>
          <w:tcPr>
            <w:tcW w:w="1140" w:type="dxa"/>
            <w:tcBorders>
              <w:top w:val="nil"/>
              <w:bottom w:val="nil"/>
            </w:tcBorders>
            <w:shd w:val="clear" w:color="auto" w:fill="auto"/>
          </w:tcPr>
          <w:p w:rsidR="00755DC1" w:rsidRPr="00595D3D" w:rsidRDefault="00755DC1" w:rsidP="002C61FE">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755DC1" w:rsidRPr="00595D3D" w:rsidRDefault="00755DC1" w:rsidP="002C61FE">
            <w:pPr>
              <w:spacing w:before="30" w:after="30"/>
              <w:jc w:val="left"/>
              <w:rPr>
                <w:sz w:val="20"/>
                <w:lang w:val="en-US"/>
              </w:rPr>
            </w:pPr>
            <w:r w:rsidRPr="00595D3D">
              <w:rPr>
                <w:sz w:val="20"/>
              </w:rPr>
              <w:t>Applications spatiales et météorologie</w:t>
            </w:r>
          </w:p>
        </w:tc>
      </w:tr>
      <w:tr w:rsidR="00755DC1" w:rsidRPr="009B5564" w:rsidTr="002C61FE">
        <w:tc>
          <w:tcPr>
            <w:tcW w:w="1140" w:type="dxa"/>
            <w:tcBorders>
              <w:top w:val="nil"/>
              <w:bottom w:val="nil"/>
            </w:tcBorders>
            <w:shd w:val="clear" w:color="auto" w:fill="auto"/>
          </w:tcPr>
          <w:p w:rsidR="00755DC1" w:rsidRPr="009B5564" w:rsidRDefault="00755DC1" w:rsidP="002C61FE">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755DC1" w:rsidRPr="009B5564" w:rsidRDefault="00755DC1" w:rsidP="002C61FE">
            <w:pPr>
              <w:spacing w:before="30" w:after="30"/>
              <w:jc w:val="left"/>
              <w:rPr>
                <w:bCs/>
                <w:sz w:val="20"/>
              </w:rPr>
            </w:pPr>
            <w:r w:rsidRPr="009B5564">
              <w:rPr>
                <w:bCs/>
                <w:sz w:val="20"/>
              </w:rPr>
              <w:t>Partage des fréquences et coordination entre les systèmes du service fixe par satellite et du service fixe</w:t>
            </w:r>
          </w:p>
        </w:tc>
      </w:tr>
      <w:tr w:rsidR="00755DC1" w:rsidRPr="009B5564" w:rsidTr="002C61FE">
        <w:tc>
          <w:tcPr>
            <w:tcW w:w="1140" w:type="dxa"/>
            <w:tcBorders>
              <w:top w:val="nil"/>
              <w:bottom w:val="nil"/>
            </w:tcBorders>
            <w:shd w:val="clear" w:color="auto" w:fill="auto"/>
          </w:tcPr>
          <w:p w:rsidR="00755DC1" w:rsidRPr="001B1BA9" w:rsidRDefault="00755DC1" w:rsidP="002C61FE">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755DC1" w:rsidRPr="001B1BA9" w:rsidRDefault="00755DC1" w:rsidP="002C61FE">
            <w:pPr>
              <w:spacing w:before="30" w:after="30"/>
              <w:jc w:val="left"/>
              <w:rPr>
                <w:bCs/>
                <w:sz w:val="20"/>
                <w:lang w:val="en-US"/>
              </w:rPr>
            </w:pPr>
            <w:r w:rsidRPr="001B1BA9">
              <w:rPr>
                <w:bCs/>
                <w:sz w:val="20"/>
              </w:rPr>
              <w:t>Gestion du spectre</w:t>
            </w:r>
          </w:p>
        </w:tc>
      </w:tr>
      <w:tr w:rsidR="00755DC1" w:rsidRPr="00DD5F95" w:rsidTr="002C61FE">
        <w:tc>
          <w:tcPr>
            <w:tcW w:w="1140" w:type="dxa"/>
            <w:tcBorders>
              <w:top w:val="nil"/>
              <w:bottom w:val="nil"/>
            </w:tcBorders>
            <w:shd w:val="clear" w:color="auto" w:fill="auto"/>
          </w:tcPr>
          <w:p w:rsidR="00755DC1" w:rsidRPr="00DD5F95" w:rsidRDefault="00755DC1" w:rsidP="002C61FE">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755DC1" w:rsidRPr="00DD5F95" w:rsidRDefault="00755DC1" w:rsidP="002C61FE">
            <w:pPr>
              <w:spacing w:before="30" w:after="30"/>
              <w:jc w:val="left"/>
              <w:rPr>
                <w:sz w:val="20"/>
                <w:lang w:val="en-US"/>
              </w:rPr>
            </w:pPr>
            <w:r w:rsidRPr="00DD5F95">
              <w:rPr>
                <w:sz w:val="20"/>
              </w:rPr>
              <w:t>Reportage d'actualités par satellite</w:t>
            </w:r>
          </w:p>
        </w:tc>
      </w:tr>
      <w:tr w:rsidR="00755DC1" w:rsidRPr="00540102" w:rsidTr="002C61FE">
        <w:tc>
          <w:tcPr>
            <w:tcW w:w="1140" w:type="dxa"/>
            <w:tcBorders>
              <w:top w:val="nil"/>
              <w:bottom w:val="nil"/>
            </w:tcBorders>
            <w:shd w:val="clear" w:color="auto" w:fill="auto"/>
          </w:tcPr>
          <w:p w:rsidR="00755DC1" w:rsidRPr="00540102" w:rsidRDefault="00755DC1" w:rsidP="002C61FE">
            <w:pPr>
              <w:spacing w:before="30" w:after="30"/>
              <w:ind w:left="57"/>
              <w:jc w:val="left"/>
              <w:rPr>
                <w:b/>
                <w:bCs/>
                <w:sz w:val="20"/>
                <w:lang w:val="en-US"/>
              </w:rPr>
            </w:pPr>
            <w:r w:rsidRPr="00540102">
              <w:rPr>
                <w:b/>
                <w:bCs/>
                <w:sz w:val="20"/>
                <w:lang w:val="en-US"/>
              </w:rPr>
              <w:t>TF</w:t>
            </w:r>
          </w:p>
        </w:tc>
        <w:tc>
          <w:tcPr>
            <w:tcW w:w="8220" w:type="dxa"/>
            <w:tcBorders>
              <w:top w:val="nil"/>
              <w:bottom w:val="nil"/>
            </w:tcBorders>
            <w:shd w:val="clear" w:color="auto" w:fill="auto"/>
          </w:tcPr>
          <w:p w:rsidR="00755DC1" w:rsidRPr="00540102" w:rsidRDefault="00755DC1" w:rsidP="002C61FE">
            <w:pPr>
              <w:spacing w:before="30" w:after="30"/>
              <w:jc w:val="left"/>
              <w:rPr>
                <w:sz w:val="20"/>
              </w:rPr>
            </w:pPr>
            <w:r w:rsidRPr="00540102">
              <w:rPr>
                <w:sz w:val="20"/>
              </w:rPr>
              <w:t>Emissions de fréquences étalon et de signaux horaires</w:t>
            </w:r>
          </w:p>
        </w:tc>
      </w:tr>
      <w:tr w:rsidR="00755DC1" w:rsidRPr="00540102" w:rsidTr="002C61FE">
        <w:tc>
          <w:tcPr>
            <w:tcW w:w="1140" w:type="dxa"/>
            <w:tcBorders>
              <w:top w:val="nil"/>
              <w:bottom w:val="single" w:sz="12" w:space="0" w:color="000080"/>
            </w:tcBorders>
            <w:shd w:val="clear" w:color="auto" w:fill="F3F3F3"/>
          </w:tcPr>
          <w:p w:rsidR="00755DC1" w:rsidRPr="00540102" w:rsidRDefault="00755DC1" w:rsidP="002C61FE">
            <w:pPr>
              <w:spacing w:before="30" w:after="30"/>
              <w:ind w:left="57"/>
              <w:jc w:val="left"/>
              <w:rPr>
                <w:b/>
                <w:bCs/>
                <w:color w:val="000080"/>
                <w:sz w:val="20"/>
                <w:lang w:val="en-US"/>
              </w:rPr>
            </w:pPr>
            <w:r w:rsidRPr="00540102">
              <w:rPr>
                <w:b/>
                <w:bCs/>
                <w:color w:val="000080"/>
                <w:sz w:val="20"/>
                <w:lang w:val="en-US"/>
              </w:rPr>
              <w:t>V</w:t>
            </w:r>
          </w:p>
        </w:tc>
        <w:tc>
          <w:tcPr>
            <w:tcW w:w="8220" w:type="dxa"/>
            <w:tcBorders>
              <w:top w:val="nil"/>
              <w:bottom w:val="single" w:sz="12" w:space="0" w:color="000080"/>
            </w:tcBorders>
            <w:shd w:val="clear" w:color="auto" w:fill="F3F3F3"/>
          </w:tcPr>
          <w:p w:rsidR="00755DC1" w:rsidRPr="00540102" w:rsidRDefault="00755DC1" w:rsidP="002C61FE">
            <w:pPr>
              <w:spacing w:before="30" w:after="140"/>
              <w:jc w:val="left"/>
              <w:rPr>
                <w:b/>
                <w:bCs/>
                <w:color w:val="000080"/>
                <w:sz w:val="20"/>
                <w:lang w:val="en-US"/>
              </w:rPr>
            </w:pPr>
            <w:r w:rsidRPr="00540102">
              <w:rPr>
                <w:b/>
                <w:bCs/>
                <w:color w:val="000080"/>
                <w:sz w:val="20"/>
              </w:rPr>
              <w:t>Vocabulaire et sujets associés</w:t>
            </w:r>
          </w:p>
        </w:tc>
      </w:tr>
    </w:tbl>
    <w:p w:rsidR="00755DC1" w:rsidRPr="00036EE3" w:rsidRDefault="00755DC1" w:rsidP="00755DC1">
      <w:pPr>
        <w:spacing w:before="0"/>
        <w:jc w:val="center"/>
        <w:rPr>
          <w:sz w:val="20"/>
          <w:lang w:val="en-US"/>
        </w:rPr>
      </w:pPr>
    </w:p>
    <w:p w:rsidR="00755DC1" w:rsidRPr="00036EE3" w:rsidRDefault="00755DC1" w:rsidP="00755DC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55DC1" w:rsidRPr="00756B4D" w:rsidTr="002C61FE">
        <w:tc>
          <w:tcPr>
            <w:tcW w:w="9360" w:type="dxa"/>
          </w:tcPr>
          <w:p w:rsidR="00755DC1" w:rsidRPr="00756B4D" w:rsidRDefault="00755DC1" w:rsidP="002C61F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55DC1" w:rsidRPr="00756B4D" w:rsidRDefault="00755DC1" w:rsidP="00755DC1">
      <w:pPr>
        <w:spacing w:before="0"/>
        <w:jc w:val="center"/>
        <w:rPr>
          <w:sz w:val="22"/>
        </w:rPr>
      </w:pPr>
    </w:p>
    <w:p w:rsidR="00755DC1" w:rsidRPr="00614CC6" w:rsidRDefault="00755DC1" w:rsidP="00755DC1">
      <w:pPr>
        <w:spacing w:before="100"/>
        <w:jc w:val="right"/>
        <w:rPr>
          <w:i/>
          <w:iCs/>
          <w:sz w:val="20"/>
        </w:rPr>
      </w:pPr>
      <w:r w:rsidRPr="00614CC6">
        <w:rPr>
          <w:i/>
          <w:iCs/>
          <w:sz w:val="20"/>
        </w:rPr>
        <w:t>Publication électronique</w:t>
      </w:r>
    </w:p>
    <w:p w:rsidR="00755DC1" w:rsidRPr="00614CC6" w:rsidRDefault="00755DC1" w:rsidP="00755DC1">
      <w:pPr>
        <w:spacing w:before="0"/>
        <w:jc w:val="right"/>
        <w:rPr>
          <w:sz w:val="20"/>
        </w:rPr>
      </w:pPr>
      <w:r w:rsidRPr="00614CC6">
        <w:rPr>
          <w:sz w:val="20"/>
        </w:rPr>
        <w:t>Genève, 20</w:t>
      </w:r>
      <w:r>
        <w:rPr>
          <w:sz w:val="20"/>
        </w:rPr>
        <w:t>16</w:t>
      </w:r>
    </w:p>
    <w:p w:rsidR="00755DC1" w:rsidRPr="00614CC6" w:rsidRDefault="00755DC1" w:rsidP="00755DC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755DC1" w:rsidRPr="00614CC6" w:rsidRDefault="00755DC1" w:rsidP="00755DC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55DC1" w:rsidRPr="00614CC6" w:rsidRDefault="00755DC1" w:rsidP="00755DC1">
      <w:pPr>
        <w:spacing w:before="160"/>
        <w:rPr>
          <w:i/>
          <w:sz w:val="20"/>
          <w:highlight w:val="yellow"/>
        </w:rPr>
        <w:sectPr w:rsidR="00755DC1"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55DC1" w:rsidRPr="00756B4D" w:rsidRDefault="00755DC1" w:rsidP="00755DC1">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V</w:t>
      </w:r>
      <w:r w:rsidRPr="00756B4D">
        <w:rPr>
          <w:rStyle w:val="href"/>
        </w:rPr>
        <w:t>.</w:t>
      </w:r>
      <w:r>
        <w:rPr>
          <w:rStyle w:val="href"/>
        </w:rPr>
        <w:t>665-3</w:t>
      </w:r>
    </w:p>
    <w:p w:rsidR="00755DC1" w:rsidRPr="00367BFC" w:rsidRDefault="00755DC1" w:rsidP="00755DC1">
      <w:pPr>
        <w:pStyle w:val="Rectitle"/>
      </w:pPr>
      <w:r w:rsidRPr="00367BFC">
        <w:t>Unité d'intensité du trafic</w:t>
      </w:r>
    </w:p>
    <w:p w:rsidR="00755DC1" w:rsidRDefault="00755DC1" w:rsidP="00755DC1">
      <w:pPr>
        <w:pStyle w:val="Recdate"/>
      </w:pPr>
      <w:r w:rsidRPr="00367BFC">
        <w:t>(1986-1990-2000-2015)</w:t>
      </w:r>
    </w:p>
    <w:p w:rsidR="00551CCE" w:rsidRPr="00551CCE" w:rsidRDefault="00551CCE" w:rsidP="00551CCE">
      <w:pPr>
        <w:pStyle w:val="Normalaftertitle"/>
      </w:pPr>
    </w:p>
    <w:p w:rsidR="00755DC1" w:rsidRPr="008033E5" w:rsidRDefault="00755DC1" w:rsidP="00755DC1">
      <w:pPr>
        <w:pStyle w:val="Headingb"/>
        <w:rPr>
          <w:sz w:val="22"/>
          <w:szCs w:val="22"/>
        </w:rPr>
      </w:pPr>
      <w:r w:rsidRPr="008033E5">
        <w:rPr>
          <w:sz w:val="22"/>
          <w:szCs w:val="22"/>
        </w:rPr>
        <w:t>Domaine de compétence</w:t>
      </w:r>
    </w:p>
    <w:p w:rsidR="00755DC1" w:rsidRPr="008033E5" w:rsidRDefault="00755DC1" w:rsidP="00755DC1">
      <w:pPr>
        <w:rPr>
          <w:sz w:val="22"/>
          <w:szCs w:val="22"/>
        </w:rPr>
      </w:pPr>
      <w:r w:rsidRPr="008033E5">
        <w:rPr>
          <w:sz w:val="22"/>
          <w:szCs w:val="22"/>
        </w:rPr>
        <w:t>Cette Recommandation définit la variable «intensité du trafic» et l'unité employée: l'erlang (E).</w:t>
      </w:r>
    </w:p>
    <w:p w:rsidR="00755DC1" w:rsidRPr="00367BFC" w:rsidRDefault="00755DC1" w:rsidP="00755DC1">
      <w:pPr>
        <w:pStyle w:val="Headingb"/>
        <w:spacing w:before="360"/>
      </w:pPr>
      <w:r w:rsidRPr="00367BFC">
        <w:t>Mots clés</w:t>
      </w:r>
    </w:p>
    <w:p w:rsidR="00755DC1" w:rsidRPr="00367BFC" w:rsidRDefault="00551CCE" w:rsidP="00755DC1">
      <w:pPr>
        <w:rPr>
          <w:lang w:eastAsia="ja-JP"/>
        </w:rPr>
      </w:pPr>
      <w:r>
        <w:rPr>
          <w:lang w:eastAsia="ja-JP"/>
        </w:rPr>
        <w:t>Intensité du trafic, erlang</w:t>
      </w:r>
    </w:p>
    <w:p w:rsidR="00755DC1" w:rsidRPr="00367BFC" w:rsidRDefault="00755DC1" w:rsidP="00755DC1">
      <w:pPr>
        <w:pStyle w:val="Headingb"/>
      </w:pPr>
      <w:r w:rsidRPr="00367BFC">
        <w:t>Recommandations connexes de l'UIT</w:t>
      </w:r>
    </w:p>
    <w:p w:rsidR="00755DC1" w:rsidRPr="00367BFC" w:rsidRDefault="00755DC1" w:rsidP="00755DC1">
      <w:pPr>
        <w:tabs>
          <w:tab w:val="left" w:pos="397"/>
        </w:tabs>
        <w:spacing w:before="86"/>
        <w:ind w:left="3686" w:hanging="3686"/>
        <w:rPr>
          <w:rFonts w:asciiTheme="majorBidi" w:hAnsiTheme="majorBidi" w:cstheme="majorBidi"/>
          <w:b/>
          <w:color w:val="800000"/>
        </w:rPr>
      </w:pPr>
      <w:r w:rsidRPr="00367BFC">
        <w:rPr>
          <w:rFonts w:asciiTheme="majorBidi" w:hAnsiTheme="majorBidi" w:cstheme="majorBidi"/>
        </w:rPr>
        <w:t>Recommandation UIT-R V.430-4</w:t>
      </w:r>
      <w:r w:rsidRPr="00367BFC">
        <w:rPr>
          <w:rFonts w:asciiTheme="majorBidi" w:hAnsiTheme="majorBidi" w:cstheme="majorBidi"/>
        </w:rPr>
        <w:tab/>
      </w:r>
      <w:r w:rsidRPr="00367BFC">
        <w:rPr>
          <w:rFonts w:asciiTheme="majorBidi" w:hAnsiTheme="majorBidi" w:cstheme="majorBidi"/>
          <w:color w:val="000000"/>
        </w:rPr>
        <w:t>Emploi du système international d'unités (SI)</w:t>
      </w:r>
      <w:r w:rsidRPr="00367BFC">
        <w:rPr>
          <w:rFonts w:asciiTheme="majorBidi" w:hAnsiTheme="majorBidi" w:cstheme="majorBidi"/>
          <w:b/>
          <w:color w:val="800000"/>
        </w:rPr>
        <w:t xml:space="preserve"> </w:t>
      </w:r>
    </w:p>
    <w:p w:rsidR="00755DC1" w:rsidRPr="008033E5" w:rsidRDefault="00755DC1" w:rsidP="00755DC1">
      <w:pPr>
        <w:tabs>
          <w:tab w:val="left" w:pos="397"/>
        </w:tabs>
        <w:spacing w:before="86"/>
        <w:ind w:left="3686" w:hanging="3686"/>
        <w:rPr>
          <w:rFonts w:asciiTheme="majorBidi" w:hAnsiTheme="majorBidi" w:cstheme="majorBidi"/>
        </w:rPr>
      </w:pPr>
      <w:r w:rsidRPr="00367BFC">
        <w:rPr>
          <w:rFonts w:asciiTheme="majorBidi" w:hAnsiTheme="majorBidi" w:cstheme="majorBidi"/>
        </w:rPr>
        <w:t>Recommandation UIT-R V.431-8</w:t>
      </w:r>
      <w:r w:rsidRPr="00367BFC">
        <w:rPr>
          <w:rFonts w:asciiTheme="majorBidi" w:hAnsiTheme="majorBidi" w:cstheme="majorBidi"/>
        </w:rPr>
        <w:tab/>
      </w:r>
      <w:r w:rsidRPr="008033E5">
        <w:rPr>
          <w:rFonts w:asciiTheme="majorBidi" w:hAnsiTheme="majorBidi" w:cstheme="majorBidi"/>
        </w:rPr>
        <w:t xml:space="preserve">Nomenclature des bandes de fréquences et de longueurs d'onde employées en télécommunication </w:t>
      </w:r>
    </w:p>
    <w:p w:rsidR="00755DC1" w:rsidRPr="008033E5" w:rsidRDefault="00755DC1" w:rsidP="00755DC1">
      <w:pPr>
        <w:tabs>
          <w:tab w:val="left" w:pos="397"/>
        </w:tabs>
        <w:spacing w:before="86"/>
        <w:ind w:left="3686" w:hanging="3686"/>
        <w:rPr>
          <w:rFonts w:asciiTheme="majorBidi" w:hAnsiTheme="majorBidi" w:cstheme="majorBidi"/>
        </w:rPr>
      </w:pPr>
      <w:r w:rsidRPr="00367BFC">
        <w:rPr>
          <w:rFonts w:asciiTheme="majorBidi" w:hAnsiTheme="majorBidi" w:cstheme="majorBidi"/>
        </w:rPr>
        <w:t>Recommandation UIT-R V.573-6</w:t>
      </w:r>
      <w:r w:rsidRPr="00367BFC">
        <w:rPr>
          <w:rFonts w:asciiTheme="majorBidi" w:hAnsiTheme="majorBidi" w:cstheme="majorBidi"/>
        </w:rPr>
        <w:tab/>
      </w:r>
      <w:r w:rsidRPr="008033E5">
        <w:rPr>
          <w:rFonts w:asciiTheme="majorBidi" w:hAnsiTheme="majorBidi" w:cstheme="majorBidi"/>
        </w:rPr>
        <w:t xml:space="preserve">Vocabulaire des radiocommunications </w:t>
      </w:r>
    </w:p>
    <w:p w:rsidR="00755DC1" w:rsidRPr="008033E5" w:rsidRDefault="00755DC1" w:rsidP="00755DC1">
      <w:pPr>
        <w:tabs>
          <w:tab w:val="left" w:pos="397"/>
        </w:tabs>
        <w:spacing w:before="86"/>
        <w:ind w:left="3686" w:hanging="3686"/>
        <w:rPr>
          <w:rFonts w:asciiTheme="majorBidi" w:hAnsiTheme="majorBidi" w:cstheme="majorBidi"/>
        </w:rPr>
      </w:pPr>
      <w:r w:rsidRPr="00367BFC">
        <w:rPr>
          <w:rFonts w:asciiTheme="majorBidi" w:hAnsiTheme="majorBidi" w:cstheme="majorBidi"/>
        </w:rPr>
        <w:t>Recommandation UIT-R V.574-5</w:t>
      </w:r>
      <w:r w:rsidRPr="00367BFC">
        <w:rPr>
          <w:rFonts w:asciiTheme="majorBidi" w:hAnsiTheme="majorBidi" w:cstheme="majorBidi"/>
        </w:rPr>
        <w:tab/>
      </w:r>
      <w:r w:rsidRPr="008033E5">
        <w:rPr>
          <w:rFonts w:asciiTheme="majorBidi" w:hAnsiTheme="majorBidi" w:cstheme="majorBidi"/>
        </w:rPr>
        <w:t xml:space="preserve">Emploi du décibel et du néper dans les télécommunications </w:t>
      </w:r>
    </w:p>
    <w:p w:rsidR="00755DC1" w:rsidRPr="00367BFC" w:rsidRDefault="00755DC1" w:rsidP="00755DC1">
      <w:pPr>
        <w:spacing w:before="360"/>
      </w:pPr>
      <w:r w:rsidRPr="00367BFC">
        <w:t>L'Assemblée des radiocommunications de l</w:t>
      </w:r>
      <w:r>
        <w:t>'</w:t>
      </w:r>
      <w:r w:rsidRPr="00367BFC">
        <w:t>UIT,</w:t>
      </w:r>
    </w:p>
    <w:p w:rsidR="00755DC1" w:rsidRPr="00367BFC" w:rsidRDefault="00755DC1" w:rsidP="00755DC1">
      <w:pPr>
        <w:pStyle w:val="Call"/>
      </w:pPr>
      <w:r w:rsidRPr="00367BFC">
        <w:t>considérant</w:t>
      </w:r>
    </w:p>
    <w:p w:rsidR="00755DC1" w:rsidRPr="00367BFC" w:rsidRDefault="00755DC1" w:rsidP="00755DC1">
      <w:r w:rsidRPr="008033E5">
        <w:rPr>
          <w:i/>
          <w:iCs/>
        </w:rPr>
        <w:t>a)</w:t>
      </w:r>
      <w:r w:rsidRPr="00367BFC">
        <w:tab/>
        <w:t>que, dans les textes de l'UIT-T portant sur les opérations et les tarifs télégraphiques et dans les textes de l'UIT</w:t>
      </w:r>
      <w:r w:rsidRPr="00367BFC">
        <w:noBreakHyphen/>
        <w:t>R concernant les transmissions radiotéléphoniques (par exemple, les faisceaux hertziens pour le téléphone et la radiotéléphonie pour le service mobile maritime), on utilise la quantité «intensité du trafic» et l'unité dans laquelle elle est exprimée, et que, avec les progrès en matière de télécommunication, ce terme et son unité seront employés de plus en plus;</w:t>
      </w:r>
    </w:p>
    <w:p w:rsidR="00755DC1" w:rsidRPr="00367BFC" w:rsidRDefault="00755DC1" w:rsidP="00551CCE">
      <w:r w:rsidRPr="008033E5">
        <w:rPr>
          <w:i/>
          <w:iCs/>
        </w:rPr>
        <w:t>b)</w:t>
      </w:r>
      <w:r w:rsidRPr="00367BFC">
        <w:tab/>
        <w:t>que la variable de trafic et son unité «erlang» sont définies dans la Recommandation</w:t>
      </w:r>
      <w:r w:rsidR="00551CCE">
        <w:t xml:space="preserve"> </w:t>
      </w:r>
      <w:r w:rsidRPr="00367BFC">
        <w:t>UIT</w:t>
      </w:r>
      <w:r w:rsidR="00551CCE">
        <w:noBreakHyphen/>
      </w:r>
      <w:r w:rsidRPr="00367BFC">
        <w:t>T</w:t>
      </w:r>
      <w:r w:rsidR="00551CCE">
        <w:t> </w:t>
      </w:r>
      <w:r w:rsidRPr="00367BFC">
        <w:t>E.600 et reproduits ci</w:t>
      </w:r>
      <w:r w:rsidRPr="00367BFC">
        <w:noBreakHyphen/>
        <w:t>après,</w:t>
      </w:r>
    </w:p>
    <w:p w:rsidR="00755DC1" w:rsidRPr="00367BFC" w:rsidRDefault="00755DC1" w:rsidP="00755DC1">
      <w:pPr>
        <w:pStyle w:val="Call"/>
      </w:pPr>
      <w:r w:rsidRPr="00367BFC">
        <w:t>recommande</w:t>
      </w:r>
    </w:p>
    <w:p w:rsidR="00755DC1" w:rsidRPr="00367BFC" w:rsidRDefault="00755DC1" w:rsidP="00755DC1">
      <w:r w:rsidRPr="00367BFC">
        <w:rPr>
          <w:b/>
          <w:bCs/>
        </w:rPr>
        <w:t>1</w:t>
      </w:r>
      <w:r w:rsidRPr="00367BFC">
        <w:tab/>
        <w:t>d'utiliser, pour les besoins des télécommunications, les définitions suivantes:</w:t>
      </w:r>
    </w:p>
    <w:p w:rsidR="00755DC1" w:rsidRPr="00367BFC" w:rsidRDefault="00755DC1" w:rsidP="00755DC1">
      <w:pPr>
        <w:spacing w:before="80"/>
      </w:pPr>
      <w:r w:rsidRPr="00367BFC">
        <w:rPr>
          <w:b/>
        </w:rPr>
        <w:t>intensité du trafic</w:t>
      </w:r>
      <w:r w:rsidRPr="00367BFC">
        <w:t>: l'intensité du trafic instantané dans un groupe de ressources</w:t>
      </w:r>
      <w:r w:rsidRPr="00367BFC">
        <w:rPr>
          <w:rStyle w:val="FootnoteReference"/>
          <w:rFonts w:asciiTheme="majorBidi" w:hAnsiTheme="majorBidi" w:cstheme="majorBidi"/>
          <w:sz w:val="22"/>
          <w:vertAlign w:val="superscript"/>
        </w:rPr>
        <w:footnoteReference w:id="1"/>
      </w:r>
      <w:r w:rsidRPr="00367BFC">
        <w:t xml:space="preserve"> est le nombre de ressources occupées à un instant donné.</w:t>
      </w:r>
    </w:p>
    <w:p w:rsidR="00755DC1" w:rsidRPr="00367BFC" w:rsidRDefault="00755DC1" w:rsidP="00551CCE">
      <w:r w:rsidRPr="00367BFC">
        <w:t xml:space="preserve">NOTE 1 – Les moments statistiques peuvent être calculés pendant une période de temps donnée; par exemple l'intensité du trafic moyen </w:t>
      </w:r>
      <w:r w:rsidR="00584DDE" w:rsidRPr="00584DDE">
        <w:rPr>
          <w:position w:val="-10"/>
        </w:rPr>
        <w:object w:dxaOrig="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1pt;height:17.8pt" o:ole="">
            <v:imagedata r:id="rId13" o:title=""/>
          </v:shape>
          <o:OLEObject Type="Embed" ProgID="Equation.3" ShapeID="_x0000_i1035" DrawAspect="Content" ObjectID="_1540716085" r:id="rId14"/>
        </w:object>
      </w:r>
      <w:r w:rsidRPr="00367BFC">
        <w:t xml:space="preserve"> est liée à l'intensité du trafic instantané A(</w:t>
      </w:r>
      <w:r w:rsidRPr="00807CFE">
        <w:rPr>
          <w:i/>
          <w:iCs/>
        </w:rPr>
        <w:t>t</w:t>
      </w:r>
      <w:r w:rsidRPr="00367BFC">
        <w:t>) par la formule:</w:t>
      </w:r>
    </w:p>
    <w:p w:rsidR="00755DC1" w:rsidRPr="00367BFC" w:rsidRDefault="00807CFE" w:rsidP="00807CFE">
      <w:pPr>
        <w:pStyle w:val="Equation"/>
      </w:pPr>
      <w:r>
        <w:tab/>
      </w:r>
      <w:r>
        <w:tab/>
      </w:r>
      <w:r w:rsidRPr="00807CFE">
        <w:rPr>
          <w:position w:val="-34"/>
        </w:rPr>
        <w:object w:dxaOrig="2640" w:dyaOrig="800">
          <v:shape id="_x0000_i1032" type="#_x0000_t75" style="width:131.85pt;height:39.65pt" o:ole="">
            <v:imagedata r:id="rId15" o:title=""/>
          </v:shape>
          <o:OLEObject Type="Embed" ProgID="Equation.3" ShapeID="_x0000_i1032" DrawAspect="Content" ObjectID="_1540716086" r:id="rId16"/>
        </w:object>
      </w:r>
    </w:p>
    <w:p w:rsidR="00755DC1" w:rsidRPr="00367BFC" w:rsidRDefault="00755DC1" w:rsidP="00755DC1">
      <w:r w:rsidRPr="00367BFC">
        <w:t>Dans les applications, le terme intensité du trafic signifie habituellement intensité du trafic moyen.</w:t>
      </w:r>
    </w:p>
    <w:p w:rsidR="00755DC1" w:rsidRPr="00367BFC" w:rsidRDefault="00755DC1" w:rsidP="00551CCE">
      <w:r w:rsidRPr="00367BFC">
        <w:lastRenderedPageBreak/>
        <w:t>NOTE 2 – L'intensité du trafic est équivalente au produit du taux d'arrivée et du temps moyen d'occupation.</w:t>
      </w:r>
    </w:p>
    <w:p w:rsidR="00755DC1" w:rsidRPr="00367BFC" w:rsidRDefault="00755DC1" w:rsidP="00551CCE">
      <w:r w:rsidRPr="00367BFC">
        <w:t>NOTE 3 – L'unité habituellement utilisée est l'erlang (symbole: E).</w:t>
      </w:r>
    </w:p>
    <w:p w:rsidR="00755DC1" w:rsidRPr="00367BFC" w:rsidRDefault="00755DC1" w:rsidP="00551CCE">
      <w:r w:rsidRPr="00367BFC">
        <w:rPr>
          <w:b/>
        </w:rPr>
        <w:t>erlang</w:t>
      </w:r>
      <w:r w:rsidRPr="00367BFC">
        <w:t>: unité d'intensité de trafic (symbole: E). Un erlang correspond à l'intensité du trafic d'un groupe de ressources, lorsqu'une seule des ressources est occupée.</w:t>
      </w:r>
    </w:p>
    <w:p w:rsidR="00755DC1" w:rsidRPr="00367BFC" w:rsidRDefault="00755DC1" w:rsidP="00551CCE">
      <w:r w:rsidRPr="00367BFC">
        <w:t>NOTE – C'est en 1946 que le CCIF a donné le nom d'«erlang» à l'unité d'intensité du trafic en l'honneur du mathématicien danois A. K. Erlang (1878-1929), qui a élaboré la théorie du trafic en téléphonie.</w:t>
      </w:r>
    </w:p>
    <w:p w:rsidR="00A6617B" w:rsidRDefault="00A6617B" w:rsidP="00242AEE">
      <w:pPr>
        <w:pStyle w:val="HeadingSum"/>
        <w:rPr>
          <w:lang w:val="fr-FR"/>
        </w:rPr>
      </w:pPr>
    </w:p>
    <w:p w:rsidR="00755DC1" w:rsidRPr="00755DC1" w:rsidRDefault="00755DC1" w:rsidP="00755DC1">
      <w:pPr>
        <w:jc w:val="center"/>
      </w:pPr>
      <w:r>
        <w:t>_______________</w:t>
      </w:r>
    </w:p>
    <w:sectPr w:rsidR="00755DC1" w:rsidRPr="00755DC1" w:rsidSect="00551CCE">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DC1" w:rsidRDefault="00755DC1">
      <w:r>
        <w:separator/>
      </w:r>
    </w:p>
  </w:endnote>
  <w:endnote w:type="continuationSeparator" w:id="0">
    <w:p w:rsidR="00755DC1" w:rsidRDefault="0075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DC1" w:rsidRDefault="00755DC1">
      <w:r>
        <w:separator/>
      </w:r>
    </w:p>
  </w:footnote>
  <w:footnote w:type="continuationSeparator" w:id="0">
    <w:p w:rsidR="00755DC1" w:rsidRDefault="00755DC1">
      <w:r>
        <w:continuationSeparator/>
      </w:r>
    </w:p>
  </w:footnote>
  <w:footnote w:id="1">
    <w:p w:rsidR="00755DC1" w:rsidRPr="006F3E25" w:rsidRDefault="00755DC1" w:rsidP="00755DC1">
      <w:pPr>
        <w:pStyle w:val="FootnoteText"/>
        <w:rPr>
          <w:lang w:val="fr-CH"/>
        </w:rPr>
      </w:pPr>
      <w:r>
        <w:rPr>
          <w:rStyle w:val="FootnoteReference"/>
        </w:rPr>
        <w:footnoteRef/>
      </w:r>
      <w:r>
        <w:rPr>
          <w:lang w:val="fr-CH"/>
        </w:rPr>
        <w:tab/>
      </w:r>
      <w:r w:rsidRPr="002F22B9">
        <w:t>On désigne par le terme «ressource» toute entité définissable matériellement ou intellectuellement dont l'utilisation et l'état peuvent être à tout instant déterminés sans ambiguïté, par exemple, un circuit de télécommunication, un commutateur, une ligne d'abonné, ou un canal radioélectrique.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DC1" w:rsidRDefault="00755D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DC1" w:rsidRDefault="00755DC1" w:rsidP="00C668C8">
    <w:pPr>
      <w:pStyle w:val="Header"/>
      <w:ind w:right="360" w:firstLine="360"/>
    </w:pPr>
    <w:r>
      <w:rPr>
        <w:noProof/>
        <w:lang w:val="en-US" w:eastAsia="zh-CN"/>
      </w:rPr>
      <w:drawing>
        <wp:anchor distT="0" distB="0" distL="114300" distR="114300" simplePos="0" relativeHeight="251659264" behindDoc="1" locked="0" layoutInCell="1" allowOverlap="1" wp14:anchorId="76609D3F" wp14:editId="737D6BE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DC1" w:rsidRPr="00837CB5" w:rsidRDefault="00755DC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F4D25">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sidR="002F4D25" w:rsidRPr="002F4D25">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F4D25">
      <w:rPr>
        <w:b/>
        <w:bCs/>
        <w:noProof/>
      </w:rPr>
      <w:t>UIT-R  V.665-3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DC1" w:rsidRDefault="00755DC1">
    <w:pPr>
      <w:pStyle w:val="Header"/>
    </w:pPr>
    <w:r>
      <w:tab/>
    </w:r>
    <w:r>
      <w:fldChar w:fldCharType="begin"/>
    </w:r>
    <w:r>
      <w:instrText xml:space="preserve"> DOCPROPERTY "Header" \* MERGEFORMAT </w:instrText>
    </w:r>
    <w:r>
      <w:fldChar w:fldCharType="separate"/>
    </w:r>
    <w:r w:rsidR="002F4D25" w:rsidRPr="002F4D2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F4D25">
      <w:rPr>
        <w:b/>
        <w:bCs/>
        <w:noProof/>
      </w:rPr>
      <w:t>UIT-R  V.665-3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4D25">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F4D25" w:rsidRPr="002F4D2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F4D25">
      <w:rPr>
        <w:b/>
        <w:bCs/>
        <w:noProof/>
      </w:rPr>
      <w:t>UIT-R  V.665-3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2F4D25">
      <w:fldChar w:fldCharType="begin"/>
    </w:r>
    <w:r w:rsidR="002F4D25">
      <w:instrText xml:space="preserve"> DOCPROPERTY "Header" \* MERGEFORMAT </w:instrText>
    </w:r>
    <w:r w:rsidR="002F4D25">
      <w:fldChar w:fldCharType="separate"/>
    </w:r>
    <w:r w:rsidR="002F4D25" w:rsidRPr="002F4D25">
      <w:rPr>
        <w:b/>
        <w:bCs/>
      </w:rPr>
      <w:t xml:space="preserve">Rec. </w:t>
    </w:r>
    <w:r w:rsidR="002F4D25">
      <w:rPr>
        <w:b/>
        <w:bCs/>
      </w:rPr>
      <w:fldChar w:fldCharType="end"/>
    </w:r>
    <w:r>
      <w:rPr>
        <w:b/>
        <w:bCs/>
      </w:rPr>
      <w:t xml:space="preserve"> </w:t>
    </w:r>
    <w:r>
      <w:rPr>
        <w:b/>
        <w:bCs/>
      </w:rPr>
      <w:fldChar w:fldCharType="begin"/>
    </w:r>
    <w:r>
      <w:rPr>
        <w:b/>
        <w:bCs/>
      </w:rPr>
      <w:instrText>styleref href</w:instrText>
    </w:r>
    <w:r>
      <w:rPr>
        <w:b/>
        <w:bCs/>
      </w:rPr>
      <w:fldChar w:fldCharType="separate"/>
    </w:r>
    <w:r w:rsidR="002F4D25">
      <w:rPr>
        <w:b/>
        <w:bCs/>
        <w:noProof/>
      </w:rPr>
      <w:t>UIT-R  V.665-3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4D2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DC1"/>
    <w:rsid w:val="00095799"/>
    <w:rsid w:val="00217EBF"/>
    <w:rsid w:val="00242AEE"/>
    <w:rsid w:val="002D76C4"/>
    <w:rsid w:val="002F4D25"/>
    <w:rsid w:val="0052529D"/>
    <w:rsid w:val="00551CCE"/>
    <w:rsid w:val="00584DDE"/>
    <w:rsid w:val="00607D68"/>
    <w:rsid w:val="007468DA"/>
    <w:rsid w:val="00755DC1"/>
    <w:rsid w:val="00807CFE"/>
    <w:rsid w:val="009E00A8"/>
    <w:rsid w:val="00A6617B"/>
    <w:rsid w:val="00AB0DC8"/>
    <w:rsid w:val="00B44E24"/>
    <w:rsid w:val="00C2714F"/>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77DA0D-1607-4BCE-A7B5-2BEB5756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D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55DC1"/>
    <w:rPr>
      <w:color w:val="0000FF"/>
      <w:u w:val="single"/>
    </w:rPr>
  </w:style>
  <w:style w:type="character" w:customStyle="1" w:styleId="FootnoteTextChar">
    <w:name w:val="Footnote Text Char"/>
    <w:basedOn w:val="DefaultParagraphFont"/>
    <w:link w:val="FootnoteText"/>
    <w:rsid w:val="00755DC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AC700-5D3B-429C-ACDB-5D0191C67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4</Pages>
  <Words>716</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7</cp:revision>
  <cp:lastPrinted>2016-11-15T10:51:00Z</cp:lastPrinted>
  <dcterms:created xsi:type="dcterms:W3CDTF">2016-11-15T10:21:00Z</dcterms:created>
  <dcterms:modified xsi:type="dcterms:W3CDTF">2016-11-15T10:53:00Z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