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4EE1A" w14:textId="77777777" w:rsidR="00984D8F" w:rsidRPr="00A93CE6" w:rsidRDefault="00984D8F" w:rsidP="00984D8F">
      <w:pPr>
        <w:rPr>
          <w:sz w:val="32"/>
          <w:szCs w:val="32"/>
          <w:lang w:val="ru-RU"/>
        </w:rPr>
      </w:pPr>
      <w:bookmarkStart w:id="0" w:name="lt_pId003"/>
      <w:r w:rsidRPr="00A93CE6">
        <w:rPr>
          <w:sz w:val="32"/>
          <w:szCs w:val="32"/>
          <w:lang w:val="ru-RU"/>
        </w:rPr>
        <w:t>Руководящие указания ГСР</w:t>
      </w:r>
      <w:r w:rsidRPr="00A93CE6">
        <w:rPr>
          <w:sz w:val="32"/>
          <w:szCs w:val="32"/>
          <w:lang w:val="ru-RU"/>
        </w:rPr>
        <w:noBreakHyphen/>
        <w:t>20 на основе примеров передового опыта</w:t>
      </w:r>
    </w:p>
    <w:p w14:paraId="6B6F2386" w14:textId="4DAEECB4" w:rsidR="00984D8F" w:rsidRPr="00A93CE6" w:rsidRDefault="00984D8F" w:rsidP="00984D8F">
      <w:pPr>
        <w:rPr>
          <w:b/>
          <w:bCs/>
          <w:sz w:val="32"/>
          <w:szCs w:val="32"/>
          <w:lang w:val="ru-RU"/>
        </w:rPr>
      </w:pPr>
      <w:r w:rsidRPr="00A93CE6">
        <w:rPr>
          <w:b/>
          <w:bCs/>
          <w:sz w:val="32"/>
          <w:szCs w:val="32"/>
          <w:lang w:val="ru-RU"/>
        </w:rPr>
        <w:t xml:space="preserve">Золотой стандарт </w:t>
      </w:r>
      <w:r w:rsidR="00814EB5" w:rsidRPr="00A93CE6">
        <w:rPr>
          <w:b/>
          <w:bCs/>
          <w:sz w:val="32"/>
          <w:szCs w:val="32"/>
          <w:lang w:val="ru-RU"/>
        </w:rPr>
        <w:t xml:space="preserve">для </w:t>
      </w:r>
      <w:r w:rsidRPr="00A93CE6">
        <w:rPr>
          <w:b/>
          <w:bCs/>
          <w:sz w:val="32"/>
          <w:szCs w:val="32"/>
          <w:lang w:val="ru-RU"/>
        </w:rPr>
        <w:t>цифрового регулирования</w:t>
      </w:r>
    </w:p>
    <w:p w14:paraId="21B2C1D8" w14:textId="77777777" w:rsidR="00984D8F" w:rsidRPr="00A93CE6" w:rsidRDefault="00984D8F" w:rsidP="00984D8F">
      <w:pPr>
        <w:rPr>
          <w:i/>
          <w:iCs/>
          <w:lang w:val="ru-RU"/>
        </w:rPr>
      </w:pPr>
      <w:r w:rsidRPr="00A93CE6">
        <w:rPr>
          <w:i/>
          <w:iCs/>
          <w:lang w:val="ru-RU"/>
        </w:rPr>
        <w:t>Первый вариант, 10 августа 2020 года</w:t>
      </w:r>
    </w:p>
    <w:p w14:paraId="4EC0AF0F" w14:textId="74956486" w:rsidR="00EB73D9" w:rsidRPr="00A93CE6" w:rsidRDefault="00814EB5" w:rsidP="00EB73D9">
      <w:pPr>
        <w:rPr>
          <w:lang w:val="ru-RU"/>
        </w:rPr>
      </w:pPr>
      <w:r w:rsidRPr="00A93CE6">
        <w:rPr>
          <w:lang w:val="ru-RU"/>
        </w:rPr>
        <w:t>П</w:t>
      </w:r>
      <w:r w:rsidR="00B86AC7" w:rsidRPr="00A93CE6">
        <w:rPr>
          <w:lang w:val="ru-RU"/>
        </w:rPr>
        <w:t>оддержк</w:t>
      </w:r>
      <w:r w:rsidRPr="00A93CE6">
        <w:rPr>
          <w:lang w:val="ru-RU"/>
        </w:rPr>
        <w:t>а</w:t>
      </w:r>
      <w:r w:rsidR="00B86AC7" w:rsidRPr="00A93CE6">
        <w:rPr>
          <w:lang w:val="ru-RU"/>
        </w:rPr>
        <w:t xml:space="preserve"> устойчивого роста цифровой экономики</w:t>
      </w:r>
      <w:r w:rsidRPr="00A93CE6">
        <w:rPr>
          <w:lang w:val="ru-RU"/>
        </w:rPr>
        <w:t>, а также</w:t>
      </w:r>
      <w:r w:rsidR="00B86AC7" w:rsidRPr="00A93CE6">
        <w:rPr>
          <w:lang w:val="ru-RU"/>
        </w:rPr>
        <w:t xml:space="preserve"> обеспечени</w:t>
      </w:r>
      <w:r w:rsidRPr="00A93CE6">
        <w:rPr>
          <w:lang w:val="ru-RU"/>
        </w:rPr>
        <w:t>е</w:t>
      </w:r>
      <w:r w:rsidR="00B86AC7" w:rsidRPr="00A93CE6">
        <w:rPr>
          <w:lang w:val="ru-RU"/>
        </w:rPr>
        <w:t xml:space="preserve"> бесперебойного предоставления услуг и ведения хозяйственной деятельности, в том числе </w:t>
      </w:r>
      <w:r w:rsidRPr="00A93CE6">
        <w:rPr>
          <w:lang w:val="ru-RU"/>
        </w:rPr>
        <w:t>в период</w:t>
      </w:r>
      <w:r w:rsidR="00B86AC7" w:rsidRPr="00A93CE6">
        <w:rPr>
          <w:lang w:val="ru-RU"/>
        </w:rPr>
        <w:t xml:space="preserve"> кризиса, </w:t>
      </w:r>
      <w:r w:rsidRPr="00A93CE6">
        <w:rPr>
          <w:lang w:val="ru-RU"/>
        </w:rPr>
        <w:t xml:space="preserve">требуют от </w:t>
      </w:r>
      <w:r w:rsidR="00B86AC7" w:rsidRPr="00A93CE6">
        <w:rPr>
          <w:lang w:val="ru-RU"/>
        </w:rPr>
        <w:t>регуляторны</w:t>
      </w:r>
      <w:r w:rsidRPr="00A93CE6">
        <w:rPr>
          <w:lang w:val="ru-RU"/>
        </w:rPr>
        <w:t>х</w:t>
      </w:r>
      <w:r w:rsidR="00B86AC7" w:rsidRPr="00A93CE6">
        <w:rPr>
          <w:lang w:val="ru-RU"/>
        </w:rPr>
        <w:t xml:space="preserve"> и директивны</w:t>
      </w:r>
      <w:r w:rsidRPr="00A93CE6">
        <w:rPr>
          <w:lang w:val="ru-RU"/>
        </w:rPr>
        <w:t>х</w:t>
      </w:r>
      <w:r w:rsidR="00B86AC7" w:rsidRPr="00A93CE6">
        <w:rPr>
          <w:lang w:val="ru-RU"/>
        </w:rPr>
        <w:t xml:space="preserve"> орган</w:t>
      </w:r>
      <w:r w:rsidRPr="00A93CE6">
        <w:rPr>
          <w:lang w:val="ru-RU"/>
        </w:rPr>
        <w:t>ов</w:t>
      </w:r>
      <w:r w:rsidR="00B86AC7" w:rsidRPr="00A93CE6">
        <w:rPr>
          <w:lang w:val="ru-RU"/>
        </w:rPr>
        <w:t xml:space="preserve"> </w:t>
      </w:r>
      <w:r w:rsidRPr="00A93CE6">
        <w:rPr>
          <w:lang w:val="ru-RU"/>
        </w:rPr>
        <w:t>поиска</w:t>
      </w:r>
      <w:r w:rsidR="009C2EC4" w:rsidRPr="00A93CE6">
        <w:rPr>
          <w:lang w:val="ru-RU"/>
        </w:rPr>
        <w:t xml:space="preserve"> </w:t>
      </w:r>
      <w:r w:rsidRPr="00A93CE6">
        <w:rPr>
          <w:lang w:val="ru-RU"/>
        </w:rPr>
        <w:t>обоснованного</w:t>
      </w:r>
      <w:r w:rsidR="009C2EC4" w:rsidRPr="00A93CE6">
        <w:rPr>
          <w:lang w:val="ru-RU"/>
        </w:rPr>
        <w:t xml:space="preserve"> баланс</w:t>
      </w:r>
      <w:r w:rsidRPr="00A93CE6">
        <w:rPr>
          <w:lang w:val="ru-RU"/>
        </w:rPr>
        <w:t>а</w:t>
      </w:r>
      <w:r w:rsidR="009C2EC4" w:rsidRPr="00A93CE6">
        <w:rPr>
          <w:lang w:val="ru-RU"/>
        </w:rPr>
        <w:t xml:space="preserve"> между мерами содействия цифровой трансформации и приемлемой в ценовом отношении возможности установления соединений, с одной стороны, и обеспечением выполнения долгосрочных социально-политических задач</w:t>
      </w:r>
      <w:r w:rsidRPr="00A93CE6">
        <w:rPr>
          <w:lang w:val="ru-RU"/>
        </w:rPr>
        <w:t>,</w:t>
      </w:r>
      <w:r w:rsidR="009C2EC4" w:rsidRPr="00A93CE6">
        <w:rPr>
          <w:lang w:val="ru-RU"/>
        </w:rPr>
        <w:t xml:space="preserve"> с другой стороны</w:t>
      </w:r>
      <w:r w:rsidR="00EB73D9" w:rsidRPr="00A93CE6">
        <w:rPr>
          <w:lang w:val="ru-RU"/>
        </w:rPr>
        <w:t>.</w:t>
      </w:r>
      <w:bookmarkEnd w:id="0"/>
      <w:r w:rsidR="00EB73D9" w:rsidRPr="00A93CE6">
        <w:rPr>
          <w:lang w:val="ru-RU"/>
        </w:rPr>
        <w:t xml:space="preserve"> </w:t>
      </w:r>
      <w:bookmarkStart w:id="1" w:name="lt_pId004"/>
      <w:r w:rsidR="009C2EC4" w:rsidRPr="00A93CE6">
        <w:rPr>
          <w:lang w:val="ru-RU"/>
        </w:rPr>
        <w:t>Ввиду этого необходимой является гибкая, устойчивая, предполагающая сотрудничество и соответствующая своим целям регуляторная экосистема</w:t>
      </w:r>
      <w:r w:rsidR="00DC04D6" w:rsidRPr="00A93CE6">
        <w:rPr>
          <w:lang w:val="ru-RU"/>
        </w:rPr>
        <w:t>,</w:t>
      </w:r>
      <w:r w:rsidR="009C2EC4" w:rsidRPr="00A93CE6">
        <w:rPr>
          <w:lang w:val="ru-RU"/>
        </w:rPr>
        <w:t xml:space="preserve"> для </w:t>
      </w:r>
      <w:r w:rsidR="00DC04D6" w:rsidRPr="00A93CE6">
        <w:rPr>
          <w:lang w:val="ru-RU"/>
        </w:rPr>
        <w:t xml:space="preserve">того чтобы </w:t>
      </w:r>
      <w:r w:rsidR="009C2EC4" w:rsidRPr="00A93CE6">
        <w:rPr>
          <w:lang w:val="ru-RU"/>
        </w:rPr>
        <w:t>открыты</w:t>
      </w:r>
      <w:r w:rsidR="00DC04D6" w:rsidRPr="00A93CE6">
        <w:rPr>
          <w:lang w:val="ru-RU"/>
        </w:rPr>
        <w:t>е</w:t>
      </w:r>
      <w:r w:rsidR="009C2EC4" w:rsidRPr="00A93CE6">
        <w:rPr>
          <w:lang w:val="ru-RU"/>
        </w:rPr>
        <w:t xml:space="preserve"> и конкурентны</w:t>
      </w:r>
      <w:r w:rsidR="00DC04D6" w:rsidRPr="00A93CE6">
        <w:rPr>
          <w:lang w:val="ru-RU"/>
        </w:rPr>
        <w:t>е</w:t>
      </w:r>
      <w:r w:rsidR="009C2EC4" w:rsidRPr="00A93CE6">
        <w:rPr>
          <w:lang w:val="ru-RU"/>
        </w:rPr>
        <w:t xml:space="preserve"> цифровы</w:t>
      </w:r>
      <w:r w:rsidR="00DC04D6" w:rsidRPr="00A93CE6">
        <w:rPr>
          <w:lang w:val="ru-RU"/>
        </w:rPr>
        <w:t>е</w:t>
      </w:r>
      <w:r w:rsidR="009C2EC4" w:rsidRPr="00A93CE6">
        <w:rPr>
          <w:lang w:val="ru-RU"/>
        </w:rPr>
        <w:t xml:space="preserve"> рынк</w:t>
      </w:r>
      <w:r w:rsidR="00DC04D6" w:rsidRPr="00A93CE6">
        <w:rPr>
          <w:lang w:val="ru-RU"/>
        </w:rPr>
        <w:t xml:space="preserve">и успешно развивались, обеспечивая </w:t>
      </w:r>
      <w:r w:rsidR="00DE00C2" w:rsidRPr="00A93CE6">
        <w:rPr>
          <w:lang w:val="ru-RU"/>
        </w:rPr>
        <w:t>положительные результаты для потребителей и закладывая основу для цифровой трансформации</w:t>
      </w:r>
      <w:r w:rsidR="00EB73D9" w:rsidRPr="00A93CE6">
        <w:rPr>
          <w:lang w:val="ru-RU"/>
        </w:rPr>
        <w:t>.</w:t>
      </w:r>
      <w:bookmarkEnd w:id="1"/>
    </w:p>
    <w:p w14:paraId="5108B4E7" w14:textId="3D18F7D7" w:rsidR="00EB73D9" w:rsidRPr="00A93CE6" w:rsidRDefault="00533559" w:rsidP="00EB73D9">
      <w:pPr>
        <w:rPr>
          <w:lang w:val="ru-RU"/>
        </w:rPr>
      </w:pPr>
      <w:bookmarkStart w:id="2" w:name="lt_pId005"/>
      <w:r w:rsidRPr="00A93CE6">
        <w:rPr>
          <w:lang w:val="ru-RU"/>
        </w:rPr>
        <w:t>Пандемия</w:t>
      </w:r>
      <w:r w:rsidR="00EB73D9" w:rsidRPr="00A93CE6">
        <w:rPr>
          <w:lang w:val="ru-RU"/>
        </w:rPr>
        <w:t xml:space="preserve"> COVID-19 </w:t>
      </w:r>
      <w:r w:rsidRPr="00A93CE6">
        <w:rPr>
          <w:lang w:val="ru-RU"/>
        </w:rPr>
        <w:t xml:space="preserve">показала нам, что возможность установления соединений для всех </w:t>
      </w:r>
      <w:r w:rsidR="00814EB5" w:rsidRPr="00A93CE6">
        <w:rPr>
          <w:lang w:val="ru-RU"/>
        </w:rPr>
        <w:t xml:space="preserve">имеет </w:t>
      </w:r>
      <w:r w:rsidRPr="00A93CE6">
        <w:rPr>
          <w:lang w:val="ru-RU"/>
        </w:rPr>
        <w:t>жи</w:t>
      </w:r>
      <w:r w:rsidR="00925E4F" w:rsidRPr="00A93CE6">
        <w:rPr>
          <w:lang w:val="ru-RU"/>
        </w:rPr>
        <w:t>з</w:t>
      </w:r>
      <w:r w:rsidRPr="00A93CE6">
        <w:rPr>
          <w:lang w:val="ru-RU"/>
        </w:rPr>
        <w:t>ненно</w:t>
      </w:r>
      <w:r w:rsidR="00814EB5" w:rsidRPr="00A93CE6">
        <w:rPr>
          <w:lang w:val="ru-RU"/>
        </w:rPr>
        <w:t>е значение</w:t>
      </w:r>
      <w:r w:rsidR="00925E4F" w:rsidRPr="00A93CE6">
        <w:rPr>
          <w:lang w:val="ru-RU"/>
        </w:rPr>
        <w:t>, а основные цифровые проблемы не</w:t>
      </w:r>
      <w:r w:rsidR="00814EB5" w:rsidRPr="00A93CE6">
        <w:rPr>
          <w:lang w:val="ru-RU"/>
        </w:rPr>
        <w:t>возможно</w:t>
      </w:r>
      <w:r w:rsidR="00925E4F" w:rsidRPr="00A93CE6">
        <w:rPr>
          <w:lang w:val="ru-RU"/>
        </w:rPr>
        <w:t xml:space="preserve"> решить силами только одной группы заинтересованных сторон</w:t>
      </w:r>
      <w:r w:rsidR="00EB73D9" w:rsidRPr="00A93CE6">
        <w:rPr>
          <w:lang w:val="ru-RU"/>
        </w:rPr>
        <w:t>.</w:t>
      </w:r>
      <w:bookmarkEnd w:id="2"/>
      <w:r w:rsidR="00EB73D9" w:rsidRPr="00A93CE6">
        <w:rPr>
          <w:lang w:val="ru-RU"/>
        </w:rPr>
        <w:t xml:space="preserve"> </w:t>
      </w:r>
      <w:bookmarkStart w:id="3" w:name="lt_pId006"/>
      <w:r w:rsidR="00925E4F" w:rsidRPr="00A93CE6">
        <w:rPr>
          <w:lang w:val="ru-RU"/>
        </w:rPr>
        <w:t xml:space="preserve">Генеральный секретарь </w:t>
      </w:r>
      <w:r w:rsidR="00D24752" w:rsidRPr="00A93CE6">
        <w:rPr>
          <w:lang w:val="ru-RU"/>
        </w:rPr>
        <w:t xml:space="preserve">ООН </w:t>
      </w:r>
      <w:proofErr w:type="spellStart"/>
      <w:r w:rsidR="00D24752" w:rsidRPr="00A93CE6">
        <w:rPr>
          <w:lang w:val="ru-RU"/>
        </w:rPr>
        <w:t>Антониу</w:t>
      </w:r>
      <w:proofErr w:type="spellEnd"/>
      <w:r w:rsidR="00D24752" w:rsidRPr="00A93CE6">
        <w:rPr>
          <w:lang w:val="ru-RU"/>
        </w:rPr>
        <w:t xml:space="preserve"> </w:t>
      </w:r>
      <w:proofErr w:type="spellStart"/>
      <w:r w:rsidR="00D24752" w:rsidRPr="00A93CE6">
        <w:rPr>
          <w:color w:val="000000"/>
          <w:lang w:val="ru-RU"/>
        </w:rPr>
        <w:t>Гутерриш</w:t>
      </w:r>
      <w:proofErr w:type="spellEnd"/>
      <w:r w:rsidR="00D24752" w:rsidRPr="00A93CE6">
        <w:rPr>
          <w:color w:val="000000"/>
          <w:lang w:val="ru-RU"/>
        </w:rPr>
        <w:t>, представляя Дорожную карту</w:t>
      </w:r>
      <w:r w:rsidR="00AC4547" w:rsidRPr="00A93CE6">
        <w:rPr>
          <w:color w:val="000000"/>
          <w:lang w:val="ru-RU"/>
        </w:rPr>
        <w:t xml:space="preserve"> по цифровому сотрудничеству</w:t>
      </w:r>
      <w:r w:rsidR="00814EB5" w:rsidRPr="00A93CE6">
        <w:rPr>
          <w:color w:val="000000"/>
          <w:lang w:val="ru-RU"/>
        </w:rPr>
        <w:t>, отметил</w:t>
      </w:r>
      <w:r w:rsidR="00AC4547" w:rsidRPr="00A93CE6">
        <w:rPr>
          <w:color w:val="000000"/>
          <w:lang w:val="ru-RU"/>
        </w:rPr>
        <w:t>: "Эффективное цифровое сотрудничество играет большую роль в достижении будущего, которого мы хотим, и масштабных целей Повестки для в области устойчивого развития на период до 2030 года"</w:t>
      </w:r>
      <w:r w:rsidR="00EB73D9" w:rsidRPr="00A93CE6">
        <w:rPr>
          <w:lang w:val="ru-RU"/>
        </w:rPr>
        <w:t>.</w:t>
      </w:r>
      <w:bookmarkEnd w:id="3"/>
    </w:p>
    <w:p w14:paraId="5610F5AE" w14:textId="01EEA0A5" w:rsidR="003458B6" w:rsidRPr="00A93CE6" w:rsidRDefault="00B3732A" w:rsidP="00EB73D9">
      <w:pPr>
        <w:rPr>
          <w:lang w:val="ru-RU"/>
        </w:rPr>
      </w:pPr>
      <w:bookmarkStart w:id="4" w:name="lt_pId007"/>
      <w:r w:rsidRPr="00A93CE6">
        <w:rPr>
          <w:lang w:val="ru-RU"/>
        </w:rPr>
        <w:t xml:space="preserve">Мы, представители регуляторных органов, участвующие </w:t>
      </w:r>
      <w:r w:rsidR="0050657B" w:rsidRPr="00A93CE6">
        <w:rPr>
          <w:lang w:val="ru-RU"/>
        </w:rPr>
        <w:t>в 20</w:t>
      </w:r>
      <w:r w:rsidR="0050657B" w:rsidRPr="00A93CE6">
        <w:rPr>
          <w:lang w:val="ru-RU"/>
        </w:rPr>
        <w:noBreakHyphen/>
        <w:t>м юбилейном Глобальном симпозиуме для регуляторных органов, признаем, что не</w:t>
      </w:r>
      <w:r w:rsidR="00BD5A0C" w:rsidRPr="00A93CE6">
        <w:rPr>
          <w:lang w:val="ru-RU"/>
        </w:rPr>
        <w:t xml:space="preserve"> существует</w:t>
      </w:r>
      <w:r w:rsidR="0050657B" w:rsidRPr="00A93CE6">
        <w:rPr>
          <w:lang w:val="ru-RU"/>
        </w:rPr>
        <w:t xml:space="preserve"> единой, всеобъемлющей концепции передового опыта и что модели регулирования для характеризующейся соединениями цифровой экономики должны соответствовать обстановке на местах при решении региональных и глобальных проблем, в особенности теперь</w:t>
      </w:r>
      <w:r w:rsidR="007565CF" w:rsidRPr="00A93CE6">
        <w:rPr>
          <w:lang w:val="ru-RU"/>
        </w:rPr>
        <w:t>, когда мы стремимся с помощью цифровых технологий восстановить и улучшить</w:t>
      </w:r>
      <w:r w:rsidR="0050657B" w:rsidRPr="00A93CE6">
        <w:rPr>
          <w:lang w:val="ru-RU"/>
        </w:rPr>
        <w:t xml:space="preserve"> </w:t>
      </w:r>
      <w:r w:rsidR="007565CF" w:rsidRPr="00A93CE6">
        <w:rPr>
          <w:lang w:val="ru-RU"/>
        </w:rPr>
        <w:t>ситуацию во всех областях</w:t>
      </w:r>
      <w:r w:rsidR="00EB73D9" w:rsidRPr="00A93CE6">
        <w:rPr>
          <w:lang w:val="ru-RU"/>
        </w:rPr>
        <w:t>.</w:t>
      </w:r>
      <w:bookmarkEnd w:id="4"/>
    </w:p>
    <w:p w14:paraId="638BEFD7" w14:textId="5B3BB016" w:rsidR="007E72CE" w:rsidRPr="00A93CE6" w:rsidRDefault="00EB73D9" w:rsidP="007E72CE">
      <w:pPr>
        <w:rPr>
          <w:lang w:val="ru-RU"/>
        </w:rPr>
      </w:pPr>
      <w:r w:rsidRPr="00A93CE6">
        <w:rPr>
          <w:lang w:val="ru-RU"/>
        </w:rPr>
        <w:t xml:space="preserve">Вместе с тем мы согласны, что </w:t>
      </w:r>
      <w:r w:rsidR="00DC5320" w:rsidRPr="00A93CE6">
        <w:rPr>
          <w:lang w:val="ru-RU"/>
        </w:rPr>
        <w:t>индивидуальный опыт</w:t>
      </w:r>
      <w:r w:rsidRPr="00A93CE6">
        <w:rPr>
          <w:lang w:val="ru-RU"/>
        </w:rPr>
        <w:t xml:space="preserve"> может быть полез</w:t>
      </w:r>
      <w:r w:rsidR="00BD5A0C" w:rsidRPr="00A93CE6">
        <w:rPr>
          <w:lang w:val="ru-RU"/>
        </w:rPr>
        <w:t>ным</w:t>
      </w:r>
      <w:r w:rsidRPr="00A93CE6">
        <w:rPr>
          <w:lang w:val="ru-RU"/>
        </w:rPr>
        <w:t xml:space="preserve"> и позволит достичь в регулировании отличных показателей </w:t>
      </w:r>
      <w:r w:rsidR="00BD5A0C" w:rsidRPr="00A93CE6">
        <w:rPr>
          <w:lang w:val="ru-RU"/>
        </w:rPr>
        <w:t>на</w:t>
      </w:r>
      <w:r w:rsidRPr="00A93CE6">
        <w:rPr>
          <w:lang w:val="ru-RU"/>
        </w:rPr>
        <w:t xml:space="preserve"> благо все</w:t>
      </w:r>
      <w:r w:rsidR="00BD5A0C" w:rsidRPr="00A93CE6">
        <w:rPr>
          <w:lang w:val="ru-RU"/>
        </w:rPr>
        <w:t>х</w:t>
      </w:r>
      <w:r w:rsidRPr="00A93CE6">
        <w:rPr>
          <w:lang w:val="ru-RU"/>
        </w:rPr>
        <w:t xml:space="preserve">. </w:t>
      </w:r>
      <w:r w:rsidR="007E72CE" w:rsidRPr="00A93CE6">
        <w:rPr>
          <w:lang w:val="ru-RU"/>
        </w:rPr>
        <w:t>Мы определили и одобрили эти регуляторные руководящие указания на основе примеров передового опыта</w:t>
      </w:r>
      <w:r w:rsidR="00BD5A0C" w:rsidRPr="00A93CE6">
        <w:rPr>
          <w:lang w:val="ru-RU"/>
        </w:rPr>
        <w:t>,</w:t>
      </w:r>
      <w:r w:rsidR="007E72CE" w:rsidRPr="00A93CE6">
        <w:rPr>
          <w:lang w:val="ru-RU"/>
        </w:rPr>
        <w:t xml:space="preserve"> </w:t>
      </w:r>
      <w:r w:rsidR="00BD5A0C" w:rsidRPr="00A93CE6">
        <w:rPr>
          <w:lang w:val="ru-RU"/>
        </w:rPr>
        <w:t>с тем чтобы</w:t>
      </w:r>
      <w:r w:rsidR="007E72CE" w:rsidRPr="00A93CE6">
        <w:rPr>
          <w:lang w:val="ru-RU"/>
        </w:rPr>
        <w:t xml:space="preserve"> установ</w:t>
      </w:r>
      <w:r w:rsidR="00BD5A0C" w:rsidRPr="00A93CE6">
        <w:rPr>
          <w:lang w:val="ru-RU"/>
        </w:rPr>
        <w:t>ить</w:t>
      </w:r>
      <w:r w:rsidR="007E72CE" w:rsidRPr="00A93CE6">
        <w:rPr>
          <w:lang w:val="ru-RU"/>
        </w:rPr>
        <w:t xml:space="preserve"> золото</w:t>
      </w:r>
      <w:r w:rsidR="00BD5A0C" w:rsidRPr="00A93CE6">
        <w:rPr>
          <w:lang w:val="ru-RU"/>
        </w:rPr>
        <w:t>й</w:t>
      </w:r>
      <w:r w:rsidR="007E72CE" w:rsidRPr="00A93CE6">
        <w:rPr>
          <w:lang w:val="ru-RU"/>
        </w:rPr>
        <w:t xml:space="preserve"> стандарт для цифрового регулирования. Напоминая о серии разрабатываемых с 2003 года </w:t>
      </w:r>
      <w:r w:rsidR="007E72CE" w:rsidRPr="00A93CE6">
        <w:rPr>
          <w:color w:val="000000"/>
          <w:lang w:val="ru-RU"/>
        </w:rPr>
        <w:t>Руководящих указаний ГСР на основе примеров передового опыта, которые отражают</w:t>
      </w:r>
      <w:r w:rsidR="007E72CE" w:rsidRPr="00A93CE6">
        <w:rPr>
          <w:lang w:val="ru-RU"/>
        </w:rPr>
        <w:t xml:space="preserve"> устоявшийся регуляторный опыт, проверенную и испытанную практику, мы уделяем основное внимание новым, радикальным, инновационным и передовым подходам и инструментам для цифрового регулирования.</w:t>
      </w:r>
    </w:p>
    <w:p w14:paraId="2638705E" w14:textId="77777777" w:rsidR="00EB73D9" w:rsidRPr="00A93CE6" w:rsidRDefault="007354B8" w:rsidP="007354B8">
      <w:pPr>
        <w:pStyle w:val="Headingb"/>
        <w:rPr>
          <w:lang w:val="ru-RU"/>
        </w:rPr>
      </w:pPr>
      <w:bookmarkStart w:id="5" w:name="lt_pId033"/>
      <w:r w:rsidRPr="00A93CE6">
        <w:rPr>
          <w:lang w:val="ru-RU"/>
        </w:rPr>
        <w:t xml:space="preserve">Проявление идейного лидерства в области регулирования для цифровой </w:t>
      </w:r>
      <w:bookmarkEnd w:id="5"/>
      <w:r w:rsidRPr="00A93CE6">
        <w:rPr>
          <w:lang w:val="ru-RU"/>
        </w:rPr>
        <w:t>трансформации</w:t>
      </w:r>
    </w:p>
    <w:p w14:paraId="5E3B7C8B" w14:textId="00C9B874" w:rsidR="003458B6" w:rsidRPr="00A93CE6" w:rsidRDefault="007E72CE" w:rsidP="00F223C8">
      <w:pPr>
        <w:rPr>
          <w:lang w:val="ru-RU"/>
        </w:rPr>
      </w:pPr>
      <w:bookmarkStart w:id="6" w:name="lt_pId012"/>
      <w:r w:rsidRPr="00A93CE6">
        <w:rPr>
          <w:lang w:val="ru-RU"/>
        </w:rPr>
        <w:t xml:space="preserve">Признавая, что цифровое регулирование будет основываться на </w:t>
      </w:r>
      <w:r w:rsidR="009D5DCB" w:rsidRPr="00A93CE6">
        <w:rPr>
          <w:lang w:val="ru-RU"/>
        </w:rPr>
        <w:t>ключев</w:t>
      </w:r>
      <w:r w:rsidRPr="00A93CE6">
        <w:rPr>
          <w:lang w:val="ru-RU"/>
        </w:rPr>
        <w:t xml:space="preserve">ых принципах </w:t>
      </w:r>
      <w:r w:rsidR="000C6F68" w:rsidRPr="00A93CE6">
        <w:rPr>
          <w:lang w:val="ru-RU"/>
        </w:rPr>
        <w:t xml:space="preserve">разработки </w:t>
      </w:r>
      <w:r w:rsidRPr="00A93CE6">
        <w:rPr>
          <w:lang w:val="ru-RU"/>
        </w:rPr>
        <w:t>политики</w:t>
      </w:r>
      <w:r w:rsidR="009D5DCB" w:rsidRPr="00A93CE6">
        <w:rPr>
          <w:lang w:val="ru-RU"/>
        </w:rPr>
        <w:t xml:space="preserve">, изложенных в </w:t>
      </w:r>
      <w:hyperlink r:id="rId7" w:history="1">
        <w:r w:rsidR="008F788A" w:rsidRPr="004B1B9F">
          <w:rPr>
            <w:rStyle w:val="Hyperlink"/>
            <w:lang w:val="ru-RU"/>
          </w:rPr>
          <w:t>Руководящих указаниях ГСР</w:t>
        </w:r>
        <w:r w:rsidR="008F788A" w:rsidRPr="004B1B9F">
          <w:rPr>
            <w:rStyle w:val="Hyperlink"/>
            <w:lang w:val="ru-RU"/>
          </w:rPr>
          <w:noBreakHyphen/>
          <w:t>19 на основе примеров передового опыта для ускоренного обеспечения возможности установления цифрового соединения для всех</w:t>
        </w:r>
      </w:hyperlink>
      <w:r w:rsidR="007354B8" w:rsidRPr="00A93CE6">
        <w:rPr>
          <w:lang w:val="ru-RU"/>
        </w:rPr>
        <w:t xml:space="preserve">, </w:t>
      </w:r>
      <w:r w:rsidR="008F788A" w:rsidRPr="00A93CE6">
        <w:rPr>
          <w:lang w:val="ru-RU"/>
        </w:rPr>
        <w:t>мы определили следующие основополагающие элементы для надежных, перспективных систем регулирования</w:t>
      </w:r>
      <w:r w:rsidR="000C6F68" w:rsidRPr="00A93CE6">
        <w:rPr>
          <w:lang w:val="ru-RU"/>
        </w:rPr>
        <w:t>, необходимых</w:t>
      </w:r>
      <w:r w:rsidR="008F788A" w:rsidRPr="00A93CE6">
        <w:rPr>
          <w:lang w:val="ru-RU"/>
        </w:rPr>
        <w:t xml:space="preserve"> для решения проблем цифровой трансформации после глобальных кризисов и на следующих этапах</w:t>
      </w:r>
      <w:r w:rsidR="007354B8" w:rsidRPr="00A93CE6">
        <w:rPr>
          <w:lang w:val="ru-RU"/>
        </w:rPr>
        <w:t>.</w:t>
      </w:r>
      <w:bookmarkEnd w:id="6"/>
    </w:p>
    <w:p w14:paraId="2B25DBC1" w14:textId="734B9D37" w:rsidR="007354B8" w:rsidRPr="00A93CE6" w:rsidRDefault="007354B8" w:rsidP="007354B8">
      <w:pPr>
        <w:pStyle w:val="enumlev1"/>
        <w:rPr>
          <w:lang w:val="ru-RU"/>
        </w:rPr>
      </w:pPr>
      <w:bookmarkStart w:id="7" w:name="lt_pId013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1B3AE5" w:rsidRPr="00A93CE6">
        <w:rPr>
          <w:b/>
          <w:bCs/>
          <w:lang w:val="ru-RU"/>
        </w:rPr>
        <w:t>Стратегии регулирования для цифровой среды</w:t>
      </w:r>
      <w:bookmarkEnd w:id="7"/>
      <w:r w:rsidR="00F52038" w:rsidRPr="00A93CE6">
        <w:rPr>
          <w:lang w:val="ru-RU"/>
        </w:rPr>
        <w:t>.</w:t>
      </w:r>
      <w:r w:rsidRPr="00A93CE6">
        <w:rPr>
          <w:lang w:val="ru-RU"/>
        </w:rPr>
        <w:t xml:space="preserve"> </w:t>
      </w:r>
      <w:bookmarkStart w:id="8" w:name="lt_pId014"/>
      <w:r w:rsidR="001B3AE5" w:rsidRPr="00A93CE6">
        <w:rPr>
          <w:lang w:val="ru-RU"/>
        </w:rPr>
        <w:t>Регуляторные органы должны четко обос</w:t>
      </w:r>
      <w:r w:rsidR="00CC4308" w:rsidRPr="00A93CE6">
        <w:rPr>
          <w:lang w:val="ru-RU"/>
        </w:rPr>
        <w:t>н</w:t>
      </w:r>
      <w:r w:rsidR="001B3AE5" w:rsidRPr="00A93CE6">
        <w:rPr>
          <w:lang w:val="ru-RU"/>
        </w:rPr>
        <w:t>овывать</w:t>
      </w:r>
      <w:r w:rsidR="00CC4308" w:rsidRPr="00A93CE6">
        <w:rPr>
          <w:lang w:val="ru-RU"/>
        </w:rPr>
        <w:t>, как</w:t>
      </w:r>
      <w:r w:rsidR="000C6F68" w:rsidRPr="00A93CE6">
        <w:rPr>
          <w:lang w:val="ru-RU"/>
        </w:rPr>
        <w:t>им образом</w:t>
      </w:r>
      <w:r w:rsidR="00CC4308" w:rsidRPr="00A93CE6">
        <w:rPr>
          <w:lang w:val="ru-RU"/>
        </w:rPr>
        <w:t xml:space="preserve"> </w:t>
      </w:r>
      <w:r w:rsidR="00CB62E1" w:rsidRPr="00A93CE6">
        <w:rPr>
          <w:lang w:val="ru-RU"/>
        </w:rPr>
        <w:t xml:space="preserve">и </w:t>
      </w:r>
      <w:r w:rsidR="000C6F68" w:rsidRPr="00A93CE6">
        <w:rPr>
          <w:lang w:val="ru-RU"/>
        </w:rPr>
        <w:t>на каком основании</w:t>
      </w:r>
      <w:r w:rsidR="00CB62E1" w:rsidRPr="00A93CE6">
        <w:rPr>
          <w:lang w:val="ru-RU"/>
        </w:rPr>
        <w:t xml:space="preserve"> принимаются решения, их цели, временные рамки и механизмы мониторинга</w:t>
      </w:r>
      <w:r w:rsidRPr="00A93CE6">
        <w:rPr>
          <w:lang w:val="ru-RU"/>
        </w:rPr>
        <w:t>.</w:t>
      </w:r>
      <w:bookmarkEnd w:id="8"/>
      <w:r w:rsidRPr="00A93CE6">
        <w:rPr>
          <w:lang w:val="ru-RU"/>
        </w:rPr>
        <w:t xml:space="preserve"> </w:t>
      </w:r>
      <w:bookmarkStart w:id="9" w:name="lt_pId015"/>
      <w:r w:rsidR="00CB62E1" w:rsidRPr="00A93CE6">
        <w:rPr>
          <w:lang w:val="ru-RU"/>
        </w:rPr>
        <w:t>В стратегических приоритетах следует учитывать краткосрочные и среднесрочные перспективы национальных и глобальных рынков, а также долгосрочные стратегии, требующие соответствующей государственной политики и скоординированного подхода</w:t>
      </w:r>
      <w:r w:rsidR="001D10DC" w:rsidRPr="00A93CE6">
        <w:rPr>
          <w:lang w:val="ru-RU"/>
        </w:rPr>
        <w:t xml:space="preserve"> всех заинтересованных сторон, при осуществлении региональных стратегий развития</w:t>
      </w:r>
      <w:r w:rsidRPr="00A93CE6">
        <w:rPr>
          <w:lang w:val="ru-RU"/>
        </w:rPr>
        <w:t>.</w:t>
      </w:r>
      <w:bookmarkEnd w:id="9"/>
      <w:r w:rsidRPr="00A93CE6">
        <w:rPr>
          <w:lang w:val="ru-RU"/>
        </w:rPr>
        <w:t xml:space="preserve"> </w:t>
      </w:r>
    </w:p>
    <w:p w14:paraId="666C4D3C" w14:textId="51A0116B" w:rsidR="007354B8" w:rsidRPr="00A93CE6" w:rsidRDefault="007354B8" w:rsidP="007354B8">
      <w:pPr>
        <w:pStyle w:val="enumlev1"/>
        <w:rPr>
          <w:lang w:val="ru-RU"/>
        </w:rPr>
      </w:pPr>
      <w:bookmarkStart w:id="10" w:name="lt_pId016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EC5A73" w:rsidRPr="00A93CE6">
        <w:rPr>
          <w:b/>
          <w:bCs/>
          <w:lang w:val="ru-RU"/>
        </w:rPr>
        <w:t>Включ</w:t>
      </w:r>
      <w:r w:rsidR="00F52038" w:rsidRPr="00A93CE6">
        <w:rPr>
          <w:b/>
          <w:bCs/>
          <w:lang w:val="ru-RU"/>
        </w:rPr>
        <w:t>ение</w:t>
      </w:r>
      <w:r w:rsidR="00EC5A73" w:rsidRPr="00A93CE6">
        <w:rPr>
          <w:b/>
          <w:bCs/>
          <w:lang w:val="ru-RU"/>
        </w:rPr>
        <w:t xml:space="preserve"> устойчивост</w:t>
      </w:r>
      <w:r w:rsidR="00F52038" w:rsidRPr="00A93CE6">
        <w:rPr>
          <w:b/>
          <w:bCs/>
          <w:lang w:val="ru-RU"/>
        </w:rPr>
        <w:t>и</w:t>
      </w:r>
      <w:r w:rsidR="00EC5A73" w:rsidRPr="00A93CE6">
        <w:rPr>
          <w:b/>
          <w:bCs/>
          <w:lang w:val="ru-RU"/>
        </w:rPr>
        <w:t xml:space="preserve"> в системы регулирования</w:t>
      </w:r>
      <w:bookmarkEnd w:id="10"/>
      <w:r w:rsidR="00F52038" w:rsidRPr="00A93CE6">
        <w:rPr>
          <w:lang w:val="ru-RU"/>
        </w:rPr>
        <w:t>.</w:t>
      </w:r>
      <w:r w:rsidRPr="00A93CE6">
        <w:rPr>
          <w:lang w:val="ru-RU"/>
        </w:rPr>
        <w:t xml:space="preserve"> </w:t>
      </w:r>
      <w:bookmarkStart w:id="11" w:name="lt_pId017"/>
      <w:r w:rsidR="00EC5A73" w:rsidRPr="00A93CE6">
        <w:rPr>
          <w:lang w:val="ru-RU"/>
        </w:rPr>
        <w:t xml:space="preserve">Следует пересмотреть политический подход к технологиям и расширить сферу его охвата </w:t>
      </w:r>
      <w:r w:rsidR="00F52038" w:rsidRPr="00A93CE6">
        <w:rPr>
          <w:lang w:val="ru-RU"/>
        </w:rPr>
        <w:t>до</w:t>
      </w:r>
      <w:r w:rsidR="00EC5A73" w:rsidRPr="00A93CE6">
        <w:rPr>
          <w:lang w:val="ru-RU"/>
        </w:rPr>
        <w:t xml:space="preserve"> полн</w:t>
      </w:r>
      <w:r w:rsidR="00F52038" w:rsidRPr="00A93CE6">
        <w:rPr>
          <w:lang w:val="ru-RU"/>
        </w:rPr>
        <w:t>ого</w:t>
      </w:r>
      <w:r w:rsidR="00EC5A73" w:rsidRPr="00A93CE6">
        <w:rPr>
          <w:lang w:val="ru-RU"/>
        </w:rPr>
        <w:t xml:space="preserve"> цикл</w:t>
      </w:r>
      <w:r w:rsidR="00F52038" w:rsidRPr="00A93CE6">
        <w:rPr>
          <w:lang w:val="ru-RU"/>
        </w:rPr>
        <w:t>а</w:t>
      </w:r>
      <w:r w:rsidR="00EC5A73" w:rsidRPr="00A93CE6">
        <w:rPr>
          <w:lang w:val="ru-RU"/>
        </w:rPr>
        <w:t xml:space="preserve"> </w:t>
      </w:r>
      <w:r w:rsidR="003F1C83" w:rsidRPr="00A93CE6">
        <w:rPr>
          <w:lang w:val="ru-RU"/>
        </w:rPr>
        <w:t xml:space="preserve">цифровых технологий </w:t>
      </w:r>
      <w:r w:rsidR="003F1C83" w:rsidRPr="00A93CE6">
        <w:rPr>
          <w:lang w:val="ru-RU"/>
        </w:rPr>
        <w:lastRenderedPageBreak/>
        <w:t xml:space="preserve">и услуг, от разработки идеи до распространения, а затем до утилизации </w:t>
      </w:r>
      <w:r w:rsidR="006B13B5" w:rsidRPr="00A93CE6">
        <w:rPr>
          <w:lang w:val="ru-RU"/>
        </w:rPr>
        <w:t>цифровых продуктов</w:t>
      </w:r>
      <w:r w:rsidRPr="00A93CE6">
        <w:rPr>
          <w:lang w:val="ru-RU"/>
        </w:rPr>
        <w:t>.</w:t>
      </w:r>
      <w:bookmarkEnd w:id="11"/>
      <w:r w:rsidRPr="00A93CE6">
        <w:rPr>
          <w:lang w:val="ru-RU"/>
        </w:rPr>
        <w:t xml:space="preserve"> </w:t>
      </w:r>
      <w:bookmarkStart w:id="12" w:name="lt_pId018"/>
      <w:r w:rsidR="006B13B5" w:rsidRPr="00A93CE6">
        <w:rPr>
          <w:lang w:val="ru-RU"/>
        </w:rPr>
        <w:t>Следует учитывать экологические аспекты на всех этапах применения комплексной, последовательной системы регулирования, охватывающей вопросы от углеродного следа облака до управления электронными отходами и до цифровизации работы секторов экономики</w:t>
      </w:r>
      <w:r w:rsidRPr="00A93CE6">
        <w:rPr>
          <w:lang w:val="ru-RU"/>
        </w:rPr>
        <w:t>.</w:t>
      </w:r>
      <w:bookmarkEnd w:id="12"/>
      <w:r w:rsidRPr="00A93CE6">
        <w:rPr>
          <w:lang w:val="ru-RU"/>
        </w:rPr>
        <w:t xml:space="preserve"> </w:t>
      </w:r>
    </w:p>
    <w:p w14:paraId="63DBD3A2" w14:textId="2F9D941A" w:rsidR="007354B8" w:rsidRPr="00A93CE6" w:rsidRDefault="007354B8" w:rsidP="007354B8">
      <w:pPr>
        <w:pStyle w:val="enumlev1"/>
        <w:rPr>
          <w:lang w:val="ru-RU"/>
        </w:rPr>
      </w:pPr>
      <w:bookmarkStart w:id="13" w:name="lt_pId019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EA255B" w:rsidRPr="00A93CE6">
        <w:rPr>
          <w:b/>
          <w:bCs/>
          <w:lang w:val="ru-RU"/>
        </w:rPr>
        <w:t>Максимальное увеличение преимуществ при сведении к минимуму вреда от цифровых технологий</w:t>
      </w:r>
      <w:bookmarkEnd w:id="13"/>
      <w:r w:rsidR="00F52038" w:rsidRPr="00A93CE6">
        <w:rPr>
          <w:lang w:val="ru-RU"/>
        </w:rPr>
        <w:t>.</w:t>
      </w:r>
      <w:r w:rsidRPr="00A93CE6">
        <w:rPr>
          <w:lang w:val="ru-RU"/>
        </w:rPr>
        <w:t xml:space="preserve"> </w:t>
      </w:r>
      <w:bookmarkStart w:id="14" w:name="lt_pId020"/>
      <w:r w:rsidR="007D19E7" w:rsidRPr="00A93CE6">
        <w:rPr>
          <w:lang w:val="ru-RU"/>
        </w:rPr>
        <w:t>Д</w:t>
      </w:r>
      <w:r w:rsidR="00EA255B" w:rsidRPr="00A93CE6">
        <w:rPr>
          <w:lang w:val="ru-RU"/>
        </w:rPr>
        <w:t>ирективным и регуляторным органам</w:t>
      </w:r>
      <w:r w:rsidR="00D80726" w:rsidRPr="00A93CE6">
        <w:rPr>
          <w:lang w:val="ru-RU"/>
        </w:rPr>
        <w:t xml:space="preserve"> следует разрабатывать режимы регулирования, которые бы делали возможным </w:t>
      </w:r>
      <w:r w:rsidR="0081221F" w:rsidRPr="00A93CE6">
        <w:rPr>
          <w:lang w:val="ru-RU"/>
        </w:rPr>
        <w:t xml:space="preserve">внедрение инноваций при контролировании вреда, использование данных и цифровых технологий для повышения эффективности и действенности государственных служб, совместную работу </w:t>
      </w:r>
      <w:r w:rsidR="005D7983" w:rsidRPr="00A93CE6">
        <w:rPr>
          <w:lang w:val="ru-RU"/>
        </w:rPr>
        <w:t>над разработкой и продвижением региональных и глобальных стандартов, делающих возможным расширение использования технологий</w:t>
      </w:r>
      <w:r w:rsidRPr="00A93CE6">
        <w:rPr>
          <w:lang w:val="ru-RU"/>
        </w:rPr>
        <w:t>.</w:t>
      </w:r>
      <w:bookmarkEnd w:id="14"/>
    </w:p>
    <w:p w14:paraId="0352C9B8" w14:textId="0FEC2B8F" w:rsidR="007354B8" w:rsidRPr="00A93CE6" w:rsidRDefault="007354B8" w:rsidP="007354B8">
      <w:pPr>
        <w:pStyle w:val="enumlev1"/>
        <w:rPr>
          <w:lang w:val="ru-RU"/>
        </w:rPr>
      </w:pPr>
      <w:bookmarkStart w:id="15" w:name="lt_pId021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5D7983" w:rsidRPr="00A93CE6">
        <w:rPr>
          <w:b/>
          <w:bCs/>
          <w:lang w:val="ru-RU"/>
        </w:rPr>
        <w:t>Открытый, всеохватный и прозрачный процесс регулирования</w:t>
      </w:r>
      <w:bookmarkEnd w:id="15"/>
      <w:r w:rsidR="00F52038" w:rsidRPr="00A93CE6">
        <w:rPr>
          <w:lang w:val="ru-RU"/>
        </w:rPr>
        <w:t>.</w:t>
      </w:r>
      <w:r w:rsidRPr="00A93CE6">
        <w:rPr>
          <w:lang w:val="ru-RU"/>
        </w:rPr>
        <w:t xml:space="preserve"> </w:t>
      </w:r>
      <w:bookmarkStart w:id="16" w:name="lt_pId022"/>
      <w:r w:rsidR="007D19E7" w:rsidRPr="00A93CE6">
        <w:rPr>
          <w:lang w:val="ru-RU"/>
        </w:rPr>
        <w:t>М</w:t>
      </w:r>
      <w:r w:rsidR="005D7983" w:rsidRPr="00A93CE6">
        <w:rPr>
          <w:lang w:val="ru-RU"/>
        </w:rPr>
        <w:t>ы утверждаем, что цифровое регулирование необходимо ориентировать на повышение прозрачности</w:t>
      </w:r>
      <w:r w:rsidR="00C043DE" w:rsidRPr="00A93CE6">
        <w:rPr>
          <w:lang w:val="ru-RU"/>
        </w:rPr>
        <w:t>, расширение использования этических норм и доверия на протяжении всего процесса регулирования</w:t>
      </w:r>
      <w:r w:rsidRPr="00A93CE6">
        <w:rPr>
          <w:lang w:val="ru-RU"/>
        </w:rPr>
        <w:t>.</w:t>
      </w:r>
      <w:bookmarkEnd w:id="16"/>
      <w:r w:rsidRPr="00A93CE6">
        <w:rPr>
          <w:lang w:val="ru-RU"/>
        </w:rPr>
        <w:t xml:space="preserve"> </w:t>
      </w:r>
      <w:bookmarkStart w:id="17" w:name="lt_pId023"/>
      <w:r w:rsidR="00C043DE" w:rsidRPr="00A93CE6">
        <w:rPr>
          <w:lang w:val="ru-RU"/>
        </w:rPr>
        <w:t>Регуляторные установки должны стимулировать широкое участие заинтересованных сторон, в том числе представителей отрасли</w:t>
      </w:r>
      <w:r w:rsidR="00E23ADE" w:rsidRPr="00A93CE6">
        <w:rPr>
          <w:lang w:val="ru-RU"/>
        </w:rPr>
        <w:t>, гражданского общества и органов местного самоуправления, по официальным и неофициальным каналам</w:t>
      </w:r>
      <w:r w:rsidRPr="00A93CE6">
        <w:rPr>
          <w:lang w:val="ru-RU"/>
        </w:rPr>
        <w:t>.</w:t>
      </w:r>
      <w:bookmarkEnd w:id="17"/>
      <w:r w:rsidRPr="00A93CE6">
        <w:rPr>
          <w:lang w:val="ru-RU"/>
        </w:rPr>
        <w:t xml:space="preserve"> </w:t>
      </w:r>
      <w:bookmarkStart w:id="18" w:name="lt_pId024"/>
      <w:r w:rsidR="00E23ADE" w:rsidRPr="00A93CE6">
        <w:rPr>
          <w:lang w:val="ru-RU"/>
        </w:rPr>
        <w:t xml:space="preserve">В ходе этого процесса объединения объекты регулирования и регуляторные органы несут совместную ответственность </w:t>
      </w:r>
      <w:r w:rsidR="004540D6" w:rsidRPr="00A93CE6">
        <w:rPr>
          <w:lang w:val="ru-RU"/>
        </w:rPr>
        <w:t>за разработку, мониторинг и выполнение правил и руководящих указаний</w:t>
      </w:r>
      <w:r w:rsidRPr="00A93CE6">
        <w:rPr>
          <w:lang w:val="ru-RU"/>
        </w:rPr>
        <w:t>.</w:t>
      </w:r>
      <w:bookmarkEnd w:id="18"/>
    </w:p>
    <w:p w14:paraId="1A113F7C" w14:textId="79FA573B" w:rsidR="007354B8" w:rsidRPr="00A93CE6" w:rsidRDefault="007354B8" w:rsidP="007354B8">
      <w:pPr>
        <w:pStyle w:val="enumlev1"/>
        <w:rPr>
          <w:lang w:val="ru-RU"/>
        </w:rPr>
      </w:pPr>
      <w:bookmarkStart w:id="19" w:name="lt_pId025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014E26" w:rsidRPr="00A93CE6">
        <w:rPr>
          <w:b/>
          <w:bCs/>
          <w:lang w:val="ru-RU"/>
        </w:rPr>
        <w:t xml:space="preserve">Разнообразие форматов и </w:t>
      </w:r>
      <w:r w:rsidR="003A1C23" w:rsidRPr="00A93CE6">
        <w:rPr>
          <w:b/>
          <w:bCs/>
          <w:lang w:val="ru-RU"/>
        </w:rPr>
        <w:t>режимов</w:t>
      </w:r>
      <w:r w:rsidR="00014E26" w:rsidRPr="00A93CE6">
        <w:rPr>
          <w:b/>
          <w:bCs/>
          <w:lang w:val="ru-RU"/>
        </w:rPr>
        <w:t xml:space="preserve"> регулирования</w:t>
      </w:r>
      <w:bookmarkEnd w:id="19"/>
      <w:r w:rsidR="00F52038" w:rsidRPr="00A93CE6">
        <w:rPr>
          <w:lang w:val="ru-RU"/>
        </w:rPr>
        <w:t>.</w:t>
      </w:r>
      <w:r w:rsidRPr="00A93CE6">
        <w:rPr>
          <w:lang w:val="ru-RU"/>
        </w:rPr>
        <w:t xml:space="preserve"> </w:t>
      </w:r>
      <w:bookmarkStart w:id="20" w:name="lt_pId026"/>
      <w:r w:rsidR="003A1C23" w:rsidRPr="00A93CE6">
        <w:rPr>
          <w:lang w:val="ru-RU"/>
        </w:rPr>
        <w:t>Официальное регулирование не должно исключать возможность использования моделей саморегулирования, гибридного и совместного регулирования, а также механизмов надзора</w:t>
      </w:r>
      <w:r w:rsidRPr="00A93CE6">
        <w:rPr>
          <w:lang w:val="ru-RU"/>
        </w:rPr>
        <w:t>.</w:t>
      </w:r>
      <w:bookmarkEnd w:id="20"/>
      <w:r w:rsidRPr="00A93CE6">
        <w:rPr>
          <w:lang w:val="ru-RU"/>
        </w:rPr>
        <w:t xml:space="preserve"> </w:t>
      </w:r>
      <w:bookmarkStart w:id="21" w:name="lt_pId027"/>
      <w:r w:rsidR="003A1C23" w:rsidRPr="00A93CE6">
        <w:rPr>
          <w:lang w:val="ru-RU"/>
        </w:rPr>
        <w:t>От стимулов и наград, через отказ до принудительных мер к адресным обязательствам – в распоряжении регуляторных органов имеется широкий диапазон инструментов и мер воздействия</w:t>
      </w:r>
      <w:r w:rsidRPr="00A93CE6">
        <w:rPr>
          <w:lang w:val="ru-RU"/>
        </w:rPr>
        <w:t>.</w:t>
      </w:r>
      <w:bookmarkEnd w:id="21"/>
      <w:r w:rsidRPr="00A93CE6">
        <w:rPr>
          <w:lang w:val="ru-RU"/>
        </w:rPr>
        <w:t xml:space="preserve"> </w:t>
      </w:r>
      <w:bookmarkStart w:id="22" w:name="lt_pId028"/>
      <w:r w:rsidR="003A1C23" w:rsidRPr="00A93CE6">
        <w:rPr>
          <w:lang w:val="ru-RU"/>
        </w:rPr>
        <w:t>Новые проблемы требуют новых подходов</w:t>
      </w:r>
      <w:r w:rsidR="00192CF4" w:rsidRPr="00A93CE6">
        <w:rPr>
          <w:lang w:val="ru-RU"/>
        </w:rPr>
        <w:t>, и средства регулирования теперь включают регуляторные "песочницы", этические принципы, технологические дорожные карты, оценку воздействия регулирования, многофакторные исследования и моделирование больших данных для изучения наиболее сбалансированных, пропорциональных и справедливых мер регулирования</w:t>
      </w:r>
      <w:r w:rsidRPr="00A93CE6">
        <w:rPr>
          <w:lang w:val="ru-RU"/>
        </w:rPr>
        <w:t>.</w:t>
      </w:r>
      <w:bookmarkEnd w:id="22"/>
      <w:r w:rsidRPr="00A93CE6">
        <w:rPr>
          <w:lang w:val="ru-RU"/>
        </w:rPr>
        <w:t xml:space="preserve"> </w:t>
      </w:r>
      <w:bookmarkStart w:id="23" w:name="lt_pId029"/>
      <w:r w:rsidR="00192CF4" w:rsidRPr="00A93CE6">
        <w:rPr>
          <w:lang w:val="ru-RU"/>
        </w:rPr>
        <w:t>К числу сложных проблем, ожидающих рассмотрения, относятся</w:t>
      </w:r>
      <w:r w:rsidR="00CE5259" w:rsidRPr="00A93CE6">
        <w:rPr>
          <w:lang w:val="ru-RU"/>
        </w:rPr>
        <w:t>, в частности,</w:t>
      </w:r>
      <w:r w:rsidR="00192CF4" w:rsidRPr="00A93CE6">
        <w:rPr>
          <w:lang w:val="ru-RU"/>
        </w:rPr>
        <w:t xml:space="preserve"> искусственный интеллект</w:t>
      </w:r>
      <w:r w:rsidR="00CE5259" w:rsidRPr="00A93CE6">
        <w:rPr>
          <w:lang w:val="ru-RU"/>
        </w:rPr>
        <w:t>, интернет вещей, онлайновая дезинформация</w:t>
      </w:r>
      <w:r w:rsidRPr="00A93CE6">
        <w:rPr>
          <w:lang w:val="ru-RU"/>
        </w:rPr>
        <w:t>.</w:t>
      </w:r>
      <w:bookmarkEnd w:id="23"/>
      <w:r w:rsidRPr="00A93CE6">
        <w:rPr>
          <w:lang w:val="ru-RU"/>
        </w:rPr>
        <w:t xml:space="preserve"> </w:t>
      </w:r>
    </w:p>
    <w:p w14:paraId="22BD2EE6" w14:textId="2EE4BEB1" w:rsidR="007354B8" w:rsidRPr="00A93CE6" w:rsidRDefault="007354B8" w:rsidP="007354B8">
      <w:pPr>
        <w:pStyle w:val="enumlev1"/>
        <w:rPr>
          <w:lang w:val="ru-RU"/>
        </w:rPr>
      </w:pPr>
      <w:bookmarkStart w:id="24" w:name="lt_pId030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CE5259" w:rsidRPr="00A93CE6">
        <w:rPr>
          <w:b/>
          <w:bCs/>
          <w:lang w:val="ru-RU"/>
        </w:rPr>
        <w:t>Наличие надлежащего управления и эффективных учреждений с соответствующими механизмами для совместных подходов к регулированию</w:t>
      </w:r>
      <w:bookmarkEnd w:id="24"/>
      <w:r w:rsidR="00F52038" w:rsidRPr="00A93CE6">
        <w:rPr>
          <w:lang w:val="ru-RU"/>
        </w:rPr>
        <w:t>.</w:t>
      </w:r>
      <w:r w:rsidRPr="00A93CE6">
        <w:rPr>
          <w:lang w:val="ru-RU"/>
        </w:rPr>
        <w:t xml:space="preserve"> </w:t>
      </w:r>
      <w:bookmarkStart w:id="25" w:name="lt_pId031"/>
      <w:r w:rsidR="00CE5259" w:rsidRPr="00A93CE6">
        <w:rPr>
          <w:lang w:val="ru-RU"/>
        </w:rPr>
        <w:t>Институциональная модель имеет решающее значение</w:t>
      </w:r>
      <w:r w:rsidR="00FC2DFD" w:rsidRPr="00A93CE6">
        <w:rPr>
          <w:lang w:val="ru-RU"/>
        </w:rPr>
        <w:t xml:space="preserve">, и регуляторные органы должны обладать соответствующими полномочиями, значительной автономией и целостностью, чтобы иметь возможность принимать объективные, </w:t>
      </w:r>
      <w:r w:rsidR="000F58F5" w:rsidRPr="00A93CE6">
        <w:rPr>
          <w:lang w:val="ru-RU"/>
        </w:rPr>
        <w:t xml:space="preserve">перспективные решения и организовывать </w:t>
      </w:r>
      <w:proofErr w:type="spellStart"/>
      <w:r w:rsidR="000F58F5" w:rsidRPr="00A93CE6">
        <w:rPr>
          <w:lang w:val="ru-RU"/>
        </w:rPr>
        <w:t>межсекторальное</w:t>
      </w:r>
      <w:proofErr w:type="spellEnd"/>
      <w:r w:rsidR="000F58F5" w:rsidRPr="00A93CE6">
        <w:rPr>
          <w:lang w:val="ru-RU"/>
        </w:rPr>
        <w:t xml:space="preserve"> сотрудничество для содействия цифровой трансформации</w:t>
      </w:r>
      <w:r w:rsidRPr="00A93CE6">
        <w:rPr>
          <w:lang w:val="ru-RU"/>
        </w:rPr>
        <w:t>.</w:t>
      </w:r>
      <w:bookmarkEnd w:id="25"/>
      <w:r w:rsidRPr="00A93CE6">
        <w:rPr>
          <w:lang w:val="ru-RU"/>
        </w:rPr>
        <w:t xml:space="preserve"> </w:t>
      </w:r>
      <w:bookmarkStart w:id="26" w:name="lt_pId032"/>
      <w:r w:rsidR="00743DEC" w:rsidRPr="00A93CE6">
        <w:rPr>
          <w:lang w:val="ru-RU"/>
        </w:rPr>
        <w:t>Это позволит привлекать на основе принципов все заинтересованны</w:t>
      </w:r>
      <w:r w:rsidR="001F50E1" w:rsidRPr="00A93CE6">
        <w:rPr>
          <w:lang w:val="ru-RU"/>
        </w:rPr>
        <w:t>е</w:t>
      </w:r>
      <w:r w:rsidR="00743DEC" w:rsidRPr="00A93CE6">
        <w:rPr>
          <w:lang w:val="ru-RU"/>
        </w:rPr>
        <w:t xml:space="preserve"> сторон</w:t>
      </w:r>
      <w:r w:rsidR="001F50E1" w:rsidRPr="00A93CE6">
        <w:rPr>
          <w:lang w:val="ru-RU"/>
        </w:rPr>
        <w:t>ы</w:t>
      </w:r>
      <w:r w:rsidR="00743DEC" w:rsidRPr="00A93CE6">
        <w:rPr>
          <w:lang w:val="ru-RU"/>
        </w:rPr>
        <w:t xml:space="preserve"> рынка и налаживать сотрудничество между секторами</w:t>
      </w:r>
      <w:r w:rsidRPr="00A93CE6">
        <w:rPr>
          <w:lang w:val="ru-RU"/>
        </w:rPr>
        <w:t>.</w:t>
      </w:r>
      <w:bookmarkEnd w:id="26"/>
      <w:r w:rsidRPr="00A93CE6">
        <w:rPr>
          <w:lang w:val="ru-RU"/>
        </w:rPr>
        <w:t xml:space="preserve"> </w:t>
      </w:r>
      <w:r w:rsidR="00743DEC" w:rsidRPr="00A93CE6">
        <w:rPr>
          <w:lang w:val="ru-RU"/>
        </w:rPr>
        <w:t>Эффективным учреждениям нужны соответствующие мандаты, надлежащее финансирование, квалифицированный персонал</w:t>
      </w:r>
      <w:r w:rsidRPr="00A93CE6">
        <w:rPr>
          <w:lang w:val="ru-RU"/>
        </w:rPr>
        <w:t xml:space="preserve">. </w:t>
      </w:r>
      <w:bookmarkStart w:id="27" w:name="lt_pId034"/>
      <w:r w:rsidR="00743DEC" w:rsidRPr="00A93CE6">
        <w:rPr>
          <w:lang w:val="ru-RU"/>
        </w:rPr>
        <w:t>Необходимо постоянно повышать квалификацию сотрудников, соблюдая при этом принципы надлежащего управления, в том числе подотчетности и прозрачности</w:t>
      </w:r>
      <w:r w:rsidRPr="00A93CE6">
        <w:rPr>
          <w:lang w:val="ru-RU"/>
        </w:rPr>
        <w:t>.</w:t>
      </w:r>
      <w:bookmarkEnd w:id="27"/>
    </w:p>
    <w:p w14:paraId="4EBCF689" w14:textId="3FFE989C" w:rsidR="007354B8" w:rsidRPr="00A93CE6" w:rsidRDefault="007354B8" w:rsidP="007354B8">
      <w:pPr>
        <w:pStyle w:val="enumlev1"/>
        <w:rPr>
          <w:lang w:val="ru-RU"/>
        </w:rPr>
      </w:pPr>
      <w:bookmarkStart w:id="28" w:name="lt_pId035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743DEC" w:rsidRPr="00A93CE6">
        <w:rPr>
          <w:b/>
          <w:bCs/>
          <w:lang w:val="ru-RU"/>
        </w:rPr>
        <w:t>Подход на основе да</w:t>
      </w:r>
      <w:r w:rsidR="00851374" w:rsidRPr="00A93CE6">
        <w:rPr>
          <w:b/>
          <w:bCs/>
          <w:lang w:val="ru-RU"/>
        </w:rPr>
        <w:t>н</w:t>
      </w:r>
      <w:r w:rsidR="00743DEC" w:rsidRPr="00A93CE6">
        <w:rPr>
          <w:b/>
          <w:bCs/>
          <w:lang w:val="ru-RU"/>
        </w:rPr>
        <w:t>ных</w:t>
      </w:r>
      <w:bookmarkEnd w:id="28"/>
      <w:r w:rsidR="00F52038" w:rsidRPr="00A93CE6">
        <w:rPr>
          <w:lang w:val="ru-RU"/>
        </w:rPr>
        <w:t>.</w:t>
      </w:r>
      <w:r w:rsidRPr="00A93CE6">
        <w:rPr>
          <w:lang w:val="ru-RU"/>
        </w:rPr>
        <w:t xml:space="preserve"> </w:t>
      </w:r>
      <w:bookmarkStart w:id="29" w:name="lt_pId036"/>
      <w:r w:rsidR="00851374" w:rsidRPr="00A93CE6">
        <w:rPr>
          <w:lang w:val="ru-RU"/>
        </w:rPr>
        <w:t xml:space="preserve">Данные служат основой для принятия регуляторных решений и помогают определять возникающие вопросы регулирования, а также смягчать воздействие пандемий, поскольку страны с наиболее высокоразвитой структурой установления соединений в большей степени способны </w:t>
      </w:r>
      <w:r w:rsidR="00D65439" w:rsidRPr="00A93CE6">
        <w:rPr>
          <w:lang w:val="ru-RU"/>
        </w:rPr>
        <w:t>смягчать негативное экономическое воздействие пандемий</w:t>
      </w:r>
      <w:r w:rsidRPr="00A93CE6">
        <w:rPr>
          <w:lang w:val="ru-RU"/>
        </w:rPr>
        <w:t>.</w:t>
      </w:r>
      <w:bookmarkEnd w:id="29"/>
      <w:r w:rsidRPr="00A93CE6">
        <w:rPr>
          <w:lang w:val="ru-RU"/>
        </w:rPr>
        <w:t xml:space="preserve"> </w:t>
      </w:r>
      <w:bookmarkStart w:id="30" w:name="lt_pId037"/>
      <w:r w:rsidR="00D65439" w:rsidRPr="00A93CE6">
        <w:rPr>
          <w:lang w:val="ru-RU"/>
        </w:rPr>
        <w:t xml:space="preserve">Данные и их анализ также дают регуляторным органам возможность определить, делают ли срывы рынка необходимыми конкретные </w:t>
      </w:r>
      <w:r w:rsidR="00DE5EB2" w:rsidRPr="00A93CE6">
        <w:rPr>
          <w:lang w:val="ru-RU"/>
        </w:rPr>
        <w:t>регуляторные меры и решения, и помогают им сформулировать желательные результаты регулирования и варианты их достижения</w:t>
      </w:r>
      <w:r w:rsidRPr="00A93CE6">
        <w:rPr>
          <w:lang w:val="ru-RU"/>
        </w:rPr>
        <w:t>.</w:t>
      </w:r>
      <w:bookmarkEnd w:id="30"/>
      <w:r w:rsidRPr="00A93CE6">
        <w:rPr>
          <w:lang w:val="ru-RU"/>
        </w:rPr>
        <w:t xml:space="preserve"> </w:t>
      </w:r>
      <w:bookmarkStart w:id="31" w:name="lt_pId038"/>
      <w:r w:rsidR="00DE5EB2" w:rsidRPr="00A93CE6">
        <w:rPr>
          <w:lang w:val="ru-RU"/>
        </w:rPr>
        <w:t xml:space="preserve">Укрепление способности регуляторных органов осуществлять мониторинг и оценку и использование этих функций при сотрудничестве с другими компетентными </w:t>
      </w:r>
      <w:r w:rsidR="00DE5EB2" w:rsidRPr="00A93CE6">
        <w:rPr>
          <w:lang w:val="ru-RU"/>
        </w:rPr>
        <w:lastRenderedPageBreak/>
        <w:t>организациями может способствовать усилиям по совершенствованию регулирования и обеспечению достижения целей регулирования наиболее эффективным и действенным способом</w:t>
      </w:r>
      <w:r w:rsidR="00672337" w:rsidRPr="00A93CE6">
        <w:rPr>
          <w:lang w:val="ru-RU"/>
        </w:rPr>
        <w:t>, в частности способности сетей к восстановлению и совершенствования пропускной способности и покрытия сетей без создания несоразмерного или перекрывающегося бремени для рынка</w:t>
      </w:r>
      <w:r w:rsidRPr="00A93CE6">
        <w:rPr>
          <w:lang w:val="ru-RU"/>
        </w:rPr>
        <w:t>.</w:t>
      </w:r>
      <w:bookmarkEnd w:id="31"/>
    </w:p>
    <w:p w14:paraId="424ABC76" w14:textId="6E5A9B23" w:rsidR="007354B8" w:rsidRPr="00A93CE6" w:rsidRDefault="007354B8" w:rsidP="007354B8">
      <w:pPr>
        <w:pStyle w:val="enumlev1"/>
        <w:rPr>
          <w:lang w:val="ru-RU"/>
        </w:rPr>
      </w:pPr>
      <w:bookmarkStart w:id="32" w:name="lt_pId039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672337" w:rsidRPr="00A93CE6">
        <w:rPr>
          <w:b/>
          <w:bCs/>
          <w:lang w:val="ru-RU"/>
        </w:rPr>
        <w:t xml:space="preserve">Не существует </w:t>
      </w:r>
      <w:r w:rsidR="005D7080">
        <w:rPr>
          <w:b/>
          <w:bCs/>
          <w:lang w:val="ru-RU"/>
        </w:rPr>
        <w:t>незыблемых</w:t>
      </w:r>
      <w:r w:rsidR="00672337" w:rsidRPr="00A93CE6">
        <w:rPr>
          <w:b/>
          <w:bCs/>
          <w:lang w:val="ru-RU"/>
        </w:rPr>
        <w:t xml:space="preserve"> правил</w:t>
      </w:r>
      <w:bookmarkEnd w:id="32"/>
      <w:r w:rsidR="00F52038" w:rsidRPr="00A93CE6">
        <w:rPr>
          <w:lang w:val="ru-RU"/>
        </w:rPr>
        <w:t>.</w:t>
      </w:r>
      <w:r w:rsidRPr="00A93CE6">
        <w:rPr>
          <w:lang w:val="ru-RU"/>
        </w:rPr>
        <w:t xml:space="preserve"> </w:t>
      </w:r>
      <w:bookmarkStart w:id="33" w:name="lt_pId040"/>
      <w:r w:rsidR="00672337" w:rsidRPr="00A93CE6">
        <w:rPr>
          <w:lang w:val="ru-RU"/>
        </w:rPr>
        <w:t>Следует периодически анализировать системы регулирования, чтобы обеспечивать их соответствие своему назначению</w:t>
      </w:r>
      <w:r w:rsidRPr="00A93CE6">
        <w:rPr>
          <w:lang w:val="ru-RU"/>
        </w:rPr>
        <w:t>.</w:t>
      </w:r>
      <w:bookmarkEnd w:id="33"/>
      <w:r w:rsidRPr="00A93CE6">
        <w:rPr>
          <w:lang w:val="ru-RU"/>
        </w:rPr>
        <w:t xml:space="preserve"> </w:t>
      </w:r>
      <w:bookmarkStart w:id="34" w:name="lt_pId041"/>
      <w:r w:rsidR="00672337" w:rsidRPr="00A93CE6">
        <w:rPr>
          <w:lang w:val="ru-RU"/>
        </w:rPr>
        <w:t>Может потребовать адаптировать системы регулирования</w:t>
      </w:r>
      <w:r w:rsidR="00360440" w:rsidRPr="00A93CE6">
        <w:rPr>
          <w:lang w:val="ru-RU"/>
        </w:rPr>
        <w:t>, чтобы они и далее соответствовали целям государственной политики в развивающейся цифровой среде</w:t>
      </w:r>
      <w:r w:rsidRPr="00A93CE6">
        <w:rPr>
          <w:lang w:val="ru-RU"/>
        </w:rPr>
        <w:t>.</w:t>
      </w:r>
      <w:bookmarkEnd w:id="34"/>
      <w:r w:rsidRPr="00A93CE6">
        <w:rPr>
          <w:lang w:val="ru-RU"/>
        </w:rPr>
        <w:t xml:space="preserve"> </w:t>
      </w:r>
      <w:bookmarkStart w:id="35" w:name="lt_pId042"/>
      <w:r w:rsidR="00360440" w:rsidRPr="00A93CE6">
        <w:rPr>
          <w:lang w:val="ru-RU"/>
        </w:rPr>
        <w:t>Отмена правил, которые более нео</w:t>
      </w:r>
      <w:r w:rsidR="00F7288C" w:rsidRPr="00A93CE6">
        <w:rPr>
          <w:lang w:val="ru-RU"/>
        </w:rPr>
        <w:t>боснованны</w:t>
      </w:r>
      <w:r w:rsidR="00360440" w:rsidRPr="00A93CE6">
        <w:rPr>
          <w:lang w:val="ru-RU"/>
        </w:rPr>
        <w:t>, так же важно, как и принятие перспективных правил</w:t>
      </w:r>
      <w:r w:rsidRPr="00A93CE6">
        <w:rPr>
          <w:lang w:val="ru-RU"/>
        </w:rPr>
        <w:t>.</w:t>
      </w:r>
      <w:bookmarkEnd w:id="35"/>
    </w:p>
    <w:p w14:paraId="482CDAC6" w14:textId="77777777" w:rsidR="007354B8" w:rsidRPr="00A93CE6" w:rsidRDefault="007354B8" w:rsidP="007354B8">
      <w:pPr>
        <w:pStyle w:val="Headingb"/>
        <w:rPr>
          <w:lang w:val="ru-RU"/>
        </w:rPr>
      </w:pPr>
      <w:r w:rsidRPr="00A93CE6">
        <w:rPr>
          <w:lang w:val="ru-RU"/>
        </w:rPr>
        <w:t>Направления регуляторных действий: открытость, гибкость и устойчивость</w:t>
      </w:r>
    </w:p>
    <w:p w14:paraId="7BD1CAF2" w14:textId="50D4B76D" w:rsidR="0063424B" w:rsidRPr="00A93CE6" w:rsidRDefault="00360440" w:rsidP="0063424B">
      <w:pPr>
        <w:rPr>
          <w:lang w:val="ru-RU"/>
        </w:rPr>
      </w:pPr>
      <w:bookmarkStart w:id="36" w:name="lt_pId045"/>
      <w:r w:rsidRPr="00A93CE6">
        <w:rPr>
          <w:lang w:val="ru-RU"/>
        </w:rPr>
        <w:t xml:space="preserve">Ввиду усиления роли цифровой инфраструктуры для национальных экономик и граждан, в сочетании </w:t>
      </w:r>
      <w:r w:rsidR="00B4509E" w:rsidRPr="00A93CE6">
        <w:rPr>
          <w:lang w:val="ru-RU"/>
        </w:rPr>
        <w:t>с вероятностью возникновения новых глобальных чрезвычайных ситуаций</w:t>
      </w:r>
      <w:r w:rsidR="00F7288C" w:rsidRPr="00A93CE6">
        <w:rPr>
          <w:lang w:val="ru-RU"/>
        </w:rPr>
        <w:t>,</w:t>
      </w:r>
      <w:r w:rsidR="00B4509E" w:rsidRPr="00A93CE6">
        <w:rPr>
          <w:lang w:val="ru-RU"/>
        </w:rPr>
        <w:t xml:space="preserve"> регуляторным органам следует переключиться с регулирования в традиционных отраслевых рамках на системы регулирования, которые предполагают адаптацию и сотрудничество, ориентированы на результаты и нейтральны в технологическом отношении</w:t>
      </w:r>
      <w:r w:rsidR="0063424B" w:rsidRPr="00A93CE6">
        <w:rPr>
          <w:lang w:val="ru-RU"/>
        </w:rPr>
        <w:t>.</w:t>
      </w:r>
      <w:bookmarkEnd w:id="36"/>
      <w:r w:rsidR="0063424B" w:rsidRPr="00A93CE6">
        <w:rPr>
          <w:lang w:val="ru-RU"/>
        </w:rPr>
        <w:t xml:space="preserve"> </w:t>
      </w:r>
    </w:p>
    <w:p w14:paraId="3A63B122" w14:textId="6E5161E7" w:rsidR="0063424B" w:rsidRPr="00A93CE6" w:rsidRDefault="0054431F" w:rsidP="0063424B">
      <w:pPr>
        <w:rPr>
          <w:lang w:val="ru-RU"/>
        </w:rPr>
      </w:pPr>
      <w:bookmarkStart w:id="37" w:name="lt_pId046"/>
      <w:r w:rsidRPr="00A93CE6">
        <w:rPr>
          <w:lang w:val="ru-RU"/>
        </w:rPr>
        <w:t xml:space="preserve">Мы рекомендуем базировать цифровое регулирование на следующих </w:t>
      </w:r>
      <w:r w:rsidR="00F7288C" w:rsidRPr="00A93CE6">
        <w:rPr>
          <w:lang w:val="ru-RU"/>
        </w:rPr>
        <w:t>направлениях</w:t>
      </w:r>
      <w:r w:rsidRPr="00A93CE6">
        <w:rPr>
          <w:lang w:val="ru-RU"/>
        </w:rPr>
        <w:t>, чтобы можно было полностью раскрыть потенциал цифровой трансформации</w:t>
      </w:r>
      <w:r w:rsidR="0063424B" w:rsidRPr="00A93CE6">
        <w:rPr>
          <w:lang w:val="ru-RU"/>
        </w:rPr>
        <w:t>.</w:t>
      </w:r>
      <w:bookmarkEnd w:id="37"/>
      <w:r w:rsidR="0063424B" w:rsidRPr="00A93CE6">
        <w:rPr>
          <w:lang w:val="ru-RU"/>
        </w:rPr>
        <w:t xml:space="preserve"> </w:t>
      </w:r>
    </w:p>
    <w:p w14:paraId="1D8F2BB6" w14:textId="246A2700" w:rsidR="0063424B" w:rsidRPr="00A93CE6" w:rsidRDefault="0063424B" w:rsidP="0063424B">
      <w:pPr>
        <w:pStyle w:val="enumlev1"/>
        <w:rPr>
          <w:lang w:val="ru-RU"/>
        </w:rPr>
      </w:pPr>
      <w:bookmarkStart w:id="38" w:name="lt_pId047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54431F" w:rsidRPr="00A93CE6">
        <w:rPr>
          <w:b/>
          <w:bCs/>
          <w:lang w:val="ru-RU"/>
        </w:rPr>
        <w:t>Потребители – это граждане, пациенты, учащиеся и наши семьи</w:t>
      </w:r>
      <w:bookmarkEnd w:id="38"/>
      <w:r w:rsidR="00F52038" w:rsidRPr="00A93CE6">
        <w:rPr>
          <w:lang w:val="ru-RU"/>
        </w:rPr>
        <w:t>.</w:t>
      </w:r>
      <w:r w:rsidRPr="00A93CE6">
        <w:rPr>
          <w:lang w:val="ru-RU"/>
        </w:rPr>
        <w:t xml:space="preserve"> </w:t>
      </w:r>
      <w:bookmarkStart w:id="39" w:name="lt_pId048"/>
      <w:r w:rsidR="0035787B" w:rsidRPr="00A93CE6">
        <w:rPr>
          <w:lang w:val="ru-RU"/>
        </w:rPr>
        <w:t>Заинтересованность потребителей и справедливое к ним отношение играют решающую роль в цифровом регулировании</w:t>
      </w:r>
      <w:r w:rsidR="00F2714B" w:rsidRPr="00A93CE6">
        <w:rPr>
          <w:lang w:val="ru-RU"/>
        </w:rPr>
        <w:t xml:space="preserve">, и все регуляторные решения следует принимать, помня о потребителях, от поэтапных мер </w:t>
      </w:r>
      <w:r w:rsidR="0070522C" w:rsidRPr="00A93CE6">
        <w:rPr>
          <w:lang w:val="ru-RU"/>
        </w:rPr>
        <w:t>для обеспечения спокойного пребывания в онлайновой среде до эффективных способов п</w:t>
      </w:r>
      <w:r w:rsidR="003A1A39" w:rsidRPr="00A93CE6">
        <w:rPr>
          <w:lang w:val="ru-RU"/>
        </w:rPr>
        <w:t>о</w:t>
      </w:r>
      <w:r w:rsidR="0070522C" w:rsidRPr="00A93CE6">
        <w:rPr>
          <w:lang w:val="ru-RU"/>
        </w:rPr>
        <w:t xml:space="preserve">лучения </w:t>
      </w:r>
      <w:r w:rsidR="003A1A39" w:rsidRPr="00A93CE6">
        <w:rPr>
          <w:lang w:val="ru-RU"/>
        </w:rPr>
        <w:t>компенсации, в том числе через органы защиты прав потребителей, и до просвещения потребителей и правовой реформы</w:t>
      </w:r>
      <w:r w:rsidRPr="00A93CE6">
        <w:rPr>
          <w:lang w:val="ru-RU"/>
        </w:rPr>
        <w:t>.</w:t>
      </w:r>
      <w:bookmarkEnd w:id="39"/>
    </w:p>
    <w:p w14:paraId="188CAE1A" w14:textId="66009FF9" w:rsidR="0063424B" w:rsidRPr="00A93CE6" w:rsidRDefault="0063424B" w:rsidP="0063424B">
      <w:pPr>
        <w:pStyle w:val="enumlev1"/>
        <w:rPr>
          <w:lang w:val="ru-RU"/>
        </w:rPr>
      </w:pPr>
      <w:bookmarkStart w:id="40" w:name="lt_pId049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3A1A39" w:rsidRPr="00A93CE6">
        <w:rPr>
          <w:b/>
          <w:bCs/>
          <w:lang w:val="ru-RU"/>
        </w:rPr>
        <w:t>Основное внимание – хозяйственной деятельности</w:t>
      </w:r>
      <w:bookmarkEnd w:id="40"/>
      <w:r w:rsidR="00F52038" w:rsidRPr="00A93CE6">
        <w:rPr>
          <w:lang w:val="ru-RU"/>
        </w:rPr>
        <w:t>.</w:t>
      </w:r>
      <w:r w:rsidRPr="00A93CE6">
        <w:rPr>
          <w:lang w:val="ru-RU"/>
        </w:rPr>
        <w:t xml:space="preserve"> </w:t>
      </w:r>
      <w:bookmarkStart w:id="41" w:name="lt_pId050"/>
      <w:r w:rsidR="003512D1" w:rsidRPr="00A93CE6">
        <w:rPr>
          <w:lang w:val="ru-RU"/>
        </w:rPr>
        <w:t>Цифровое регулирование следует использовать как стимул для развития перспектив хозяйственной деятельности, направленных на цифровую экономику, для всех видов и масштабов участников рынка, включая МСП</w:t>
      </w:r>
      <w:r w:rsidRPr="00A93CE6">
        <w:rPr>
          <w:lang w:val="ru-RU"/>
        </w:rPr>
        <w:t>.</w:t>
      </w:r>
      <w:bookmarkEnd w:id="41"/>
      <w:r w:rsidRPr="00A93CE6">
        <w:rPr>
          <w:lang w:val="ru-RU"/>
        </w:rPr>
        <w:t xml:space="preserve"> </w:t>
      </w:r>
      <w:bookmarkStart w:id="42" w:name="lt_pId051"/>
      <w:r w:rsidR="003512D1" w:rsidRPr="00A93CE6">
        <w:rPr>
          <w:lang w:val="ru-RU"/>
        </w:rPr>
        <w:t xml:space="preserve">В области политики следует ставить цифровые технологии в центр местных, национальных и, по мере возможности, региональных </w:t>
      </w:r>
      <w:r w:rsidR="00F96DB1" w:rsidRPr="00A93CE6">
        <w:rPr>
          <w:lang w:val="ru-RU"/>
        </w:rPr>
        <w:t>стратегий развития, чтобы стимулировать экономику, вести хозяйственную деятельность и создавать преимущества в секторах с высоким потенциалом при содействии межсекторальной синергии, а также обеспечению возможности установления соединений и цифровизации малых и средних предприятий (МСП</w:t>
      </w:r>
      <w:r w:rsidRPr="00A93CE6">
        <w:rPr>
          <w:lang w:val="ru-RU"/>
        </w:rPr>
        <w:t>).</w:t>
      </w:r>
      <w:bookmarkEnd w:id="42"/>
    </w:p>
    <w:p w14:paraId="67FFCBC6" w14:textId="685B8C18" w:rsidR="0063424B" w:rsidRPr="00A93CE6" w:rsidRDefault="0063424B" w:rsidP="0063424B">
      <w:pPr>
        <w:pStyle w:val="enumlev1"/>
        <w:rPr>
          <w:lang w:val="ru-RU"/>
        </w:rPr>
      </w:pPr>
      <w:bookmarkStart w:id="43" w:name="lt_pId052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6A0188" w:rsidRPr="00A93CE6">
        <w:rPr>
          <w:lang w:val="ru-RU"/>
        </w:rPr>
        <w:t xml:space="preserve">Регулирование необходимо только там, где </w:t>
      </w:r>
      <w:r w:rsidR="006A0188" w:rsidRPr="00A93CE6">
        <w:rPr>
          <w:b/>
          <w:bCs/>
          <w:lang w:val="ru-RU"/>
        </w:rPr>
        <w:t xml:space="preserve">государственная политика обосновывает регулирование </w:t>
      </w:r>
      <w:r w:rsidR="006A0188" w:rsidRPr="00A93CE6">
        <w:rPr>
          <w:lang w:val="ru-RU"/>
        </w:rPr>
        <w:t>той или иной услуги, как путем расширения сферы применения существующих правил и регуляторных режимов, так и путем разработки новых норм</w:t>
      </w:r>
      <w:r w:rsidRPr="00A93CE6">
        <w:rPr>
          <w:lang w:val="ru-RU"/>
        </w:rPr>
        <w:t>.</w:t>
      </w:r>
      <w:bookmarkEnd w:id="43"/>
      <w:r w:rsidRPr="00A93CE6">
        <w:rPr>
          <w:lang w:val="ru-RU"/>
        </w:rPr>
        <w:t xml:space="preserve"> </w:t>
      </w:r>
      <w:bookmarkStart w:id="44" w:name="lt_pId053"/>
      <w:r w:rsidR="007A2F6B" w:rsidRPr="00A93CE6">
        <w:rPr>
          <w:lang w:val="ru-RU"/>
        </w:rPr>
        <w:t>В</w:t>
      </w:r>
      <w:r w:rsidR="00A4378B" w:rsidRPr="00A93CE6">
        <w:rPr>
          <w:lang w:val="ru-RU"/>
        </w:rPr>
        <w:t> </w:t>
      </w:r>
      <w:r w:rsidR="007A2F6B" w:rsidRPr="00A93CE6">
        <w:rPr>
          <w:lang w:val="ru-RU"/>
        </w:rPr>
        <w:t>отсутствие обоснования в рамках государственной политики регуляторным и директивным органам не следует пытаться ограничивать конкуренцию</w:t>
      </w:r>
      <w:r w:rsidRPr="00A93CE6">
        <w:rPr>
          <w:lang w:val="ru-RU"/>
        </w:rPr>
        <w:t>.</w:t>
      </w:r>
      <w:bookmarkEnd w:id="44"/>
    </w:p>
    <w:p w14:paraId="5B394AD6" w14:textId="201BF85B" w:rsidR="0063424B" w:rsidRPr="00A93CE6" w:rsidRDefault="0063424B" w:rsidP="0063424B">
      <w:pPr>
        <w:pStyle w:val="enumlev1"/>
        <w:rPr>
          <w:lang w:val="ru-RU"/>
        </w:rPr>
      </w:pPr>
      <w:bookmarkStart w:id="45" w:name="lt_pId054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A4378B" w:rsidRPr="00A93CE6">
        <w:rPr>
          <w:b/>
          <w:bCs/>
          <w:lang w:val="ru-RU"/>
        </w:rPr>
        <w:t>Укрытие</w:t>
      </w:r>
      <w:r w:rsidR="007A2F6B" w:rsidRPr="00A93CE6">
        <w:rPr>
          <w:b/>
          <w:bCs/>
          <w:lang w:val="ru-RU"/>
        </w:rPr>
        <w:t xml:space="preserve"> данных</w:t>
      </w:r>
      <w:bookmarkEnd w:id="45"/>
      <w:r w:rsidR="00F52038" w:rsidRPr="00A93CE6">
        <w:rPr>
          <w:lang w:val="ru-RU"/>
        </w:rPr>
        <w:t>.</w:t>
      </w:r>
      <w:r w:rsidRPr="00A93CE6">
        <w:rPr>
          <w:lang w:val="ru-RU"/>
        </w:rPr>
        <w:t xml:space="preserve"> </w:t>
      </w:r>
      <w:bookmarkStart w:id="46" w:name="lt_pId055"/>
      <w:r w:rsidR="007A2F6B" w:rsidRPr="00A93CE6">
        <w:rPr>
          <w:lang w:val="ru-RU"/>
        </w:rPr>
        <w:t xml:space="preserve">Четкие, жесткие и реализуемые правила, касающиеся управления данными, могут обеспечить надлежащее </w:t>
      </w:r>
      <w:r w:rsidR="0074011D" w:rsidRPr="00A93CE6">
        <w:rPr>
          <w:lang w:val="ru-RU"/>
        </w:rPr>
        <w:t>у</w:t>
      </w:r>
      <w:r w:rsidR="007A2F6B" w:rsidRPr="00A93CE6">
        <w:rPr>
          <w:lang w:val="ru-RU"/>
        </w:rPr>
        <w:t>крытие для цифровой защиты потребителей, создавая при этом предсказуемую и структурированную основу для ведения цифровой хозяйственной деятельности</w:t>
      </w:r>
      <w:r w:rsidRPr="00A93CE6">
        <w:rPr>
          <w:lang w:val="ru-RU"/>
        </w:rPr>
        <w:t>.</w:t>
      </w:r>
      <w:bookmarkEnd w:id="46"/>
      <w:r w:rsidRPr="00A93CE6">
        <w:rPr>
          <w:lang w:val="ru-RU"/>
        </w:rPr>
        <w:t xml:space="preserve"> </w:t>
      </w:r>
      <w:bookmarkStart w:id="47" w:name="lt_pId056"/>
      <w:r w:rsidR="007A2F6B" w:rsidRPr="00A93CE6">
        <w:rPr>
          <w:lang w:val="ru-RU"/>
        </w:rPr>
        <w:t xml:space="preserve">Современные регуляторные протоколы и механизмы могут в значительной мере содействовать укреплению доверия в цифровой экосистеме, например обязательству по соблюдению </w:t>
      </w:r>
      <w:r w:rsidR="005D6284" w:rsidRPr="00A93CE6">
        <w:rPr>
          <w:lang w:val="ru-RU"/>
        </w:rPr>
        <w:t>требований, касающихся доступа к данным, не имеющим персонального характера и сохраняемым цифровыми платформами</w:t>
      </w:r>
      <w:r w:rsidRPr="00A93CE6">
        <w:rPr>
          <w:lang w:val="ru-RU"/>
        </w:rPr>
        <w:t xml:space="preserve">, </w:t>
      </w:r>
      <w:r w:rsidR="005D6284" w:rsidRPr="00A93CE6">
        <w:rPr>
          <w:lang w:val="ru-RU"/>
        </w:rPr>
        <w:t>прозрачности определенных важнейших алгоритмов, используемых цифровыми услугами, переносимости важнейших данных платформ структурирования, функциональной совместимости и поддержки</w:t>
      </w:r>
      <w:r w:rsidRPr="00A93CE6">
        <w:rPr>
          <w:lang w:val="ru-RU"/>
        </w:rPr>
        <w:t xml:space="preserve"> API (</w:t>
      </w:r>
      <w:r w:rsidR="005D6284" w:rsidRPr="00A93CE6">
        <w:rPr>
          <w:color w:val="000000"/>
          <w:lang w:val="ru-RU"/>
        </w:rPr>
        <w:t>интерфейсов прикладного программирования</w:t>
      </w:r>
      <w:r w:rsidRPr="00A93CE6">
        <w:rPr>
          <w:lang w:val="ru-RU"/>
        </w:rPr>
        <w:t>).</w:t>
      </w:r>
      <w:bookmarkEnd w:id="47"/>
      <w:r w:rsidRPr="00A93CE6">
        <w:rPr>
          <w:lang w:val="ru-RU"/>
        </w:rPr>
        <w:t xml:space="preserve"> </w:t>
      </w:r>
    </w:p>
    <w:p w14:paraId="3FF8E0C3" w14:textId="15B29D2B" w:rsidR="0063424B" w:rsidRPr="00A93CE6" w:rsidRDefault="0063424B" w:rsidP="0063424B">
      <w:pPr>
        <w:pStyle w:val="enumlev1"/>
        <w:rPr>
          <w:lang w:val="ru-RU"/>
        </w:rPr>
      </w:pPr>
      <w:bookmarkStart w:id="48" w:name="lt_pId057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FD77A3" w:rsidRPr="00A93CE6">
        <w:rPr>
          <w:b/>
          <w:bCs/>
          <w:lang w:val="ru-RU"/>
        </w:rPr>
        <w:t>Заново устанавлива</w:t>
      </w:r>
      <w:r w:rsidR="00F52038" w:rsidRPr="00A93CE6">
        <w:rPr>
          <w:b/>
          <w:bCs/>
          <w:lang w:val="ru-RU"/>
        </w:rPr>
        <w:t>ть</w:t>
      </w:r>
      <w:r w:rsidR="00FD77A3" w:rsidRPr="00A93CE6">
        <w:rPr>
          <w:b/>
          <w:bCs/>
          <w:lang w:val="ru-RU"/>
        </w:rPr>
        <w:t xml:space="preserve"> рыночные определения</w:t>
      </w:r>
      <w:bookmarkEnd w:id="48"/>
      <w:r w:rsidR="00F52038" w:rsidRPr="00A93CE6">
        <w:rPr>
          <w:lang w:val="ru-RU"/>
        </w:rPr>
        <w:t>.</w:t>
      </w:r>
      <w:r w:rsidRPr="00A93CE6">
        <w:rPr>
          <w:lang w:val="ru-RU"/>
        </w:rPr>
        <w:t xml:space="preserve"> </w:t>
      </w:r>
      <w:bookmarkStart w:id="49" w:name="lt_pId058"/>
      <w:r w:rsidR="00FD77A3" w:rsidRPr="00A93CE6">
        <w:rPr>
          <w:lang w:val="ru-RU"/>
        </w:rPr>
        <w:t xml:space="preserve">Регуляторные органы могут определять новые проблемы и задачи в области управления, учитывая, что предоставляемые в </w:t>
      </w:r>
      <w:r w:rsidR="00FD77A3" w:rsidRPr="00A93CE6">
        <w:rPr>
          <w:lang w:val="ru-RU"/>
        </w:rPr>
        <w:lastRenderedPageBreak/>
        <w:t>глобальном масштабе услуг</w:t>
      </w:r>
      <w:r w:rsidR="0074011D" w:rsidRPr="00A93CE6">
        <w:rPr>
          <w:lang w:val="ru-RU"/>
        </w:rPr>
        <w:t>и</w:t>
      </w:r>
      <w:r w:rsidR="00FD77A3" w:rsidRPr="00A93CE6">
        <w:rPr>
          <w:lang w:val="ru-RU"/>
        </w:rPr>
        <w:t xml:space="preserve"> предоставляются и на местном уровне</w:t>
      </w:r>
      <w:r w:rsidRPr="00A93CE6">
        <w:rPr>
          <w:lang w:val="ru-RU"/>
        </w:rPr>
        <w:t>.</w:t>
      </w:r>
      <w:bookmarkEnd w:id="49"/>
      <w:r w:rsidRPr="00A93CE6">
        <w:rPr>
          <w:lang w:val="ru-RU"/>
        </w:rPr>
        <w:t xml:space="preserve"> </w:t>
      </w:r>
      <w:bookmarkStart w:id="50" w:name="lt_pId059"/>
      <w:r w:rsidR="00FD77A3" w:rsidRPr="00A93CE6">
        <w:rPr>
          <w:lang w:val="ru-RU"/>
        </w:rPr>
        <w:t>Появление глобальных цифровых платформ может привести к расширению сферы охвата рынков за пределы сектора электронной связи</w:t>
      </w:r>
      <w:r w:rsidRPr="00A93CE6">
        <w:rPr>
          <w:lang w:val="ru-RU"/>
        </w:rPr>
        <w:t>.</w:t>
      </w:r>
      <w:bookmarkEnd w:id="50"/>
      <w:r w:rsidRPr="00A93CE6">
        <w:rPr>
          <w:lang w:val="ru-RU"/>
        </w:rPr>
        <w:t xml:space="preserve"> </w:t>
      </w:r>
      <w:bookmarkStart w:id="51" w:name="lt_pId060"/>
      <w:r w:rsidR="00112018" w:rsidRPr="00A93CE6">
        <w:rPr>
          <w:lang w:val="ru-RU"/>
        </w:rPr>
        <w:t>Новые модели регулирования</w:t>
      </w:r>
      <w:r w:rsidRPr="00A93CE6">
        <w:rPr>
          <w:lang w:val="ru-RU"/>
        </w:rPr>
        <w:t xml:space="preserve"> </w:t>
      </w:r>
      <w:proofErr w:type="spellStart"/>
      <w:r w:rsidRPr="00A93CE6">
        <w:rPr>
          <w:lang w:val="ru-RU"/>
        </w:rPr>
        <w:t>ex-ante</w:t>
      </w:r>
      <w:proofErr w:type="spellEnd"/>
      <w:r w:rsidRPr="00A93CE6">
        <w:rPr>
          <w:lang w:val="ru-RU"/>
        </w:rPr>
        <w:t xml:space="preserve"> </w:t>
      </w:r>
      <w:r w:rsidR="00112018" w:rsidRPr="00A93CE6">
        <w:rPr>
          <w:lang w:val="ru-RU"/>
        </w:rPr>
        <w:t>для таких платформ могут проектироваться таким образом, чтобы сохранять открытый интернет на всех уровнях</w:t>
      </w:r>
      <w:r w:rsidR="00122092" w:rsidRPr="00A93CE6">
        <w:rPr>
          <w:lang w:val="ru-RU"/>
        </w:rPr>
        <w:t>, от доступа к услугам на устройствах пользователей до генерирования контента</w:t>
      </w:r>
      <w:r w:rsidRPr="00A93CE6">
        <w:rPr>
          <w:lang w:val="ru-RU"/>
        </w:rPr>
        <w:t>.</w:t>
      </w:r>
      <w:bookmarkEnd w:id="51"/>
      <w:r w:rsidRPr="00A93CE6">
        <w:rPr>
          <w:lang w:val="ru-RU"/>
        </w:rPr>
        <w:t xml:space="preserve"> </w:t>
      </w:r>
      <w:bookmarkStart w:id="52" w:name="lt_pId061"/>
      <w:r w:rsidR="00122092" w:rsidRPr="00A93CE6">
        <w:rPr>
          <w:lang w:val="ru-RU"/>
        </w:rPr>
        <w:t xml:space="preserve">При этом должное внимание следует уделять </w:t>
      </w:r>
      <w:r w:rsidR="0074011D" w:rsidRPr="00A93CE6">
        <w:rPr>
          <w:lang w:val="ru-RU"/>
        </w:rPr>
        <w:t xml:space="preserve">использованию регулирования </w:t>
      </w:r>
      <w:r w:rsidR="00122092" w:rsidRPr="00A93CE6">
        <w:rPr>
          <w:lang w:val="ru-RU"/>
        </w:rPr>
        <w:t>только там и тогда, когда это необходимо, и по мере возможности выбирать профилактические меры</w:t>
      </w:r>
      <w:r w:rsidRPr="00A93CE6">
        <w:rPr>
          <w:lang w:val="ru-RU"/>
        </w:rPr>
        <w:t>.</w:t>
      </w:r>
      <w:bookmarkEnd w:id="52"/>
      <w:r w:rsidRPr="00A93CE6">
        <w:rPr>
          <w:lang w:val="ru-RU"/>
        </w:rPr>
        <w:t xml:space="preserve"> </w:t>
      </w:r>
    </w:p>
    <w:p w14:paraId="49D37DB1" w14:textId="6E5A5038" w:rsidR="0063424B" w:rsidRPr="00A93CE6" w:rsidRDefault="0063424B" w:rsidP="0063424B">
      <w:pPr>
        <w:pStyle w:val="enumlev1"/>
        <w:rPr>
          <w:lang w:val="ru-RU"/>
        </w:rPr>
      </w:pPr>
      <w:bookmarkStart w:id="53" w:name="lt_pId062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072340" w:rsidRPr="00A93CE6">
        <w:rPr>
          <w:b/>
          <w:bCs/>
          <w:lang w:val="ru-RU"/>
        </w:rPr>
        <w:t>Реальная возможность установления соединений для всех</w:t>
      </w:r>
      <w:bookmarkEnd w:id="53"/>
      <w:r w:rsidR="00F52038" w:rsidRPr="00A93CE6">
        <w:rPr>
          <w:lang w:val="ru-RU"/>
        </w:rPr>
        <w:t>.</w:t>
      </w:r>
      <w:r w:rsidRPr="00A93CE6">
        <w:rPr>
          <w:lang w:val="ru-RU"/>
        </w:rPr>
        <w:t xml:space="preserve"> </w:t>
      </w:r>
      <w:bookmarkStart w:id="54" w:name="lt_pId063"/>
      <w:r w:rsidR="00072340" w:rsidRPr="00A93CE6">
        <w:rPr>
          <w:lang w:val="ru-RU"/>
        </w:rPr>
        <w:t>Адресные и инновационные стратегии распространения универсального широкополосного доступа и снижения затрат на связь уменьшат существующие на национальном уровне проблемы на рынке, а также помогут добиться доверия, безопасности и защищенности инфраструктуры и услуг</w:t>
      </w:r>
      <w:r w:rsidRPr="00A93CE6">
        <w:rPr>
          <w:lang w:val="ru-RU"/>
        </w:rPr>
        <w:t>.</w:t>
      </w:r>
      <w:bookmarkEnd w:id="54"/>
      <w:r w:rsidRPr="00A93CE6">
        <w:rPr>
          <w:lang w:val="ru-RU"/>
        </w:rPr>
        <w:t xml:space="preserve"> </w:t>
      </w:r>
      <w:bookmarkStart w:id="55" w:name="lt_pId064"/>
      <w:r w:rsidR="00072340" w:rsidRPr="00A93CE6">
        <w:rPr>
          <w:lang w:val="ru-RU"/>
        </w:rPr>
        <w:t xml:space="preserve">Регуляторные инициативы могут </w:t>
      </w:r>
      <w:r w:rsidR="00C94953" w:rsidRPr="00A93CE6">
        <w:rPr>
          <w:lang w:val="ru-RU"/>
        </w:rPr>
        <w:t>способствовать достижению ЦУР благодаря более оперативному сокращению цифровых разрывов, не только в отношении неравного доступа к инфраструктуре, но и применительно к цифровой грамотности</w:t>
      </w:r>
      <w:r w:rsidR="008B18CD" w:rsidRPr="00A93CE6">
        <w:rPr>
          <w:lang w:val="ru-RU"/>
        </w:rPr>
        <w:t xml:space="preserve"> и значимому контенту и перспективам</w:t>
      </w:r>
      <w:r w:rsidRPr="00A93CE6">
        <w:rPr>
          <w:lang w:val="ru-RU"/>
        </w:rPr>
        <w:t>.</w:t>
      </w:r>
      <w:bookmarkEnd w:id="55"/>
      <w:r w:rsidRPr="00A93CE6">
        <w:rPr>
          <w:lang w:val="ru-RU"/>
        </w:rPr>
        <w:t xml:space="preserve"> </w:t>
      </w:r>
      <w:bookmarkStart w:id="56" w:name="lt_pId065"/>
      <w:r w:rsidR="008B18CD" w:rsidRPr="00A93CE6">
        <w:rPr>
          <w:lang w:val="ru-RU"/>
        </w:rPr>
        <w:t>Реальная возможность установления цифровых соединений представляет собой уравнивающий фактор, который сокращает социально-экономические разрывы в таких областях, как образование, здравоохранение, финансы, но только если эта возможность признается универсальным правом</w:t>
      </w:r>
      <w:r w:rsidRPr="00A93CE6">
        <w:rPr>
          <w:lang w:val="ru-RU"/>
        </w:rPr>
        <w:t>.</w:t>
      </w:r>
      <w:bookmarkEnd w:id="56"/>
    </w:p>
    <w:p w14:paraId="5189DBDF" w14:textId="008B0086" w:rsidR="0063424B" w:rsidRPr="00A93CE6" w:rsidRDefault="0063424B" w:rsidP="0063424B">
      <w:pPr>
        <w:pStyle w:val="enumlev1"/>
        <w:rPr>
          <w:lang w:val="ru-RU"/>
        </w:rPr>
      </w:pPr>
      <w:bookmarkStart w:id="57" w:name="lt_pId066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5D7080">
        <w:rPr>
          <w:b/>
          <w:bCs/>
          <w:lang w:val="ru-RU"/>
        </w:rPr>
        <w:t>Настоящее</w:t>
      </w:r>
      <w:r w:rsidR="005172FC" w:rsidRPr="00A93CE6">
        <w:rPr>
          <w:b/>
          <w:bCs/>
          <w:lang w:val="ru-RU"/>
        </w:rPr>
        <w:t xml:space="preserve"> золот</w:t>
      </w:r>
      <w:bookmarkEnd w:id="57"/>
      <w:r w:rsidR="005D7080">
        <w:rPr>
          <w:b/>
          <w:bCs/>
          <w:lang w:val="ru-RU"/>
        </w:rPr>
        <w:t>о</w:t>
      </w:r>
      <w:r w:rsidR="00F52038" w:rsidRPr="00A93CE6">
        <w:rPr>
          <w:lang w:val="ru-RU"/>
        </w:rPr>
        <w:t>.</w:t>
      </w:r>
      <w:r w:rsidRPr="00A93CE6">
        <w:rPr>
          <w:lang w:val="ru-RU"/>
        </w:rPr>
        <w:t xml:space="preserve"> </w:t>
      </w:r>
      <w:bookmarkStart w:id="58" w:name="lt_pId067"/>
      <w:r w:rsidR="005172FC" w:rsidRPr="00A93CE6">
        <w:rPr>
          <w:lang w:val="ru-RU"/>
        </w:rPr>
        <w:t>Механизмы, упрощающие перемещения по рынку, и ликвидация сложности регуляторных правил и стандартов повышают доверие к регуляторному управлению и</w:t>
      </w:r>
      <w:r w:rsidR="00ED7253">
        <w:rPr>
          <w:lang w:val="ru-RU"/>
        </w:rPr>
        <w:t xml:space="preserve"> </w:t>
      </w:r>
      <w:r w:rsidR="005172FC" w:rsidRPr="00A93CE6">
        <w:rPr>
          <w:lang w:val="ru-RU"/>
        </w:rPr>
        <w:t>способствуют притоку новых инвестиций и появлению новых участников вне зависимости от рамок секторов и от границ, а также созданию достаточной, способной к восстановлению и открытой инфраструктуры</w:t>
      </w:r>
      <w:r w:rsidRPr="00A93CE6">
        <w:rPr>
          <w:lang w:val="ru-RU"/>
        </w:rPr>
        <w:t>.</w:t>
      </w:r>
      <w:bookmarkEnd w:id="58"/>
      <w:r w:rsidRPr="00A93CE6">
        <w:rPr>
          <w:lang w:val="ru-RU"/>
        </w:rPr>
        <w:t xml:space="preserve"> </w:t>
      </w:r>
      <w:bookmarkStart w:id="59" w:name="lt_pId068"/>
      <w:r w:rsidR="005172FC" w:rsidRPr="00A93CE6">
        <w:rPr>
          <w:lang w:val="ru-RU"/>
        </w:rPr>
        <w:t xml:space="preserve">Общие режимы санкционирования, </w:t>
      </w:r>
      <w:r w:rsidR="00ED7253">
        <w:rPr>
          <w:lang w:val="ru-RU"/>
        </w:rPr>
        <w:t>эффективные и действенные</w:t>
      </w:r>
      <w:r w:rsidR="005172FC" w:rsidRPr="00A93CE6">
        <w:rPr>
          <w:lang w:val="ru-RU"/>
        </w:rPr>
        <w:t xml:space="preserve"> механизмы управления использованием спектра</w:t>
      </w:r>
      <w:r w:rsidR="00A5218B" w:rsidRPr="00A93CE6">
        <w:rPr>
          <w:lang w:val="ru-RU"/>
        </w:rPr>
        <w:t>, совместное использование инфраструктуры и общие законы конкуренции стали катализаторами цифровой трансформации и остаются основой регулирования в будущем</w:t>
      </w:r>
      <w:r w:rsidRPr="00A93CE6">
        <w:rPr>
          <w:lang w:val="ru-RU"/>
        </w:rPr>
        <w:t>.</w:t>
      </w:r>
      <w:bookmarkEnd w:id="59"/>
      <w:r w:rsidRPr="00A93CE6">
        <w:rPr>
          <w:lang w:val="ru-RU"/>
        </w:rPr>
        <w:t xml:space="preserve"> </w:t>
      </w:r>
    </w:p>
    <w:p w14:paraId="30C4DB6B" w14:textId="6D13761A" w:rsidR="0063424B" w:rsidRPr="00A93CE6" w:rsidRDefault="00724412" w:rsidP="0063424B">
      <w:pPr>
        <w:rPr>
          <w:lang w:val="ru-RU"/>
        </w:rPr>
      </w:pPr>
      <w:bookmarkStart w:id="60" w:name="lt_pId069"/>
      <w:r w:rsidRPr="00A93CE6">
        <w:rPr>
          <w:lang w:val="ru-RU"/>
        </w:rPr>
        <w:t>После глобального кризиса</w:t>
      </w:r>
      <w:r w:rsidR="0063424B" w:rsidRPr="00A93CE6">
        <w:rPr>
          <w:lang w:val="ru-RU"/>
        </w:rPr>
        <w:t xml:space="preserve"> COVID-19 </w:t>
      </w:r>
      <w:r w:rsidRPr="00A93CE6">
        <w:rPr>
          <w:lang w:val="ru-RU"/>
        </w:rPr>
        <w:t>мо</w:t>
      </w:r>
      <w:r w:rsidR="00F52038" w:rsidRPr="00A93CE6">
        <w:rPr>
          <w:lang w:val="ru-RU"/>
        </w:rPr>
        <w:t>же</w:t>
      </w:r>
      <w:r w:rsidRPr="00A93CE6">
        <w:rPr>
          <w:lang w:val="ru-RU"/>
        </w:rPr>
        <w:t>т потребоваться переориентирование политики и изменение моделей регулирования</w:t>
      </w:r>
      <w:r w:rsidR="0063424B" w:rsidRPr="00A93CE6">
        <w:rPr>
          <w:lang w:val="ru-RU"/>
        </w:rPr>
        <w:t>.</w:t>
      </w:r>
      <w:bookmarkEnd w:id="60"/>
      <w:r w:rsidR="0063424B" w:rsidRPr="00A93CE6">
        <w:rPr>
          <w:lang w:val="ru-RU"/>
        </w:rPr>
        <w:t xml:space="preserve"> </w:t>
      </w:r>
    </w:p>
    <w:p w14:paraId="0B2276CF" w14:textId="09CFD600" w:rsidR="0063424B" w:rsidRPr="00A93CE6" w:rsidRDefault="00C87C15" w:rsidP="0063424B">
      <w:pPr>
        <w:rPr>
          <w:lang w:val="ru-RU"/>
        </w:rPr>
      </w:pPr>
      <w:bookmarkStart w:id="61" w:name="lt_pId070"/>
      <w:r w:rsidRPr="00A93CE6">
        <w:rPr>
          <w:lang w:val="ru-RU"/>
        </w:rPr>
        <w:t>Мы полагаем, что цифровое регулирование может повысить готовность цифровых рынков реагировать на непредвиденные события и чрезвычайные ситуации</w:t>
      </w:r>
      <w:r w:rsidR="00E25C55" w:rsidRPr="00A93CE6">
        <w:rPr>
          <w:lang w:val="ru-RU"/>
        </w:rPr>
        <w:t>, а также оправдывать ожидания, несмотря на неблагоприятные обстоятельства, в первую очередь в рамках следующих целевых программ</w:t>
      </w:r>
      <w:r w:rsidR="0063424B" w:rsidRPr="00A93CE6">
        <w:rPr>
          <w:lang w:val="ru-RU"/>
        </w:rPr>
        <w:t>.</w:t>
      </w:r>
      <w:bookmarkEnd w:id="61"/>
    </w:p>
    <w:p w14:paraId="44349BFF" w14:textId="7AA49767" w:rsidR="0063424B" w:rsidRPr="00A93CE6" w:rsidRDefault="004D7293" w:rsidP="004D7293">
      <w:pPr>
        <w:pStyle w:val="enumlev1"/>
        <w:rPr>
          <w:lang w:val="ru-RU"/>
        </w:rPr>
      </w:pPr>
      <w:bookmarkStart w:id="62" w:name="lt_pId071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E25C55" w:rsidRPr="00A93CE6">
        <w:rPr>
          <w:b/>
          <w:bCs/>
          <w:lang w:val="ru-RU"/>
        </w:rPr>
        <w:t>Гибкие рамки для конкуренции на цифровых рынках</w:t>
      </w:r>
      <w:bookmarkEnd w:id="62"/>
      <w:r w:rsidR="00F52038" w:rsidRPr="00A93CE6">
        <w:rPr>
          <w:lang w:val="ru-RU"/>
        </w:rPr>
        <w:t>.</w:t>
      </w:r>
      <w:r w:rsidR="0063424B" w:rsidRPr="00A93CE6">
        <w:rPr>
          <w:lang w:val="ru-RU"/>
        </w:rPr>
        <w:t xml:space="preserve"> </w:t>
      </w:r>
      <w:bookmarkStart w:id="63" w:name="lt_pId072"/>
      <w:r w:rsidR="00E25C55" w:rsidRPr="00A93CE6">
        <w:rPr>
          <w:lang w:val="ru-RU"/>
        </w:rPr>
        <w:t>Поскольку укрепление рыночной мощи глобальных цифровых платформ может вызвать подавление потенциальных источников инноваций или ограничение свободы выбора потребителей</w:t>
      </w:r>
      <w:r w:rsidR="0063424B" w:rsidRPr="00A93CE6">
        <w:rPr>
          <w:lang w:val="ru-RU"/>
        </w:rPr>
        <w:t xml:space="preserve">, </w:t>
      </w:r>
      <w:r w:rsidR="00E25C55" w:rsidRPr="00A93CE6">
        <w:rPr>
          <w:lang w:val="ru-RU"/>
        </w:rPr>
        <w:t>новые гибкие меры регулирования</w:t>
      </w:r>
      <w:r w:rsidR="00E55D26" w:rsidRPr="00A93CE6">
        <w:rPr>
          <w:lang w:val="ru-RU"/>
        </w:rPr>
        <w:t>, в которых основное внимание уделяется профилактике, могут основываться на мониторинге деятельности в режиме реального времени, а также на адресных, соразмерных и своевременных действиях</w:t>
      </w:r>
      <w:r w:rsidR="0063424B" w:rsidRPr="00A93CE6">
        <w:rPr>
          <w:lang w:val="ru-RU"/>
        </w:rPr>
        <w:t>.</w:t>
      </w:r>
      <w:bookmarkEnd w:id="63"/>
      <w:r w:rsidR="0063424B" w:rsidRPr="00A93CE6">
        <w:rPr>
          <w:lang w:val="ru-RU"/>
        </w:rPr>
        <w:t xml:space="preserve"> </w:t>
      </w:r>
      <w:bookmarkStart w:id="64" w:name="lt_pId073"/>
      <w:r w:rsidR="00E55D26" w:rsidRPr="00A93CE6">
        <w:rPr>
          <w:lang w:val="ru-RU"/>
        </w:rPr>
        <w:t>Тем временем регуляторным органам следует поддерживать инновации и новые модели хозяйственной деятельности и лицензирования, которые способствовали бы приемлемому в ценовом отношении доступу к здравоохранению, предпринимательству и образовательным услугам и инвестициям в них на цифровых платформах</w:t>
      </w:r>
      <w:r w:rsidR="004B3338" w:rsidRPr="00A93CE6">
        <w:rPr>
          <w:lang w:val="ru-RU"/>
        </w:rPr>
        <w:t xml:space="preserve">, в особенности когда мир адаптируется к </w:t>
      </w:r>
      <w:r w:rsidR="0074011D" w:rsidRPr="00A93CE6">
        <w:rPr>
          <w:lang w:val="ru-RU"/>
        </w:rPr>
        <w:t xml:space="preserve">имеющей сейчас место </w:t>
      </w:r>
      <w:r w:rsidR="004B3338" w:rsidRPr="00A93CE6">
        <w:rPr>
          <w:lang w:val="ru-RU"/>
        </w:rPr>
        <w:t>пандемии в области здоровья человека и восстанавливается после нее</w:t>
      </w:r>
      <w:r w:rsidR="0063424B" w:rsidRPr="00A93CE6">
        <w:rPr>
          <w:lang w:val="ru-RU"/>
        </w:rPr>
        <w:t>.</w:t>
      </w:r>
      <w:bookmarkEnd w:id="64"/>
    </w:p>
    <w:p w14:paraId="31515357" w14:textId="22164534" w:rsidR="0063424B" w:rsidRPr="00A93CE6" w:rsidRDefault="004D7293" w:rsidP="004D7293">
      <w:pPr>
        <w:pStyle w:val="enumlev1"/>
        <w:rPr>
          <w:lang w:val="ru-RU"/>
        </w:rPr>
      </w:pPr>
      <w:bookmarkStart w:id="65" w:name="lt_pId074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2F7A87" w:rsidRPr="00A93CE6">
        <w:rPr>
          <w:b/>
          <w:bCs/>
          <w:lang w:val="ru-RU"/>
        </w:rPr>
        <w:t xml:space="preserve">Добровольные и </w:t>
      </w:r>
      <w:r w:rsidR="00107A04" w:rsidRPr="00A93CE6">
        <w:rPr>
          <w:b/>
          <w:bCs/>
          <w:lang w:val="ru-RU"/>
        </w:rPr>
        <w:t>осуществимые кодексы поведения</w:t>
      </w:r>
      <w:bookmarkEnd w:id="65"/>
      <w:r w:rsidR="00F52038" w:rsidRPr="00A93CE6">
        <w:rPr>
          <w:lang w:val="ru-RU"/>
        </w:rPr>
        <w:t>.</w:t>
      </w:r>
      <w:r w:rsidR="0063424B" w:rsidRPr="00A93CE6">
        <w:rPr>
          <w:lang w:val="ru-RU"/>
        </w:rPr>
        <w:t xml:space="preserve"> </w:t>
      </w:r>
      <w:bookmarkStart w:id="66" w:name="lt_pId075"/>
      <w:r w:rsidR="00107A04" w:rsidRPr="00A93CE6">
        <w:rPr>
          <w:lang w:val="ru-RU"/>
        </w:rPr>
        <w:t>В таких важных областях, как упорядочение онлайнового контента на цифровых платформах, решение проблем недостоверной информации и качества онлайновых новостей,</w:t>
      </w:r>
      <w:r w:rsidR="0074011D" w:rsidRPr="00A93CE6">
        <w:rPr>
          <w:lang w:val="ru-RU"/>
        </w:rPr>
        <w:t xml:space="preserve"> а также</w:t>
      </w:r>
      <w:r w:rsidR="00107A04" w:rsidRPr="00A93CE6">
        <w:rPr>
          <w:lang w:val="ru-RU"/>
        </w:rPr>
        <w:t xml:space="preserve"> защита ребенка в онлайновой среде, настоятельно рекомендуется на цифровых платформах</w:t>
      </w:r>
      <w:r w:rsidR="004E04B2" w:rsidRPr="00A93CE6">
        <w:rPr>
          <w:lang w:val="ru-RU"/>
        </w:rPr>
        <w:t xml:space="preserve"> применять подходы, ориентированные на результаты, и регуляторным органам следует</w:t>
      </w:r>
      <w:r w:rsidR="00C0679E" w:rsidRPr="00A93CE6">
        <w:rPr>
          <w:lang w:val="ru-RU"/>
        </w:rPr>
        <w:t xml:space="preserve"> направлять и поддерживать их в процессе разработки кодексов, их выполнения и реализации осуществления</w:t>
      </w:r>
      <w:r w:rsidR="0063424B" w:rsidRPr="00A93CE6">
        <w:rPr>
          <w:lang w:val="ru-RU"/>
        </w:rPr>
        <w:t>.</w:t>
      </w:r>
      <w:bookmarkEnd w:id="66"/>
      <w:r w:rsidR="0063424B" w:rsidRPr="00A93CE6">
        <w:rPr>
          <w:lang w:val="ru-RU"/>
        </w:rPr>
        <w:t xml:space="preserve"> </w:t>
      </w:r>
      <w:bookmarkStart w:id="67" w:name="lt_pId076"/>
      <w:r w:rsidR="00C0679E" w:rsidRPr="00A93CE6">
        <w:rPr>
          <w:lang w:val="ru-RU"/>
        </w:rPr>
        <w:t>Усилия по деятельности СМИ, цифровой грамотности и повышени</w:t>
      </w:r>
      <w:r w:rsidR="0074011D" w:rsidRPr="00A93CE6">
        <w:rPr>
          <w:lang w:val="ru-RU"/>
        </w:rPr>
        <w:t>ю</w:t>
      </w:r>
      <w:r w:rsidR="00C0679E" w:rsidRPr="00A93CE6">
        <w:rPr>
          <w:lang w:val="ru-RU"/>
        </w:rPr>
        <w:t xml:space="preserve"> информированности также должны играть основную роль в преодолении трудностей, </w:t>
      </w:r>
      <w:r w:rsidR="00C0679E" w:rsidRPr="00A93CE6">
        <w:rPr>
          <w:lang w:val="ru-RU"/>
        </w:rPr>
        <w:lastRenderedPageBreak/>
        <w:t>связанных с услугами, которые становятся возможными благодаря цифровой трансформации</w:t>
      </w:r>
      <w:r w:rsidR="0063424B" w:rsidRPr="00A93CE6">
        <w:rPr>
          <w:lang w:val="ru-RU"/>
        </w:rPr>
        <w:t>.</w:t>
      </w:r>
      <w:bookmarkEnd w:id="67"/>
    </w:p>
    <w:p w14:paraId="17F6F1F2" w14:textId="2B65FE0E" w:rsidR="0063424B" w:rsidRPr="00A93CE6" w:rsidRDefault="004D7293" w:rsidP="004D7293">
      <w:pPr>
        <w:pStyle w:val="enumlev1"/>
        <w:rPr>
          <w:lang w:val="ru-RU"/>
        </w:rPr>
      </w:pPr>
      <w:bookmarkStart w:id="68" w:name="lt_pId077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A07735" w:rsidRPr="00A93CE6">
        <w:rPr>
          <w:b/>
          <w:bCs/>
          <w:lang w:val="ru-RU"/>
        </w:rPr>
        <w:t>Совершенствование национальных планов действий в чрезвычайных ситуациях</w:t>
      </w:r>
      <w:bookmarkEnd w:id="68"/>
      <w:r w:rsidR="00F52038" w:rsidRPr="00A93CE6">
        <w:rPr>
          <w:lang w:val="ru-RU"/>
        </w:rPr>
        <w:t>.</w:t>
      </w:r>
      <w:r w:rsidR="0063424B" w:rsidRPr="00A93CE6">
        <w:rPr>
          <w:lang w:val="ru-RU"/>
        </w:rPr>
        <w:t xml:space="preserve"> </w:t>
      </w:r>
      <w:bookmarkStart w:id="69" w:name="lt_pId078"/>
      <w:r w:rsidR="00A07735" w:rsidRPr="00A93CE6">
        <w:rPr>
          <w:lang w:val="ru-RU"/>
        </w:rPr>
        <w:t>План</w:t>
      </w:r>
      <w:r w:rsidR="0074011D" w:rsidRPr="00A93CE6">
        <w:rPr>
          <w:lang w:val="ru-RU"/>
        </w:rPr>
        <w:t>ы</w:t>
      </w:r>
      <w:r w:rsidR="00A07735" w:rsidRPr="00A93CE6">
        <w:rPr>
          <w:lang w:val="ru-RU"/>
        </w:rPr>
        <w:t xml:space="preserve"> действий в чрезвычайных ситуациях обеспечивают более четкую подготовленность к кризисам и принятие решений </w:t>
      </w:r>
      <w:r w:rsidR="00814EB5" w:rsidRPr="00A93CE6">
        <w:rPr>
          <w:lang w:val="ru-RU"/>
        </w:rPr>
        <w:t>в период</w:t>
      </w:r>
      <w:r w:rsidR="00A07735" w:rsidRPr="00A93CE6">
        <w:rPr>
          <w:lang w:val="ru-RU"/>
        </w:rPr>
        <w:t xml:space="preserve"> кризисов</w:t>
      </w:r>
      <w:r w:rsidR="0063424B" w:rsidRPr="00A93CE6">
        <w:rPr>
          <w:lang w:val="ru-RU"/>
        </w:rPr>
        <w:t>.</w:t>
      </w:r>
      <w:bookmarkEnd w:id="69"/>
      <w:r w:rsidR="0063424B" w:rsidRPr="00A93CE6">
        <w:rPr>
          <w:lang w:val="ru-RU"/>
        </w:rPr>
        <w:t xml:space="preserve"> </w:t>
      </w:r>
      <w:bookmarkStart w:id="70" w:name="lt_pId079"/>
      <w:r w:rsidR="0021287A" w:rsidRPr="00A93CE6">
        <w:rPr>
          <w:lang w:val="ru-RU"/>
        </w:rPr>
        <w:t xml:space="preserve">Такие планы играют ключевую роль в предвидении будущих неожиданных событий и их негативных последствий, и в них внимание следует уделять и городским, и сельским районам в рамках подхода, предусматривающего </w:t>
      </w:r>
      <w:r w:rsidR="00921772" w:rsidRPr="00A93CE6">
        <w:rPr>
          <w:lang w:val="ru-RU"/>
        </w:rPr>
        <w:t>использование нескольких технологий</w:t>
      </w:r>
      <w:r w:rsidR="0063424B" w:rsidRPr="00A93CE6">
        <w:rPr>
          <w:lang w:val="ru-RU"/>
        </w:rPr>
        <w:t>.</w:t>
      </w:r>
      <w:bookmarkEnd w:id="70"/>
      <w:r w:rsidR="0063424B" w:rsidRPr="00A93CE6">
        <w:rPr>
          <w:lang w:val="ru-RU"/>
        </w:rPr>
        <w:t xml:space="preserve"> </w:t>
      </w:r>
      <w:bookmarkStart w:id="71" w:name="lt_pId080"/>
      <w:r w:rsidR="00921772" w:rsidRPr="00A93CE6">
        <w:rPr>
          <w:lang w:val="ru-RU"/>
        </w:rPr>
        <w:t>Требуется двустороннее, региональное и международное сотрудничество для обеспечения непрерывности ведения хозяйственной деятельности и предоставления государственных услуг и для содействия национальны</w:t>
      </w:r>
      <w:r w:rsidR="0074011D" w:rsidRPr="00A93CE6">
        <w:rPr>
          <w:lang w:val="ru-RU"/>
        </w:rPr>
        <w:t>м</w:t>
      </w:r>
      <w:r w:rsidR="00921772" w:rsidRPr="00A93CE6">
        <w:rPr>
          <w:lang w:val="ru-RU"/>
        </w:rPr>
        <w:t xml:space="preserve"> усили</w:t>
      </w:r>
      <w:r w:rsidR="0074011D" w:rsidRPr="00A93CE6">
        <w:rPr>
          <w:lang w:val="ru-RU"/>
        </w:rPr>
        <w:t>ям</w:t>
      </w:r>
      <w:r w:rsidR="00921772" w:rsidRPr="00A93CE6">
        <w:rPr>
          <w:lang w:val="ru-RU"/>
        </w:rPr>
        <w:t xml:space="preserve"> при восстановлении после чрезвычайных ситуаций</w:t>
      </w:r>
      <w:r w:rsidR="0063424B" w:rsidRPr="00A93CE6">
        <w:rPr>
          <w:lang w:val="ru-RU"/>
        </w:rPr>
        <w:t>.</w:t>
      </w:r>
      <w:bookmarkEnd w:id="71"/>
    </w:p>
    <w:p w14:paraId="77AC935F" w14:textId="0C39956A" w:rsidR="0063424B" w:rsidRPr="00A93CE6" w:rsidRDefault="004D7293" w:rsidP="004D7293">
      <w:pPr>
        <w:pStyle w:val="enumlev1"/>
        <w:rPr>
          <w:lang w:val="ru-RU"/>
        </w:rPr>
      </w:pPr>
      <w:bookmarkStart w:id="72" w:name="lt_pId081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FB6B31" w:rsidRPr="00A93CE6">
        <w:rPr>
          <w:b/>
          <w:bCs/>
          <w:lang w:val="ru-RU"/>
        </w:rPr>
        <w:t>Реформирование использования спектра</w:t>
      </w:r>
      <w:bookmarkEnd w:id="72"/>
      <w:r w:rsidR="00F52038" w:rsidRPr="00A93CE6">
        <w:rPr>
          <w:lang w:val="ru-RU"/>
        </w:rPr>
        <w:t>.</w:t>
      </w:r>
      <w:r w:rsidR="0063424B" w:rsidRPr="00A93CE6">
        <w:rPr>
          <w:lang w:val="ru-RU"/>
        </w:rPr>
        <w:t xml:space="preserve"> </w:t>
      </w:r>
      <w:bookmarkStart w:id="73" w:name="lt_pId082"/>
      <w:r w:rsidR="00F52038" w:rsidRPr="00A93CE6">
        <w:rPr>
          <w:lang w:val="ru-RU"/>
        </w:rPr>
        <w:t>Специалисты по у</w:t>
      </w:r>
      <w:r w:rsidR="00FB6B31" w:rsidRPr="00A93CE6">
        <w:rPr>
          <w:lang w:val="ru-RU"/>
        </w:rPr>
        <w:t>правл</w:t>
      </w:r>
      <w:r w:rsidR="00F52038" w:rsidRPr="00A93CE6">
        <w:rPr>
          <w:lang w:val="ru-RU"/>
        </w:rPr>
        <w:t>ению</w:t>
      </w:r>
      <w:r w:rsidR="00FB6B31" w:rsidRPr="00A93CE6">
        <w:rPr>
          <w:lang w:val="ru-RU"/>
        </w:rPr>
        <w:t xml:space="preserve"> использованием спектра должны </w:t>
      </w:r>
      <w:r w:rsidR="00F52038" w:rsidRPr="00A93CE6">
        <w:rPr>
          <w:lang w:val="ru-RU"/>
        </w:rPr>
        <w:t>уметь</w:t>
      </w:r>
      <w:r w:rsidR="00FB6B31" w:rsidRPr="00A93CE6">
        <w:rPr>
          <w:lang w:val="ru-RU"/>
        </w:rPr>
        <w:t xml:space="preserve"> </w:t>
      </w:r>
      <w:r w:rsidR="005D7080">
        <w:rPr>
          <w:lang w:val="ru-RU"/>
        </w:rPr>
        <w:t>своевременно</w:t>
      </w:r>
      <w:r w:rsidR="00FB6B31" w:rsidRPr="00A93CE6">
        <w:rPr>
          <w:lang w:val="ru-RU"/>
        </w:rPr>
        <w:t xml:space="preserve"> реагировать, предоставляя спектр</w:t>
      </w:r>
      <w:r w:rsidR="005D7080">
        <w:rPr>
          <w:lang w:val="ru-RU"/>
        </w:rPr>
        <w:t xml:space="preserve"> для беспроводных </w:t>
      </w:r>
      <w:r w:rsidR="004D6AEF">
        <w:rPr>
          <w:lang w:val="ru-RU"/>
        </w:rPr>
        <w:t>приложений</w:t>
      </w:r>
      <w:r w:rsidR="00FB6B31" w:rsidRPr="00A93CE6">
        <w:rPr>
          <w:lang w:val="ru-RU"/>
        </w:rPr>
        <w:t xml:space="preserve"> тогда и там, где это требуется, по возможности без промедления, обеспечивая пользователям спектра и новаторам </w:t>
      </w:r>
      <w:r w:rsidR="00FA1FCF" w:rsidRPr="00A93CE6">
        <w:rPr>
          <w:lang w:val="ru-RU"/>
        </w:rPr>
        <w:t>гибкость для предоставления услуг, которые принесут максимальную пользу</w:t>
      </w:r>
      <w:r w:rsidR="0063424B" w:rsidRPr="00A93CE6">
        <w:rPr>
          <w:lang w:val="ru-RU"/>
        </w:rPr>
        <w:t>.</w:t>
      </w:r>
      <w:bookmarkEnd w:id="73"/>
      <w:r w:rsidR="0063424B" w:rsidRPr="00A93CE6">
        <w:rPr>
          <w:lang w:val="ru-RU"/>
        </w:rPr>
        <w:t xml:space="preserve"> </w:t>
      </w:r>
      <w:bookmarkStart w:id="74" w:name="lt_pId083"/>
      <w:r w:rsidR="005D7080">
        <w:rPr>
          <w:lang w:val="ru-RU"/>
        </w:rPr>
        <w:t>Динамичная и г</w:t>
      </w:r>
      <w:r w:rsidR="00FA1FCF" w:rsidRPr="00A93CE6">
        <w:rPr>
          <w:lang w:val="ru-RU"/>
        </w:rPr>
        <w:t>ибкая система санкционирования,</w:t>
      </w:r>
      <w:r w:rsidR="005D7080">
        <w:rPr>
          <w:lang w:val="ru-RU"/>
        </w:rPr>
        <w:t xml:space="preserve"> в которой</w:t>
      </w:r>
      <w:r w:rsidR="00FA1FCF" w:rsidRPr="00A93CE6">
        <w:rPr>
          <w:lang w:val="ru-RU"/>
        </w:rPr>
        <w:t xml:space="preserve"> использу</w:t>
      </w:r>
      <w:r w:rsidR="005D7080">
        <w:rPr>
          <w:lang w:val="ru-RU"/>
        </w:rPr>
        <w:t>ютс</w:t>
      </w:r>
      <w:r w:rsidR="00FA1FCF" w:rsidRPr="00A93CE6">
        <w:rPr>
          <w:lang w:val="ru-RU"/>
        </w:rPr>
        <w:t>я подход</w:t>
      </w:r>
      <w:r w:rsidR="005D7080">
        <w:rPr>
          <w:lang w:val="ru-RU"/>
        </w:rPr>
        <w:t>ы</w:t>
      </w:r>
      <w:r w:rsidR="00FA1FCF" w:rsidRPr="00A93CE6">
        <w:rPr>
          <w:lang w:val="ru-RU"/>
        </w:rPr>
        <w:t>, нейтральны</w:t>
      </w:r>
      <w:r w:rsidR="005D7080">
        <w:rPr>
          <w:lang w:val="ru-RU"/>
        </w:rPr>
        <w:t>е</w:t>
      </w:r>
      <w:r w:rsidR="00FA1FCF" w:rsidRPr="00A93CE6">
        <w:rPr>
          <w:lang w:val="ru-RU"/>
        </w:rPr>
        <w:t xml:space="preserve"> в отношении технологий и</w:t>
      </w:r>
      <w:r w:rsidR="005D7080">
        <w:rPr>
          <w:lang w:val="ru-RU"/>
        </w:rPr>
        <w:t>/или</w:t>
      </w:r>
      <w:r w:rsidR="00FA1FCF" w:rsidRPr="00A93CE6">
        <w:rPr>
          <w:lang w:val="ru-RU"/>
        </w:rPr>
        <w:t xml:space="preserve"> услуг, </w:t>
      </w:r>
      <w:r w:rsidR="005D7080">
        <w:rPr>
          <w:lang w:val="ru-RU"/>
        </w:rPr>
        <w:t xml:space="preserve">в тех случаях, когда это уместно, может </w:t>
      </w:r>
      <w:r w:rsidR="00FA1FCF" w:rsidRPr="00A93CE6">
        <w:rPr>
          <w:lang w:val="ru-RU"/>
        </w:rPr>
        <w:t>да</w:t>
      </w:r>
      <w:r w:rsidR="005D7080">
        <w:rPr>
          <w:lang w:val="ru-RU"/>
        </w:rPr>
        <w:t>ть поставщикам услуг</w:t>
      </w:r>
      <w:r w:rsidR="00FA1FCF" w:rsidRPr="00A93CE6">
        <w:rPr>
          <w:lang w:val="ru-RU"/>
        </w:rPr>
        <w:t xml:space="preserve"> возможность быстро и беспрепятственно разв</w:t>
      </w:r>
      <w:r w:rsidR="005D7080">
        <w:rPr>
          <w:lang w:val="ru-RU"/>
        </w:rPr>
        <w:t>орачивать</w:t>
      </w:r>
      <w:r w:rsidR="00FA1FCF" w:rsidRPr="00A93CE6">
        <w:rPr>
          <w:lang w:val="ru-RU"/>
        </w:rPr>
        <w:t xml:space="preserve"> оборудование</w:t>
      </w:r>
      <w:r w:rsidR="005D7080">
        <w:rPr>
          <w:lang w:val="ru-RU"/>
        </w:rPr>
        <w:t xml:space="preserve"> и развивать свои сети</w:t>
      </w:r>
      <w:r w:rsidR="0063424B" w:rsidRPr="00A93CE6">
        <w:rPr>
          <w:lang w:val="ru-RU"/>
        </w:rPr>
        <w:t>.</w:t>
      </w:r>
      <w:bookmarkEnd w:id="74"/>
      <w:r w:rsidR="0063424B" w:rsidRPr="00A93CE6">
        <w:rPr>
          <w:lang w:val="ru-RU"/>
        </w:rPr>
        <w:t xml:space="preserve"> </w:t>
      </w:r>
      <w:bookmarkStart w:id="75" w:name="lt_pId084"/>
      <w:r w:rsidR="002D184A" w:rsidRPr="00A93CE6">
        <w:rPr>
          <w:lang w:val="ru-RU"/>
        </w:rPr>
        <w:t>Обеспечение достаточного объема нелицензируемого спектра стимулирует инновации и инвестиции в технологи</w:t>
      </w:r>
      <w:r w:rsidR="004D6AEF">
        <w:rPr>
          <w:lang w:val="ru-RU"/>
        </w:rPr>
        <w:t>и</w:t>
      </w:r>
      <w:r w:rsidR="002D184A" w:rsidRPr="00A93CE6">
        <w:rPr>
          <w:lang w:val="ru-RU"/>
        </w:rPr>
        <w:t>, которые могут дополнять и поддерживать сети, а также расширять широкополосный доступ при низких затратах</w:t>
      </w:r>
      <w:r w:rsidR="0063424B" w:rsidRPr="00A93CE6">
        <w:rPr>
          <w:lang w:val="ru-RU"/>
        </w:rPr>
        <w:t>.</w:t>
      </w:r>
      <w:bookmarkEnd w:id="75"/>
      <w:r w:rsidR="0063424B" w:rsidRPr="00A93CE6">
        <w:rPr>
          <w:lang w:val="ru-RU"/>
        </w:rPr>
        <w:t xml:space="preserve"> </w:t>
      </w:r>
      <w:bookmarkStart w:id="76" w:name="lt_pId085"/>
      <w:r w:rsidR="004D6AEF">
        <w:rPr>
          <w:lang w:val="ru-RU"/>
        </w:rPr>
        <w:t>Притом что регуляторное реформирование с целью вывода на рынок новых систем и услуг радиосвязи заслуживает одобрения, реформирование использования спектра следует ориентировать также на обеспечение ценовой приемлемости доступа к услугам широкополосной связи в тех областях и для такого населения, которые традиционно не были охвачены обслуживанием или обслуживались в недостаточной степени</w:t>
      </w:r>
      <w:r w:rsidR="0063424B" w:rsidRPr="00A93CE6">
        <w:rPr>
          <w:lang w:val="ru-RU"/>
        </w:rPr>
        <w:t>.</w:t>
      </w:r>
      <w:bookmarkEnd w:id="76"/>
      <w:r w:rsidR="0063424B" w:rsidRPr="00A93CE6">
        <w:rPr>
          <w:lang w:val="ru-RU"/>
        </w:rPr>
        <w:t xml:space="preserve"> </w:t>
      </w:r>
    </w:p>
    <w:p w14:paraId="329EA823" w14:textId="77777777" w:rsidR="0063424B" w:rsidRPr="00A93CE6" w:rsidRDefault="00930B17" w:rsidP="00930B17">
      <w:pPr>
        <w:pStyle w:val="Headingb"/>
        <w:rPr>
          <w:lang w:val="ru-RU"/>
        </w:rPr>
      </w:pPr>
      <w:r w:rsidRPr="00A93CE6">
        <w:rPr>
          <w:lang w:val="ru-RU"/>
        </w:rPr>
        <w:t>Сотрудничество между секторами, трансграничное сотрудничество и всестороннее участие</w:t>
      </w:r>
    </w:p>
    <w:p w14:paraId="0BA50DAD" w14:textId="47BC4102" w:rsidR="00930B17" w:rsidRPr="00A93CE6" w:rsidRDefault="009C75C1" w:rsidP="00930B17">
      <w:pPr>
        <w:rPr>
          <w:lang w:val="ru-RU"/>
        </w:rPr>
      </w:pPr>
      <w:bookmarkStart w:id="77" w:name="lt_pId087"/>
      <w:r w:rsidRPr="00A93CE6">
        <w:rPr>
          <w:lang w:val="ru-RU"/>
        </w:rPr>
        <w:t xml:space="preserve">Расширение глобализации рынков и стирание традиционных граней между секторами будет </w:t>
      </w:r>
      <w:r w:rsidR="001442F4" w:rsidRPr="00A93CE6">
        <w:rPr>
          <w:lang w:val="ru-RU"/>
        </w:rPr>
        <w:t>знаменовать</w:t>
      </w:r>
      <w:r w:rsidRPr="00A93CE6">
        <w:rPr>
          <w:lang w:val="ru-RU"/>
        </w:rPr>
        <w:t xml:space="preserve"> решающее значение международного и межправительственного сотрудничества в обеспечении того, что</w:t>
      </w:r>
      <w:r w:rsidR="001442F4" w:rsidRPr="00A93CE6">
        <w:rPr>
          <w:lang w:val="ru-RU"/>
        </w:rPr>
        <w:t>бы</w:t>
      </w:r>
      <w:r w:rsidRPr="00A93CE6">
        <w:rPr>
          <w:lang w:val="ru-RU"/>
        </w:rPr>
        <w:t xml:space="preserve"> наши системы регулирования мог</w:t>
      </w:r>
      <w:r w:rsidR="001442F4" w:rsidRPr="00A93CE6">
        <w:rPr>
          <w:lang w:val="ru-RU"/>
        </w:rPr>
        <w:t>ли</w:t>
      </w:r>
      <w:r w:rsidRPr="00A93CE6">
        <w:rPr>
          <w:lang w:val="ru-RU"/>
        </w:rPr>
        <w:t xml:space="preserve"> адаптироваться к новым и возникающим проблемам регулирования и реагировать на них</w:t>
      </w:r>
      <w:r w:rsidR="00930B17" w:rsidRPr="00A93CE6">
        <w:rPr>
          <w:lang w:val="ru-RU"/>
        </w:rPr>
        <w:t>.</w:t>
      </w:r>
      <w:bookmarkEnd w:id="77"/>
      <w:r w:rsidR="00930B17" w:rsidRPr="00A93CE6">
        <w:rPr>
          <w:lang w:val="ru-RU"/>
        </w:rPr>
        <w:t xml:space="preserve"> </w:t>
      </w:r>
    </w:p>
    <w:p w14:paraId="560A59D9" w14:textId="17861B12" w:rsidR="00930B17" w:rsidRPr="00A93CE6" w:rsidRDefault="009C75C1" w:rsidP="00930B17">
      <w:pPr>
        <w:rPr>
          <w:lang w:val="ru-RU"/>
        </w:rPr>
      </w:pPr>
      <w:bookmarkStart w:id="78" w:name="lt_pId088"/>
      <w:r w:rsidRPr="00A93CE6">
        <w:rPr>
          <w:lang w:val="ru-RU"/>
        </w:rPr>
        <w:t>В государственно</w:t>
      </w:r>
      <w:r w:rsidR="001442F4" w:rsidRPr="00A93CE6">
        <w:rPr>
          <w:lang w:val="ru-RU"/>
        </w:rPr>
        <w:t xml:space="preserve">й </w:t>
      </w:r>
      <w:r w:rsidRPr="00A93CE6">
        <w:rPr>
          <w:lang w:val="ru-RU"/>
        </w:rPr>
        <w:t>политике центр внимания смещается с одного сектора на экономику и общество в целом, на основе цифровой трансформации</w:t>
      </w:r>
      <w:r w:rsidR="00930B17" w:rsidRPr="00A93CE6">
        <w:rPr>
          <w:lang w:val="ru-RU"/>
        </w:rPr>
        <w:t>.</w:t>
      </w:r>
      <w:bookmarkEnd w:id="78"/>
      <w:r w:rsidR="00930B17" w:rsidRPr="00A93CE6">
        <w:rPr>
          <w:lang w:val="ru-RU"/>
        </w:rPr>
        <w:t xml:space="preserve"> </w:t>
      </w:r>
      <w:bookmarkStart w:id="79" w:name="lt_pId089"/>
      <w:r w:rsidRPr="00A93CE6">
        <w:rPr>
          <w:lang w:val="ru-RU"/>
        </w:rPr>
        <w:t xml:space="preserve">Регуляторные и директивные органы в области ИКТ испытывают все большее давление, побуждающее их устанавливать соединения со своими партнерами и участниками всех секторов экономики, с тем чтобы использовать цифровую трансформацию как двигатель </w:t>
      </w:r>
      <w:r w:rsidR="003155FD" w:rsidRPr="00A93CE6">
        <w:rPr>
          <w:lang w:val="ru-RU"/>
        </w:rPr>
        <w:t>устойчивого развития и достижения ЦУР</w:t>
      </w:r>
      <w:r w:rsidR="00930B17" w:rsidRPr="00A93CE6">
        <w:rPr>
          <w:lang w:val="ru-RU"/>
        </w:rPr>
        <w:t>.</w:t>
      </w:r>
      <w:bookmarkEnd w:id="79"/>
    </w:p>
    <w:p w14:paraId="6625B5EB" w14:textId="3D5BD3B8" w:rsidR="00930B17" w:rsidRPr="00A93CE6" w:rsidRDefault="003155FD" w:rsidP="00930B17">
      <w:pPr>
        <w:rPr>
          <w:lang w:val="ru-RU"/>
        </w:rPr>
      </w:pPr>
      <w:bookmarkStart w:id="80" w:name="lt_pId090"/>
      <w:r w:rsidRPr="00A93CE6">
        <w:rPr>
          <w:lang w:val="ru-RU"/>
        </w:rPr>
        <w:t xml:space="preserve">Совместное регулирование </w:t>
      </w:r>
      <w:r w:rsidR="00A93CE6" w:rsidRPr="00A93CE6">
        <w:rPr>
          <w:lang w:val="ru-RU"/>
        </w:rPr>
        <w:t>пято</w:t>
      </w:r>
      <w:r w:rsidRPr="00A93CE6">
        <w:rPr>
          <w:lang w:val="ru-RU"/>
        </w:rPr>
        <w:t>го поколения на основании прочных принципов регулирования обеспечит определенность, которая должна играть ключевую роль, чтобы регулирование продолжало</w:t>
      </w:r>
      <w:r w:rsidR="008672C1" w:rsidRPr="00A93CE6">
        <w:rPr>
          <w:lang w:val="ru-RU"/>
        </w:rPr>
        <w:t xml:space="preserve"> привлекать инвестиции и содействовать инновациям, которые до сих пор определяли цифровую экономику</w:t>
      </w:r>
      <w:r w:rsidR="00930B17" w:rsidRPr="00A93CE6">
        <w:rPr>
          <w:lang w:val="ru-RU"/>
        </w:rPr>
        <w:t>.</w:t>
      </w:r>
      <w:bookmarkEnd w:id="80"/>
    </w:p>
    <w:p w14:paraId="4FC0DB47" w14:textId="032DF078" w:rsidR="00930B17" w:rsidRPr="00A93CE6" w:rsidRDefault="00890F97" w:rsidP="00930B17">
      <w:pPr>
        <w:rPr>
          <w:lang w:val="ru-RU"/>
        </w:rPr>
      </w:pPr>
      <w:bookmarkStart w:id="81" w:name="lt_pId091"/>
      <w:r w:rsidRPr="00A93CE6">
        <w:rPr>
          <w:lang w:val="ru-RU"/>
        </w:rPr>
        <w:t xml:space="preserve">Ввиду этого мы считаем следующие области необходимыми для успеха сотрудничества в </w:t>
      </w:r>
      <w:r w:rsidR="001442F4" w:rsidRPr="00A93CE6">
        <w:rPr>
          <w:lang w:val="ru-RU"/>
        </w:rPr>
        <w:t>сфере</w:t>
      </w:r>
      <w:r w:rsidRPr="00A93CE6">
        <w:rPr>
          <w:lang w:val="ru-RU"/>
        </w:rPr>
        <w:t xml:space="preserve"> регулирования и принятия соответствующих мер</w:t>
      </w:r>
      <w:r w:rsidR="00930B17" w:rsidRPr="00A93CE6">
        <w:rPr>
          <w:lang w:val="ru-RU"/>
        </w:rPr>
        <w:t>.</w:t>
      </w:r>
      <w:bookmarkEnd w:id="81"/>
    </w:p>
    <w:p w14:paraId="34A903A4" w14:textId="03886178" w:rsidR="00930B17" w:rsidRPr="00A93CE6" w:rsidRDefault="00930B17" w:rsidP="00930B17">
      <w:pPr>
        <w:pStyle w:val="enumlev1"/>
        <w:rPr>
          <w:lang w:val="ru-RU"/>
        </w:rPr>
      </w:pPr>
      <w:bookmarkStart w:id="82" w:name="lt_pId092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4F4012" w:rsidRPr="00A93CE6">
        <w:rPr>
          <w:b/>
          <w:bCs/>
          <w:lang w:val="ru-RU"/>
        </w:rPr>
        <w:t>Правоспособность для совместных действий</w:t>
      </w:r>
      <w:r w:rsidR="00673332" w:rsidRPr="00A93CE6">
        <w:rPr>
          <w:lang w:val="ru-RU"/>
        </w:rPr>
        <w:t>.</w:t>
      </w:r>
      <w:r w:rsidRPr="00A93CE6">
        <w:rPr>
          <w:lang w:val="ru-RU"/>
        </w:rPr>
        <w:t xml:space="preserve"> </w:t>
      </w:r>
      <w:r w:rsidR="004F4012" w:rsidRPr="00A93CE6">
        <w:rPr>
          <w:lang w:val="ru-RU"/>
        </w:rPr>
        <w:t>Вероятно, результаты совместного регулирования будут значимыми, эффективными</w:t>
      </w:r>
      <w:r w:rsidR="00484865" w:rsidRPr="00A93CE6">
        <w:rPr>
          <w:lang w:val="ru-RU"/>
        </w:rPr>
        <w:t xml:space="preserve"> и хорошо продуманными</w:t>
      </w:r>
      <w:r w:rsidR="00F05379" w:rsidRPr="00A93CE6">
        <w:rPr>
          <w:lang w:val="ru-RU"/>
        </w:rPr>
        <w:t>, с меньшим числом ненамеренных отрицательных последствий, если они будут базироваться на прочных правовых процессах, институциональных системах и мандатах</w:t>
      </w:r>
      <w:r w:rsidRPr="00A93CE6">
        <w:rPr>
          <w:lang w:val="ru-RU"/>
        </w:rPr>
        <w:t>.</w:t>
      </w:r>
      <w:bookmarkEnd w:id="82"/>
      <w:r w:rsidRPr="00A93CE6">
        <w:rPr>
          <w:lang w:val="ru-RU"/>
        </w:rPr>
        <w:t xml:space="preserve"> </w:t>
      </w:r>
      <w:bookmarkStart w:id="83" w:name="lt_pId093"/>
      <w:r w:rsidR="00F05379" w:rsidRPr="00A93CE6">
        <w:rPr>
          <w:lang w:val="ru-RU"/>
        </w:rPr>
        <w:t>Особенно полезны меморандумы о взаимопонимании и аналогичные акты, имеющие обязательную силу</w:t>
      </w:r>
      <w:r w:rsidR="00B06CEA" w:rsidRPr="00A93CE6">
        <w:rPr>
          <w:lang w:val="ru-RU"/>
        </w:rPr>
        <w:t>, для придания официальной силы основаниям для сотрудничества, определяющим ролям, механизмам и результатам сотрудничества</w:t>
      </w:r>
      <w:r w:rsidRPr="00A93CE6">
        <w:rPr>
          <w:lang w:val="ru-RU"/>
        </w:rPr>
        <w:t>.</w:t>
      </w:r>
      <w:bookmarkEnd w:id="83"/>
    </w:p>
    <w:p w14:paraId="52FD840B" w14:textId="6D7C45F4" w:rsidR="00930B17" w:rsidRPr="00A93CE6" w:rsidRDefault="00930B17" w:rsidP="00930B17">
      <w:pPr>
        <w:pStyle w:val="enumlev1"/>
        <w:rPr>
          <w:lang w:val="ru-RU"/>
        </w:rPr>
      </w:pPr>
      <w:bookmarkStart w:id="84" w:name="lt_pId094"/>
      <w:r w:rsidRPr="00A93CE6">
        <w:rPr>
          <w:lang w:val="ru-RU"/>
        </w:rPr>
        <w:lastRenderedPageBreak/>
        <w:t>•</w:t>
      </w:r>
      <w:r w:rsidRPr="00A93CE6">
        <w:rPr>
          <w:lang w:val="ru-RU"/>
        </w:rPr>
        <w:tab/>
      </w:r>
      <w:r w:rsidR="00B06CEA" w:rsidRPr="00A93CE6">
        <w:rPr>
          <w:b/>
          <w:bCs/>
          <w:lang w:val="ru-RU"/>
        </w:rPr>
        <w:t>Объединение разрозненных усилий вокруг общего дела, согласование действий и увеличение числа</w:t>
      </w:r>
      <w:r w:rsidR="005047E1" w:rsidRPr="00A93CE6">
        <w:rPr>
          <w:b/>
          <w:bCs/>
          <w:lang w:val="ru-RU"/>
        </w:rPr>
        <w:t xml:space="preserve"> результатов для потребителей и предприятий</w:t>
      </w:r>
      <w:bookmarkEnd w:id="84"/>
      <w:r w:rsidR="00673332" w:rsidRPr="00A93CE6">
        <w:rPr>
          <w:lang w:val="ru-RU"/>
        </w:rPr>
        <w:t>.</w:t>
      </w:r>
      <w:r w:rsidRPr="00A93CE6">
        <w:rPr>
          <w:lang w:val="ru-RU"/>
        </w:rPr>
        <w:t xml:space="preserve"> </w:t>
      </w:r>
      <w:bookmarkStart w:id="85" w:name="lt_pId095"/>
      <w:r w:rsidR="005047E1" w:rsidRPr="00A93CE6">
        <w:rPr>
          <w:lang w:val="ru-RU"/>
        </w:rPr>
        <w:t>Регуляторный орган ИКТ играет ведущую роль в упрощении доступа к ресурсам для чрезвычайных ситуаций (таких как частотный спектр, полоса пропускания интернета, развертывание оборудования и совместное использование инфраструктуры</w:t>
      </w:r>
      <w:r w:rsidRPr="00A93CE6">
        <w:rPr>
          <w:lang w:val="ru-RU"/>
        </w:rPr>
        <w:t>)</w:t>
      </w:r>
      <w:r w:rsidR="005047E1" w:rsidRPr="00A93CE6">
        <w:rPr>
          <w:lang w:val="ru-RU"/>
        </w:rPr>
        <w:t xml:space="preserve">, как и </w:t>
      </w:r>
      <w:r w:rsidR="001442F4" w:rsidRPr="00A93CE6">
        <w:rPr>
          <w:lang w:val="ru-RU"/>
        </w:rPr>
        <w:t xml:space="preserve">в </w:t>
      </w:r>
      <w:r w:rsidR="005047E1" w:rsidRPr="00A93CE6">
        <w:rPr>
          <w:lang w:val="ru-RU"/>
        </w:rPr>
        <w:t xml:space="preserve">продолжающейся координации с </w:t>
      </w:r>
      <w:r w:rsidR="00AB2B7C" w:rsidRPr="00A93CE6">
        <w:rPr>
          <w:lang w:val="ru-RU"/>
        </w:rPr>
        <w:t>такими секторами, как здравоохранение, государственное управление и финансы, чтобы учитывать потребности граждан и поддерживать в целом государственные подходы к цифровой трансформации</w:t>
      </w:r>
      <w:r w:rsidRPr="00A93CE6">
        <w:rPr>
          <w:lang w:val="ru-RU"/>
        </w:rPr>
        <w:t>.</w:t>
      </w:r>
      <w:bookmarkEnd w:id="85"/>
      <w:r w:rsidRPr="00A93CE6">
        <w:rPr>
          <w:lang w:val="ru-RU"/>
        </w:rPr>
        <w:t xml:space="preserve"> </w:t>
      </w:r>
    </w:p>
    <w:p w14:paraId="62BF6F30" w14:textId="5D724691" w:rsidR="00930B17" w:rsidRPr="00A93CE6" w:rsidRDefault="00930B17" w:rsidP="00930B17">
      <w:pPr>
        <w:pStyle w:val="enumlev1"/>
        <w:rPr>
          <w:lang w:val="ru-RU"/>
        </w:rPr>
      </w:pPr>
      <w:bookmarkStart w:id="86" w:name="lt_pId096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9F406B" w:rsidRPr="00A93CE6">
        <w:rPr>
          <w:b/>
          <w:bCs/>
          <w:lang w:val="ru-RU"/>
        </w:rPr>
        <w:t>Включение современных методов диагностики регуляторного и институционального потенциала учреждений</w:t>
      </w:r>
      <w:r w:rsidRPr="00A93CE6">
        <w:rPr>
          <w:lang w:val="ru-RU"/>
        </w:rPr>
        <w:t xml:space="preserve"> </w:t>
      </w:r>
      <w:r w:rsidR="009F406B" w:rsidRPr="00A93CE6">
        <w:rPr>
          <w:lang w:val="ru-RU"/>
        </w:rPr>
        <w:t>даст им возможность гибко уточнять свои задачи, чтобы реагировать как на предсказуемые варианты технологических изменений и новые услуги, так и на такие чрезвычайные ситуации, как пандемии</w:t>
      </w:r>
      <w:r w:rsidRPr="00A93CE6">
        <w:rPr>
          <w:lang w:val="ru-RU"/>
        </w:rPr>
        <w:t>.</w:t>
      </w:r>
      <w:bookmarkEnd w:id="86"/>
      <w:r w:rsidRPr="00A93CE6">
        <w:rPr>
          <w:lang w:val="ru-RU"/>
        </w:rPr>
        <w:t xml:space="preserve"> </w:t>
      </w:r>
      <w:bookmarkStart w:id="87" w:name="lt_pId097"/>
      <w:r w:rsidR="007F14FF" w:rsidRPr="00A93CE6">
        <w:rPr>
          <w:lang w:val="ru-RU"/>
        </w:rPr>
        <w:t xml:space="preserve">Управление рисками, планирование, мониторинг </w:t>
      </w:r>
      <w:r w:rsidR="00580FBB" w:rsidRPr="00A93CE6">
        <w:rPr>
          <w:lang w:val="ru-RU"/>
        </w:rPr>
        <w:t>реализации регулирования, а также анализ и оценка воздействия этих мер регулирования на рынки и на проведение государственной политики должны служить формированию институционального механизма, который бы не ограничивался краткосрочными аспектами политики, чтобы системы регулирования характеризовались предсказуемостью</w:t>
      </w:r>
      <w:r w:rsidR="00144071" w:rsidRPr="00A93CE6">
        <w:rPr>
          <w:lang w:val="ru-RU"/>
        </w:rPr>
        <w:t xml:space="preserve"> и устойчивостью на протяжении времени, а также прочной основой, на которой можно было бы объединять и лучше использовать государственные ресурсы</w:t>
      </w:r>
      <w:r w:rsidRPr="00A93CE6">
        <w:rPr>
          <w:lang w:val="ru-RU"/>
        </w:rPr>
        <w:t>.</w:t>
      </w:r>
      <w:bookmarkEnd w:id="87"/>
    </w:p>
    <w:p w14:paraId="6519726E" w14:textId="5564FCCA" w:rsidR="00930B17" w:rsidRPr="00A93CE6" w:rsidRDefault="00930B17" w:rsidP="00930B17">
      <w:pPr>
        <w:pStyle w:val="enumlev1"/>
        <w:rPr>
          <w:lang w:val="ru-RU"/>
        </w:rPr>
      </w:pPr>
      <w:bookmarkStart w:id="88" w:name="lt_pId098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144071" w:rsidRPr="00A93CE6">
        <w:rPr>
          <w:b/>
          <w:bCs/>
          <w:lang w:val="ru-RU"/>
        </w:rPr>
        <w:t>Создание платформ для диалога по важнейшим вопросам</w:t>
      </w:r>
      <w:bookmarkEnd w:id="88"/>
      <w:r w:rsidR="00673332" w:rsidRPr="00A93CE6">
        <w:rPr>
          <w:lang w:val="ru-RU"/>
        </w:rPr>
        <w:t>.</w:t>
      </w:r>
      <w:r w:rsidRPr="00A93CE6">
        <w:rPr>
          <w:lang w:val="ru-RU"/>
        </w:rPr>
        <w:t xml:space="preserve"> </w:t>
      </w:r>
      <w:bookmarkStart w:id="89" w:name="lt_pId099"/>
      <w:r w:rsidR="004C4762" w:rsidRPr="00A93CE6">
        <w:rPr>
          <w:lang w:val="ru-RU"/>
        </w:rPr>
        <w:t>При проектировании жизнеспособных вспомогательных систем регулирования для осуществляемых отраслью технологических решений</w:t>
      </w:r>
      <w:r w:rsidR="003E6DAE" w:rsidRPr="00A93CE6">
        <w:rPr>
          <w:lang w:val="ru-RU"/>
        </w:rPr>
        <w:t xml:space="preserve"> регуляторным органам необходимо осуществлять обмен информацией в отрасли и между отраслью и государственными учреждениями, а также другими структурами, такими как учреждения по защите данных и защите потребителей</w:t>
      </w:r>
      <w:r w:rsidRPr="00A93CE6">
        <w:rPr>
          <w:lang w:val="ru-RU"/>
        </w:rPr>
        <w:t>.</w:t>
      </w:r>
      <w:bookmarkEnd w:id="89"/>
      <w:r w:rsidRPr="00A93CE6">
        <w:rPr>
          <w:lang w:val="ru-RU"/>
        </w:rPr>
        <w:t xml:space="preserve"> </w:t>
      </w:r>
      <w:bookmarkStart w:id="90" w:name="lt_pId100"/>
      <w:r w:rsidR="003E6DAE" w:rsidRPr="00A93CE6">
        <w:rPr>
          <w:lang w:val="ru-RU"/>
        </w:rPr>
        <w:t>Стратегическая координация, а также взаимодействие на внутреннем и международном уровнях</w:t>
      </w:r>
      <w:r w:rsidR="002752F3" w:rsidRPr="00A93CE6">
        <w:rPr>
          <w:lang w:val="ru-RU"/>
        </w:rPr>
        <w:t xml:space="preserve"> между регуляторными и правоохранительными органами привед</w:t>
      </w:r>
      <w:r w:rsidR="001442F4" w:rsidRPr="00A93CE6">
        <w:rPr>
          <w:lang w:val="ru-RU"/>
        </w:rPr>
        <w:t>у</w:t>
      </w:r>
      <w:r w:rsidR="002752F3" w:rsidRPr="00A93CE6">
        <w:rPr>
          <w:lang w:val="ru-RU"/>
        </w:rPr>
        <w:t>т к улучшению реализации мер регулирования и увелич</w:t>
      </w:r>
      <w:r w:rsidR="001442F4" w:rsidRPr="00A93CE6">
        <w:rPr>
          <w:lang w:val="ru-RU"/>
        </w:rPr>
        <w:t>а</w:t>
      </w:r>
      <w:r w:rsidR="002752F3" w:rsidRPr="00A93CE6">
        <w:rPr>
          <w:lang w:val="ru-RU"/>
        </w:rPr>
        <w:t>т пользу, получаемую потребителями</w:t>
      </w:r>
      <w:r w:rsidRPr="00A93CE6">
        <w:rPr>
          <w:lang w:val="ru-RU"/>
        </w:rPr>
        <w:t>.</w:t>
      </w:r>
      <w:bookmarkEnd w:id="90"/>
      <w:r w:rsidRPr="00A93CE6">
        <w:rPr>
          <w:lang w:val="ru-RU"/>
        </w:rPr>
        <w:t xml:space="preserve"> </w:t>
      </w:r>
    </w:p>
    <w:p w14:paraId="1C47D8AE" w14:textId="207FE0FA" w:rsidR="00930B17" w:rsidRPr="00A93CE6" w:rsidRDefault="00930B17" w:rsidP="00930B17">
      <w:pPr>
        <w:pStyle w:val="enumlev1"/>
        <w:rPr>
          <w:lang w:val="ru-RU"/>
        </w:rPr>
      </w:pPr>
      <w:bookmarkStart w:id="91" w:name="lt_pId101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2752F3" w:rsidRPr="00A93CE6">
        <w:rPr>
          <w:b/>
          <w:bCs/>
          <w:lang w:val="ru-RU"/>
        </w:rPr>
        <w:t xml:space="preserve">Новые функции ассоциаций регуляторных органов (АР) </w:t>
      </w:r>
      <w:r w:rsidR="002752F3" w:rsidRPr="00A93CE6">
        <w:rPr>
          <w:lang w:val="ru-RU"/>
        </w:rPr>
        <w:t xml:space="preserve">должны ориентировать их потенциал на содействие развитию цифровых рынков на национальном и региональном уровнях при разработке </w:t>
      </w:r>
      <w:r w:rsidR="00581595" w:rsidRPr="00A93CE6">
        <w:rPr>
          <w:lang w:val="ru-RU"/>
        </w:rPr>
        <w:t>сценариев принятия мер при чрезвычайных ситуациях в будущем</w:t>
      </w:r>
      <w:r w:rsidRPr="00A93CE6">
        <w:rPr>
          <w:lang w:val="ru-RU"/>
        </w:rPr>
        <w:t>.</w:t>
      </w:r>
      <w:bookmarkEnd w:id="91"/>
      <w:r w:rsidRPr="00A93CE6">
        <w:rPr>
          <w:lang w:val="ru-RU"/>
        </w:rPr>
        <w:t xml:space="preserve"> </w:t>
      </w:r>
      <w:bookmarkStart w:id="92" w:name="lt_pId102"/>
      <w:r w:rsidR="00581595" w:rsidRPr="00A93CE6">
        <w:rPr>
          <w:lang w:val="ru-RU"/>
        </w:rPr>
        <w:t xml:space="preserve">Следует далее укреплять сотрудничество, обмен информацией и взаимное </w:t>
      </w:r>
      <w:r w:rsidR="001442F4" w:rsidRPr="00A93CE6">
        <w:rPr>
          <w:lang w:val="ru-RU"/>
        </w:rPr>
        <w:t xml:space="preserve">плодотворное общение </w:t>
      </w:r>
      <w:r w:rsidR="00581595" w:rsidRPr="00A93CE6">
        <w:rPr>
          <w:lang w:val="ru-RU"/>
        </w:rPr>
        <w:t>регуляторных органов, а также АР, ориентируя эти процессы на региональное согласование</w:t>
      </w:r>
      <w:r w:rsidR="004F6A9E">
        <w:rPr>
          <w:lang w:val="ru-RU"/>
        </w:rPr>
        <w:t xml:space="preserve"> и региональную координацию</w:t>
      </w:r>
      <w:r w:rsidR="00581595" w:rsidRPr="00A93CE6">
        <w:rPr>
          <w:lang w:val="ru-RU"/>
        </w:rPr>
        <w:t>, в том числе в области управления использованием спектра, международного мобильного роуминга и регулирования цифровых платформ</w:t>
      </w:r>
      <w:r w:rsidRPr="00A93CE6">
        <w:rPr>
          <w:lang w:val="ru-RU"/>
        </w:rPr>
        <w:t>.</w:t>
      </w:r>
      <w:bookmarkEnd w:id="92"/>
    </w:p>
    <w:p w14:paraId="0B504236" w14:textId="02DFAB25" w:rsidR="0063424B" w:rsidRPr="00A93CE6" w:rsidRDefault="00930B17" w:rsidP="00930B17">
      <w:pPr>
        <w:pStyle w:val="enumlev1"/>
        <w:rPr>
          <w:lang w:val="ru-RU"/>
        </w:rPr>
      </w:pPr>
      <w:bookmarkStart w:id="93" w:name="lt_pId103"/>
      <w:r w:rsidRPr="00A93CE6">
        <w:rPr>
          <w:lang w:val="ru-RU"/>
        </w:rPr>
        <w:t>•</w:t>
      </w:r>
      <w:r w:rsidRPr="00A93CE6">
        <w:rPr>
          <w:lang w:val="ru-RU"/>
        </w:rPr>
        <w:tab/>
      </w:r>
      <w:r w:rsidR="00581595" w:rsidRPr="00A93CE6">
        <w:rPr>
          <w:b/>
          <w:bCs/>
          <w:lang w:val="ru-RU"/>
        </w:rPr>
        <w:t>Международное сотрудничество</w:t>
      </w:r>
      <w:bookmarkEnd w:id="93"/>
      <w:r w:rsidR="00673332" w:rsidRPr="00A93CE6">
        <w:rPr>
          <w:lang w:val="ru-RU"/>
        </w:rPr>
        <w:t>.</w:t>
      </w:r>
      <w:r w:rsidRPr="00A93CE6">
        <w:rPr>
          <w:lang w:val="ru-RU"/>
        </w:rPr>
        <w:t xml:space="preserve"> </w:t>
      </w:r>
      <w:bookmarkStart w:id="94" w:name="lt_pId104"/>
      <w:r w:rsidR="00581595" w:rsidRPr="00A93CE6">
        <w:rPr>
          <w:lang w:val="ru-RU"/>
        </w:rPr>
        <w:t>Эффективный международный диалог</w:t>
      </w:r>
      <w:r w:rsidR="001215D7" w:rsidRPr="00A93CE6">
        <w:rPr>
          <w:lang w:val="ru-RU"/>
        </w:rPr>
        <w:t xml:space="preserve"> необходим для обмена знаниями между странами, а также для изучения общих политических решений как на региональном, так и на глобальном уровне</w:t>
      </w:r>
      <w:r w:rsidRPr="00A93CE6">
        <w:rPr>
          <w:lang w:val="ru-RU"/>
        </w:rPr>
        <w:t>.</w:t>
      </w:r>
      <w:bookmarkEnd w:id="94"/>
      <w:r w:rsidRPr="00A93CE6">
        <w:rPr>
          <w:lang w:val="ru-RU"/>
        </w:rPr>
        <w:t xml:space="preserve"> </w:t>
      </w:r>
      <w:bookmarkStart w:id="95" w:name="lt_pId105"/>
      <w:r w:rsidR="008721C3" w:rsidRPr="00A93CE6">
        <w:rPr>
          <w:lang w:val="ru-RU"/>
        </w:rPr>
        <w:t>Международные организации должны удвоить усилия по выполнению своих обязательств перед международным сообществом с различными, но взаимозависимыми интересами и ситуациями</w:t>
      </w:r>
      <w:r w:rsidRPr="00A93CE6">
        <w:rPr>
          <w:lang w:val="ru-RU"/>
        </w:rPr>
        <w:t>.</w:t>
      </w:r>
      <w:bookmarkEnd w:id="95"/>
      <w:r w:rsidRPr="00A93CE6">
        <w:rPr>
          <w:lang w:val="ru-RU"/>
        </w:rPr>
        <w:t xml:space="preserve"> </w:t>
      </w:r>
      <w:bookmarkStart w:id="96" w:name="lt_pId106"/>
      <w:r w:rsidR="008721C3" w:rsidRPr="00A93CE6">
        <w:rPr>
          <w:lang w:val="ru-RU"/>
        </w:rPr>
        <w:t>Инструменты международного сотрудничества следует применять прозрачным и эффективным образом и превращать и</w:t>
      </w:r>
      <w:r w:rsidR="001442F4" w:rsidRPr="00A93CE6">
        <w:rPr>
          <w:lang w:val="ru-RU"/>
        </w:rPr>
        <w:t>х</w:t>
      </w:r>
      <w:r w:rsidR="008721C3" w:rsidRPr="00A93CE6">
        <w:rPr>
          <w:lang w:val="ru-RU"/>
        </w:rPr>
        <w:t xml:space="preserve"> в движущие силы, дающие международным рынкам возможность процветать</w:t>
      </w:r>
      <w:r w:rsidRPr="00A93CE6">
        <w:rPr>
          <w:lang w:val="ru-RU"/>
        </w:rPr>
        <w:t>.</w:t>
      </w:r>
      <w:bookmarkEnd w:id="96"/>
    </w:p>
    <w:p w14:paraId="2108D189" w14:textId="77777777" w:rsidR="00873FF8" w:rsidRPr="00A93CE6" w:rsidRDefault="00873FF8" w:rsidP="00014312">
      <w:pPr>
        <w:spacing w:before="720"/>
        <w:jc w:val="center"/>
        <w:rPr>
          <w:lang w:val="ru-RU"/>
        </w:rPr>
      </w:pPr>
      <w:r w:rsidRPr="00A93CE6">
        <w:rPr>
          <w:lang w:val="ru-RU"/>
        </w:rPr>
        <w:t>______________</w:t>
      </w:r>
    </w:p>
    <w:sectPr w:rsidR="00873FF8" w:rsidRPr="00A93CE6" w:rsidSect="00122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76EB1" w14:textId="77777777" w:rsidR="000A1E83" w:rsidRDefault="000A1E83">
      <w:r>
        <w:separator/>
      </w:r>
    </w:p>
  </w:endnote>
  <w:endnote w:type="continuationSeparator" w:id="0">
    <w:p w14:paraId="54A4E19C" w14:textId="77777777" w:rsidR="000A1E83" w:rsidRDefault="000A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3EB83" w14:textId="77777777" w:rsidR="00E67C7B" w:rsidRDefault="00E67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AD27D" w14:textId="239C3BA7" w:rsidR="000A1E83" w:rsidRPr="00E67C7B" w:rsidRDefault="000A1E83" w:rsidP="00E67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52FA" w14:textId="1A2B7519" w:rsidR="000A1E83" w:rsidRPr="00E67C7B" w:rsidRDefault="000A1E83" w:rsidP="00E67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B25EC" w14:textId="77777777" w:rsidR="000A1E83" w:rsidRDefault="000A1E83">
      <w:r>
        <w:t>____________________</w:t>
      </w:r>
    </w:p>
  </w:footnote>
  <w:footnote w:type="continuationSeparator" w:id="0">
    <w:p w14:paraId="0B97D6BB" w14:textId="77777777" w:rsidR="000A1E83" w:rsidRDefault="000A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460A6" w14:textId="77777777" w:rsidR="00E67C7B" w:rsidRDefault="00E67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B6850" w14:textId="77777777" w:rsidR="000A1E83" w:rsidRDefault="000A1E83" w:rsidP="00BD57B7">
    <w:pPr>
      <w:pStyle w:val="Head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4B781" w14:textId="77777777" w:rsidR="00E67C7B" w:rsidRDefault="00E67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02CF6"/>
    <w:multiLevelType w:val="hybridMultilevel"/>
    <w:tmpl w:val="7D42B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D1FAA"/>
    <w:multiLevelType w:val="hybridMultilevel"/>
    <w:tmpl w:val="3F68F170"/>
    <w:lvl w:ilvl="0" w:tplc="D52C7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CF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5A6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07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C4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43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E4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A2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A4B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B727E"/>
    <w:multiLevelType w:val="hybridMultilevel"/>
    <w:tmpl w:val="707845B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97FFD"/>
    <w:multiLevelType w:val="hybridMultilevel"/>
    <w:tmpl w:val="A7947CDA"/>
    <w:lvl w:ilvl="0" w:tplc="4DCA9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6B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09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83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01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401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AE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00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E3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E636E"/>
    <w:multiLevelType w:val="hybridMultilevel"/>
    <w:tmpl w:val="844CC9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75083"/>
    <w:multiLevelType w:val="hybridMultilevel"/>
    <w:tmpl w:val="CBAACB9E"/>
    <w:lvl w:ilvl="0" w:tplc="3FF4B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2D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E8E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8E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60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A6F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E9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A3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083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61027"/>
    <w:multiLevelType w:val="hybridMultilevel"/>
    <w:tmpl w:val="AB86BF14"/>
    <w:lvl w:ilvl="0" w:tplc="95EE7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46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B6E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61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E0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A64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C9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45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804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05"/>
    <w:rsid w:val="00014312"/>
    <w:rsid w:val="00014E26"/>
    <w:rsid w:val="000200D3"/>
    <w:rsid w:val="0002183E"/>
    <w:rsid w:val="00034249"/>
    <w:rsid w:val="000569B4"/>
    <w:rsid w:val="00072340"/>
    <w:rsid w:val="00080E82"/>
    <w:rsid w:val="000A1E83"/>
    <w:rsid w:val="000C27FE"/>
    <w:rsid w:val="000C6F68"/>
    <w:rsid w:val="000E568E"/>
    <w:rsid w:val="000F58F5"/>
    <w:rsid w:val="000F7147"/>
    <w:rsid w:val="001006F7"/>
    <w:rsid w:val="00107A04"/>
    <w:rsid w:val="00112018"/>
    <w:rsid w:val="001215D7"/>
    <w:rsid w:val="00122092"/>
    <w:rsid w:val="00122C92"/>
    <w:rsid w:val="00144071"/>
    <w:rsid w:val="001442F4"/>
    <w:rsid w:val="0014734F"/>
    <w:rsid w:val="0015710D"/>
    <w:rsid w:val="00163A32"/>
    <w:rsid w:val="00175B13"/>
    <w:rsid w:val="00192B41"/>
    <w:rsid w:val="00192CF4"/>
    <w:rsid w:val="001B3AE5"/>
    <w:rsid w:val="001B7592"/>
    <w:rsid w:val="001B7B09"/>
    <w:rsid w:val="001C75C3"/>
    <w:rsid w:val="001D10DC"/>
    <w:rsid w:val="001E22DD"/>
    <w:rsid w:val="001E6719"/>
    <w:rsid w:val="001F50E1"/>
    <w:rsid w:val="00200261"/>
    <w:rsid w:val="0021287A"/>
    <w:rsid w:val="002209E4"/>
    <w:rsid w:val="00225368"/>
    <w:rsid w:val="00227FF0"/>
    <w:rsid w:val="0023110B"/>
    <w:rsid w:val="00237EA5"/>
    <w:rsid w:val="0024405D"/>
    <w:rsid w:val="00270080"/>
    <w:rsid w:val="002752F3"/>
    <w:rsid w:val="00291EB6"/>
    <w:rsid w:val="002D184A"/>
    <w:rsid w:val="002D2F57"/>
    <w:rsid w:val="002D48C5"/>
    <w:rsid w:val="002F7A87"/>
    <w:rsid w:val="003155FD"/>
    <w:rsid w:val="0033468A"/>
    <w:rsid w:val="003458B6"/>
    <w:rsid w:val="003512D1"/>
    <w:rsid w:val="0035787B"/>
    <w:rsid w:val="00360440"/>
    <w:rsid w:val="00383985"/>
    <w:rsid w:val="003A1A39"/>
    <w:rsid w:val="003A1C23"/>
    <w:rsid w:val="003C7BDE"/>
    <w:rsid w:val="003E6DAE"/>
    <w:rsid w:val="003F099E"/>
    <w:rsid w:val="003F1C83"/>
    <w:rsid w:val="003F235E"/>
    <w:rsid w:val="004023E0"/>
    <w:rsid w:val="00402805"/>
    <w:rsid w:val="00403DD8"/>
    <w:rsid w:val="00451F5A"/>
    <w:rsid w:val="004540D6"/>
    <w:rsid w:val="0045686C"/>
    <w:rsid w:val="00484865"/>
    <w:rsid w:val="004918C4"/>
    <w:rsid w:val="00497703"/>
    <w:rsid w:val="004A0374"/>
    <w:rsid w:val="004A45B5"/>
    <w:rsid w:val="004B1B9F"/>
    <w:rsid w:val="004B3338"/>
    <w:rsid w:val="004C4762"/>
    <w:rsid w:val="004D0129"/>
    <w:rsid w:val="004D6AEF"/>
    <w:rsid w:val="004D7293"/>
    <w:rsid w:val="004E04B2"/>
    <w:rsid w:val="004F4012"/>
    <w:rsid w:val="004F6A9E"/>
    <w:rsid w:val="005047E1"/>
    <w:rsid w:val="0050657B"/>
    <w:rsid w:val="005172FC"/>
    <w:rsid w:val="00517442"/>
    <w:rsid w:val="00527AAE"/>
    <w:rsid w:val="00533559"/>
    <w:rsid w:val="0054431F"/>
    <w:rsid w:val="00545027"/>
    <w:rsid w:val="00577C0D"/>
    <w:rsid w:val="00580FBB"/>
    <w:rsid w:val="00581595"/>
    <w:rsid w:val="005A64D5"/>
    <w:rsid w:val="005B3DEC"/>
    <w:rsid w:val="005B6E0B"/>
    <w:rsid w:val="005D6284"/>
    <w:rsid w:val="005D7080"/>
    <w:rsid w:val="005D7983"/>
    <w:rsid w:val="005F54D9"/>
    <w:rsid w:val="00601994"/>
    <w:rsid w:val="0063424B"/>
    <w:rsid w:val="00646211"/>
    <w:rsid w:val="00665016"/>
    <w:rsid w:val="00671493"/>
    <w:rsid w:val="00672337"/>
    <w:rsid w:val="00673332"/>
    <w:rsid w:val="00675E24"/>
    <w:rsid w:val="00676457"/>
    <w:rsid w:val="006A016E"/>
    <w:rsid w:val="006A0188"/>
    <w:rsid w:val="006A515E"/>
    <w:rsid w:val="006B13B5"/>
    <w:rsid w:val="006D4365"/>
    <w:rsid w:val="006E1148"/>
    <w:rsid w:val="006E2D42"/>
    <w:rsid w:val="00703676"/>
    <w:rsid w:val="0070522C"/>
    <w:rsid w:val="00707304"/>
    <w:rsid w:val="00724412"/>
    <w:rsid w:val="00732269"/>
    <w:rsid w:val="007354B8"/>
    <w:rsid w:val="0074011D"/>
    <w:rsid w:val="00743DEC"/>
    <w:rsid w:val="007565CF"/>
    <w:rsid w:val="00785ABD"/>
    <w:rsid w:val="007A2DD4"/>
    <w:rsid w:val="007A2F6B"/>
    <w:rsid w:val="007D19E7"/>
    <w:rsid w:val="007D38B5"/>
    <w:rsid w:val="007E72CE"/>
    <w:rsid w:val="007E7EA0"/>
    <w:rsid w:val="007F14B9"/>
    <w:rsid w:val="007F14FF"/>
    <w:rsid w:val="00807255"/>
    <w:rsid w:val="0081023E"/>
    <w:rsid w:val="0081221F"/>
    <w:rsid w:val="00814EB5"/>
    <w:rsid w:val="008173AA"/>
    <w:rsid w:val="00823580"/>
    <w:rsid w:val="00840A14"/>
    <w:rsid w:val="00851374"/>
    <w:rsid w:val="008672C1"/>
    <w:rsid w:val="008721C3"/>
    <w:rsid w:val="00873FF8"/>
    <w:rsid w:val="00890F97"/>
    <w:rsid w:val="008B18CD"/>
    <w:rsid w:val="008B62B4"/>
    <w:rsid w:val="008D2D7B"/>
    <w:rsid w:val="008E05D9"/>
    <w:rsid w:val="008E0737"/>
    <w:rsid w:val="008F788A"/>
    <w:rsid w:val="008F7C2C"/>
    <w:rsid w:val="00921772"/>
    <w:rsid w:val="00925E4F"/>
    <w:rsid w:val="009268AD"/>
    <w:rsid w:val="00930B17"/>
    <w:rsid w:val="00940E96"/>
    <w:rsid w:val="009452F8"/>
    <w:rsid w:val="00984D8F"/>
    <w:rsid w:val="009B0BAE"/>
    <w:rsid w:val="009C1C89"/>
    <w:rsid w:val="009C2EC4"/>
    <w:rsid w:val="009C75C1"/>
    <w:rsid w:val="009D5DCB"/>
    <w:rsid w:val="009F3448"/>
    <w:rsid w:val="009F406B"/>
    <w:rsid w:val="00A01CF9"/>
    <w:rsid w:val="00A07735"/>
    <w:rsid w:val="00A23AF6"/>
    <w:rsid w:val="00A4378B"/>
    <w:rsid w:val="00A5218B"/>
    <w:rsid w:val="00A71773"/>
    <w:rsid w:val="00A93CE6"/>
    <w:rsid w:val="00A944A5"/>
    <w:rsid w:val="00AA3949"/>
    <w:rsid w:val="00AB2B7C"/>
    <w:rsid w:val="00AC4547"/>
    <w:rsid w:val="00AE2C85"/>
    <w:rsid w:val="00B06CEA"/>
    <w:rsid w:val="00B12A37"/>
    <w:rsid w:val="00B25976"/>
    <w:rsid w:val="00B3732A"/>
    <w:rsid w:val="00B4509E"/>
    <w:rsid w:val="00B63EF2"/>
    <w:rsid w:val="00B86AC7"/>
    <w:rsid w:val="00B94BA7"/>
    <w:rsid w:val="00BA7D89"/>
    <w:rsid w:val="00BC0D39"/>
    <w:rsid w:val="00BC7BC0"/>
    <w:rsid w:val="00BD57B7"/>
    <w:rsid w:val="00BD5A0C"/>
    <w:rsid w:val="00BE63E2"/>
    <w:rsid w:val="00C00747"/>
    <w:rsid w:val="00C043DE"/>
    <w:rsid w:val="00C0679E"/>
    <w:rsid w:val="00C65264"/>
    <w:rsid w:val="00C87C15"/>
    <w:rsid w:val="00C94953"/>
    <w:rsid w:val="00CB62E1"/>
    <w:rsid w:val="00CC4308"/>
    <w:rsid w:val="00CD2009"/>
    <w:rsid w:val="00CE3271"/>
    <w:rsid w:val="00CE5259"/>
    <w:rsid w:val="00CF629C"/>
    <w:rsid w:val="00D24752"/>
    <w:rsid w:val="00D310CF"/>
    <w:rsid w:val="00D352D0"/>
    <w:rsid w:val="00D65439"/>
    <w:rsid w:val="00D80726"/>
    <w:rsid w:val="00D92EEA"/>
    <w:rsid w:val="00DA5D4E"/>
    <w:rsid w:val="00DC04D6"/>
    <w:rsid w:val="00DC5320"/>
    <w:rsid w:val="00DD0092"/>
    <w:rsid w:val="00DD57ED"/>
    <w:rsid w:val="00DE00C2"/>
    <w:rsid w:val="00DE5EB2"/>
    <w:rsid w:val="00E06B1C"/>
    <w:rsid w:val="00E1696B"/>
    <w:rsid w:val="00E176BA"/>
    <w:rsid w:val="00E23ADE"/>
    <w:rsid w:val="00E25C55"/>
    <w:rsid w:val="00E423EC"/>
    <w:rsid w:val="00E55121"/>
    <w:rsid w:val="00E55D26"/>
    <w:rsid w:val="00E67C7B"/>
    <w:rsid w:val="00EA255B"/>
    <w:rsid w:val="00EB4FCB"/>
    <w:rsid w:val="00EB73D9"/>
    <w:rsid w:val="00EC5A73"/>
    <w:rsid w:val="00EC6BC5"/>
    <w:rsid w:val="00ED612F"/>
    <w:rsid w:val="00ED7253"/>
    <w:rsid w:val="00EE641D"/>
    <w:rsid w:val="00F05379"/>
    <w:rsid w:val="00F223C8"/>
    <w:rsid w:val="00F23A4F"/>
    <w:rsid w:val="00F2714B"/>
    <w:rsid w:val="00F27CE1"/>
    <w:rsid w:val="00F35898"/>
    <w:rsid w:val="00F376A1"/>
    <w:rsid w:val="00F469C5"/>
    <w:rsid w:val="00F52038"/>
    <w:rsid w:val="00F5225B"/>
    <w:rsid w:val="00F66223"/>
    <w:rsid w:val="00F7288C"/>
    <w:rsid w:val="00F96DB1"/>
    <w:rsid w:val="00FA1FCF"/>
    <w:rsid w:val="00FB6B31"/>
    <w:rsid w:val="00FC2DFD"/>
    <w:rsid w:val="00FD77A3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5257540"/>
  <w15:docId w15:val="{C3CE1E75-70A8-47A8-B050-85DC9989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65264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styleId="UnresolvedMention">
    <w:name w:val="Unresolved Mention"/>
    <w:basedOn w:val="DefaultParagraphFont"/>
    <w:uiPriority w:val="99"/>
    <w:semiHidden/>
    <w:unhideWhenUsed/>
    <w:rsid w:val="008F7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itu.int/en/ITU-D/Conferences/GSR/2019/Documents/GSR19BestPracticeGuidelines_R.pdf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9A94D79889A4792E34D38769D7A1B" ma:contentTypeVersion="2" ma:contentTypeDescription="Create a new document." ma:contentTypeScope="" ma:versionID="7552a0c0e36c81434b59fec236ab070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d648448f94c3d58177b40b5933f2d41a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6D820D-E174-4A1E-853E-E825F49296D6}"/>
</file>

<file path=customXml/itemProps2.xml><?xml version="1.0" encoding="utf-8"?>
<ds:datastoreItem xmlns:ds="http://schemas.openxmlformats.org/officeDocument/2006/customXml" ds:itemID="{059F89F4-6926-4799-81B6-B94A236EA7AA}"/>
</file>

<file path=customXml/itemProps3.xml><?xml version="1.0" encoding="utf-8"?>
<ds:datastoreItem xmlns:ds="http://schemas.openxmlformats.org/officeDocument/2006/customXml" ds:itemID="{65649367-5A0D-4E5B-B8F4-839AB849FB43}"/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5</TotalTime>
  <Pages>6</Pages>
  <Words>2606</Words>
  <Characters>19871</Characters>
  <Application>Microsoft Office Word</Application>
  <DocSecurity>0</DocSecurity>
  <Lines>165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22433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Maloletkova, Svetlana</dc:creator>
  <cp:keywords>C2018, C18</cp:keywords>
  <dc:description/>
  <cp:lastModifiedBy>Conde, Tamaiti</cp:lastModifiedBy>
  <cp:revision>6</cp:revision>
  <cp:lastPrinted>2006-03-28T16:12:00Z</cp:lastPrinted>
  <dcterms:created xsi:type="dcterms:W3CDTF">2020-08-13T14:55:00Z</dcterms:created>
  <dcterms:modified xsi:type="dcterms:W3CDTF">2020-08-17T10:04:00Z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  <property fmtid="{D5CDD505-2E9C-101B-9397-08002B2CF9AE}" pid="8" name="ContentTypeId">
    <vt:lpwstr>0x0101009789A94D79889A4792E34D38769D7A1B</vt:lpwstr>
  </property>
</Properties>
</file>