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2" w:type="dxa"/>
        <w:tblBorders>
          <w:bottom w:val="single" w:sz="12" w:space="0" w:color="auto"/>
        </w:tblBorders>
        <w:tblLayout w:type="fixed"/>
        <w:tblLook w:val="0000" w:firstRow="0" w:lastRow="0" w:firstColumn="0" w:lastColumn="0" w:noHBand="0" w:noVBand="0"/>
      </w:tblPr>
      <w:tblGrid>
        <w:gridCol w:w="9642"/>
      </w:tblGrid>
      <w:tr w:rsidR="00C1454A" w:rsidRPr="00C1454A" w:rsidTr="00C1454A">
        <w:trPr>
          <w:cantSplit/>
          <w:trHeight w:val="310"/>
        </w:trPr>
        <w:tc>
          <w:tcPr>
            <w:tcW w:w="9642" w:type="dxa"/>
          </w:tcPr>
          <w:p w:rsidR="00C1454A" w:rsidRPr="00C1454A" w:rsidRDefault="00C1454A">
            <w:pPr>
              <w:framePr w:hSpace="181" w:wrap="around" w:vAnchor="page" w:hAnchor="margin" w:x="1" w:y="852"/>
              <w:spacing w:line="240" w:lineRule="atLeast"/>
              <w:rPr>
                <w:rFonts w:asciiTheme="minorHAnsi" w:hAnsiTheme="minorHAnsi" w:cstheme="minorHAnsi"/>
                <w:position w:val="6"/>
              </w:rPr>
            </w:pPr>
          </w:p>
        </w:tc>
      </w:tr>
      <w:tr w:rsidR="00C1454A" w:rsidRPr="00C1454A" w:rsidTr="00C1454A">
        <w:trPr>
          <w:cantSplit/>
          <w:trHeight w:val="429"/>
        </w:trPr>
        <w:tc>
          <w:tcPr>
            <w:tcW w:w="9642" w:type="dxa"/>
            <w:vMerge w:val="restart"/>
          </w:tcPr>
          <w:p w:rsidR="009D1DC7" w:rsidRDefault="009D1DC7" w:rsidP="00C1454A">
            <w:pPr>
              <w:pStyle w:val="a7"/>
              <w:framePr w:hSpace="181" w:wrap="around" w:vAnchor="page" w:hAnchor="margin" w:x="1" w:y="852"/>
              <w:spacing w:line="276" w:lineRule="auto"/>
              <w:rPr>
                <w:rFonts w:asciiTheme="minorHAnsi" w:hAnsiTheme="minorHAnsi" w:cstheme="minorHAnsi"/>
                <w:b/>
                <w:bCs/>
                <w:sz w:val="24"/>
                <w:szCs w:val="24"/>
                <w:lang w:bidi="ar-EG"/>
              </w:rPr>
            </w:pPr>
            <w:bookmarkStart w:id="0" w:name="dnum" w:colFirst="2" w:colLast="2"/>
          </w:p>
          <w:p w:rsidR="00C1454A" w:rsidRPr="00C1454A" w:rsidRDefault="00C1454A" w:rsidP="00C1454A">
            <w:pPr>
              <w:pStyle w:val="a7"/>
              <w:framePr w:hSpace="181" w:wrap="around" w:vAnchor="page" w:hAnchor="margin" w:x="1" w:y="852"/>
              <w:spacing w:line="276" w:lineRule="auto"/>
              <w:rPr>
                <w:rFonts w:asciiTheme="minorHAnsi" w:hAnsiTheme="minorHAnsi" w:cstheme="minorHAnsi"/>
                <w:b/>
                <w:bCs/>
                <w:sz w:val="24"/>
                <w:szCs w:val="24"/>
                <w:lang w:bidi="ar-EG"/>
              </w:rPr>
            </w:pPr>
            <w:r w:rsidRPr="00C1454A">
              <w:rPr>
                <w:rFonts w:asciiTheme="minorHAnsi" w:hAnsiTheme="minorHAnsi" w:cstheme="minorHAnsi"/>
                <w:b/>
                <w:bCs/>
                <w:sz w:val="24"/>
                <w:szCs w:val="24"/>
                <w:lang w:bidi="ar-EG"/>
              </w:rPr>
              <w:t>ITU Centres of Excellence Network for Asia and the Pacific</w:t>
            </w:r>
          </w:p>
          <w:p w:rsidR="00C1454A" w:rsidRPr="00C1454A" w:rsidRDefault="00C1454A" w:rsidP="00C1454A">
            <w:pPr>
              <w:pStyle w:val="a7"/>
              <w:framePr w:hSpace="181" w:wrap="around" w:vAnchor="page" w:hAnchor="margin" w:x="1" w:y="852"/>
              <w:spacing w:line="276" w:lineRule="auto"/>
              <w:rPr>
                <w:rFonts w:asciiTheme="minorHAnsi" w:hAnsiTheme="minorHAnsi" w:cstheme="minorHAnsi"/>
                <w:b/>
                <w:bCs/>
                <w:sz w:val="24"/>
                <w:szCs w:val="24"/>
                <w:lang w:bidi="ar-EG"/>
              </w:rPr>
            </w:pPr>
            <w:r w:rsidRPr="00C1454A">
              <w:rPr>
                <w:rFonts w:asciiTheme="minorHAnsi" w:hAnsiTheme="minorHAnsi" w:cstheme="minorHAnsi"/>
                <w:b/>
                <w:bCs/>
                <w:sz w:val="24"/>
                <w:szCs w:val="24"/>
                <w:lang w:bidi="ar-EG"/>
              </w:rPr>
              <w:t xml:space="preserve">State Radio Monitoring </w:t>
            </w:r>
            <w:proofErr w:type="spellStart"/>
            <w:r w:rsidRPr="00C1454A">
              <w:rPr>
                <w:rFonts w:asciiTheme="minorHAnsi" w:hAnsiTheme="minorHAnsi" w:cstheme="minorHAnsi"/>
                <w:b/>
                <w:bCs/>
                <w:sz w:val="24"/>
                <w:szCs w:val="24"/>
                <w:lang w:bidi="ar-EG"/>
              </w:rPr>
              <w:t>Center</w:t>
            </w:r>
            <w:proofErr w:type="spellEnd"/>
            <w:r w:rsidRPr="00C1454A">
              <w:rPr>
                <w:rFonts w:asciiTheme="minorHAnsi" w:hAnsiTheme="minorHAnsi" w:cstheme="minorHAnsi"/>
                <w:b/>
                <w:bCs/>
                <w:sz w:val="24"/>
                <w:szCs w:val="24"/>
                <w:lang w:bidi="ar-EG"/>
              </w:rPr>
              <w:t xml:space="preserve"> - China</w:t>
            </w:r>
          </w:p>
          <w:p w:rsidR="00C1454A" w:rsidRPr="00C1454A" w:rsidRDefault="00C1454A" w:rsidP="00C1454A">
            <w:pPr>
              <w:pStyle w:val="a7"/>
              <w:framePr w:hSpace="181" w:wrap="around" w:vAnchor="page" w:hAnchor="margin" w:x="1" w:y="852"/>
              <w:spacing w:line="276" w:lineRule="auto"/>
              <w:rPr>
                <w:rFonts w:asciiTheme="minorHAnsi" w:hAnsiTheme="minorHAnsi" w:cstheme="minorHAnsi"/>
                <w:b/>
                <w:bCs/>
                <w:sz w:val="22"/>
                <w:szCs w:val="22"/>
                <w:lang w:bidi="ar-EG"/>
              </w:rPr>
            </w:pPr>
            <w:r w:rsidRPr="00C1454A">
              <w:rPr>
                <w:rFonts w:asciiTheme="minorHAnsi" w:hAnsiTheme="minorHAnsi" w:cstheme="minorHAnsi"/>
                <w:b/>
                <w:bCs/>
                <w:sz w:val="24"/>
                <w:szCs w:val="24"/>
                <w:lang w:bidi="ar-EG"/>
              </w:rPr>
              <w:t>Training on</w:t>
            </w:r>
          </w:p>
          <w:p w:rsidR="00C1454A" w:rsidRPr="00C1454A" w:rsidRDefault="00C1454A" w:rsidP="00C1454A">
            <w:pPr>
              <w:framePr w:hSpace="181" w:wrap="around" w:vAnchor="page" w:hAnchor="margin" w:x="1" w:y="852"/>
              <w:spacing w:line="276" w:lineRule="auto"/>
              <w:jc w:val="center"/>
              <w:rPr>
                <w:rFonts w:asciiTheme="minorHAnsi" w:hAnsiTheme="minorHAnsi" w:cstheme="minorHAnsi"/>
                <w:b/>
                <w:bCs/>
                <w:color w:val="44546A" w:themeColor="text2"/>
                <w:sz w:val="32"/>
                <w:szCs w:val="32"/>
                <w:lang w:bidi="ar-EG"/>
              </w:rPr>
            </w:pPr>
            <w:r w:rsidRPr="00C1454A">
              <w:rPr>
                <w:rFonts w:asciiTheme="minorHAnsi" w:hAnsiTheme="minorHAnsi" w:cstheme="minorHAnsi"/>
                <w:b/>
                <w:bCs/>
                <w:color w:val="44546A" w:themeColor="text2"/>
                <w:sz w:val="32"/>
                <w:szCs w:val="32"/>
                <w:lang w:bidi="ar-EG"/>
              </w:rPr>
              <w:t>SPECTRUM ENGINEERING AND CROSS-BORDER RADIO FREQUENCY COORDINATION</w:t>
            </w:r>
          </w:p>
          <w:p w:rsidR="00C1454A" w:rsidRPr="00C1454A" w:rsidRDefault="00C1454A" w:rsidP="00C1454A">
            <w:pPr>
              <w:pStyle w:val="a7"/>
              <w:framePr w:hSpace="181" w:wrap="around" w:vAnchor="page" w:hAnchor="margin" w:x="1" w:y="852"/>
              <w:spacing w:line="276" w:lineRule="auto"/>
              <w:rPr>
                <w:rFonts w:asciiTheme="minorHAnsi" w:hAnsiTheme="minorHAnsi" w:cstheme="minorHAnsi"/>
                <w:b/>
                <w:bCs/>
                <w:sz w:val="22"/>
                <w:szCs w:val="22"/>
                <w:lang w:bidi="ar-EG"/>
              </w:rPr>
            </w:pPr>
            <w:r w:rsidRPr="00C1454A">
              <w:rPr>
                <w:rFonts w:asciiTheme="minorHAnsi" w:hAnsiTheme="minorHAnsi" w:cstheme="minorHAnsi"/>
                <w:b/>
                <w:bCs/>
                <w:sz w:val="22"/>
                <w:szCs w:val="22"/>
                <w:lang w:bidi="ar-EG"/>
              </w:rPr>
              <w:t>Xi’an, Shanxi Province, China (Peoples Republic of)</w:t>
            </w:r>
          </w:p>
          <w:p w:rsidR="00C1454A" w:rsidRPr="00C1454A" w:rsidRDefault="00C1454A" w:rsidP="00C1454A">
            <w:pPr>
              <w:pStyle w:val="a7"/>
              <w:framePr w:hSpace="181" w:wrap="around" w:vAnchor="page" w:hAnchor="margin" w:x="1" w:y="852"/>
              <w:spacing w:after="120" w:line="276" w:lineRule="auto"/>
              <w:rPr>
                <w:rFonts w:asciiTheme="minorHAnsi" w:hAnsiTheme="minorHAnsi" w:cstheme="minorHAnsi"/>
                <w:b/>
                <w:bCs/>
                <w:sz w:val="22"/>
                <w:szCs w:val="22"/>
                <w:lang w:bidi="ar-EG"/>
              </w:rPr>
            </w:pPr>
            <w:r w:rsidRPr="00C1454A">
              <w:rPr>
                <w:rFonts w:asciiTheme="minorHAnsi" w:hAnsiTheme="minorHAnsi" w:cstheme="minorHAnsi"/>
                <w:b/>
                <w:bCs/>
                <w:sz w:val="22"/>
                <w:szCs w:val="22"/>
                <w:lang w:bidi="ar-EG"/>
              </w:rPr>
              <w:t>11 – 15 September 2017</w:t>
            </w:r>
          </w:p>
        </w:tc>
      </w:tr>
      <w:tr w:rsidR="00C1454A" w:rsidRPr="00C1454A" w:rsidTr="00C1454A">
        <w:trPr>
          <w:cantSplit/>
          <w:trHeight w:val="413"/>
        </w:trPr>
        <w:tc>
          <w:tcPr>
            <w:tcW w:w="9642" w:type="dxa"/>
            <w:vMerge/>
          </w:tcPr>
          <w:p w:rsidR="00C1454A" w:rsidRPr="00C1454A" w:rsidRDefault="00C1454A">
            <w:pPr>
              <w:framePr w:hSpace="181" w:wrap="around" w:vAnchor="page" w:hAnchor="margin" w:x="1" w:y="852"/>
              <w:rPr>
                <w:rFonts w:asciiTheme="minorHAnsi" w:hAnsiTheme="minorHAnsi" w:cstheme="minorHAnsi"/>
                <w:b/>
                <w:smallCaps/>
              </w:rPr>
            </w:pPr>
            <w:bookmarkStart w:id="1" w:name="ddate" w:colFirst="2" w:colLast="2"/>
            <w:bookmarkEnd w:id="0"/>
          </w:p>
        </w:tc>
      </w:tr>
      <w:tr w:rsidR="00C1454A" w:rsidRPr="00C1454A" w:rsidTr="00C1454A">
        <w:trPr>
          <w:cantSplit/>
          <w:trHeight w:val="2454"/>
        </w:trPr>
        <w:tc>
          <w:tcPr>
            <w:tcW w:w="9642" w:type="dxa"/>
            <w:vMerge/>
          </w:tcPr>
          <w:p w:rsidR="00C1454A" w:rsidRPr="00C1454A" w:rsidRDefault="00C1454A">
            <w:pPr>
              <w:framePr w:hSpace="181" w:wrap="around" w:vAnchor="page" w:hAnchor="margin" w:x="1" w:y="852"/>
              <w:rPr>
                <w:rFonts w:asciiTheme="minorHAnsi" w:hAnsiTheme="minorHAnsi" w:cstheme="minorHAnsi"/>
                <w:b/>
                <w:smallCaps/>
              </w:rPr>
            </w:pPr>
            <w:bookmarkStart w:id="2" w:name="dorlang" w:colFirst="2" w:colLast="2"/>
            <w:bookmarkEnd w:id="1"/>
          </w:p>
        </w:tc>
      </w:tr>
      <w:bookmarkEnd w:id="2"/>
    </w:tbl>
    <w:p w:rsidR="00B9474B" w:rsidRPr="00C1454A" w:rsidRDefault="00B9474B">
      <w:pPr>
        <w:tabs>
          <w:tab w:val="clear" w:pos="794"/>
          <w:tab w:val="clear" w:pos="1191"/>
          <w:tab w:val="clear" w:pos="1588"/>
          <w:tab w:val="clear" w:pos="1985"/>
        </w:tabs>
        <w:spacing w:before="0"/>
        <w:rPr>
          <w:rFonts w:asciiTheme="minorHAnsi" w:hAnsiTheme="minorHAnsi" w:cstheme="minorHAnsi"/>
        </w:rPr>
      </w:pPr>
    </w:p>
    <w:p w:rsidR="00B9474B" w:rsidRPr="00C1454A" w:rsidRDefault="00C1454A" w:rsidP="001C0ED6">
      <w:pPr>
        <w:tabs>
          <w:tab w:val="clear" w:pos="794"/>
          <w:tab w:val="clear" w:pos="1191"/>
          <w:tab w:val="clear" w:pos="1588"/>
          <w:tab w:val="clear" w:pos="1985"/>
        </w:tabs>
        <w:spacing w:before="0"/>
        <w:rPr>
          <w:rStyle w:val="ab"/>
          <w:rFonts w:ascii="Segoe UI" w:hAnsi="Segoe UI" w:cs="Segoe UI"/>
          <w:sz w:val="32"/>
          <w:szCs w:val="24"/>
        </w:rPr>
      </w:pPr>
      <w:bookmarkStart w:id="3" w:name="dnoted"/>
      <w:bookmarkStart w:id="4" w:name="dquestions"/>
      <w:bookmarkStart w:id="5" w:name="dsgno"/>
      <w:bookmarkEnd w:id="3"/>
      <w:bookmarkEnd w:id="4"/>
      <w:bookmarkEnd w:id="5"/>
      <w:r w:rsidRPr="00C1454A">
        <w:rPr>
          <w:rStyle w:val="ab"/>
          <w:rFonts w:ascii="Segoe UI" w:hAnsi="Segoe UI" w:cs="Segoe UI"/>
          <w:color w:val="FF0000"/>
          <w:sz w:val="32"/>
          <w:szCs w:val="24"/>
        </w:rPr>
        <w:t xml:space="preserve">Group </w:t>
      </w:r>
      <w:r w:rsidR="00BE095B">
        <w:rPr>
          <w:rStyle w:val="ab"/>
          <w:rFonts w:ascii="Segoe UI" w:hAnsi="Segoe UI" w:cs="Segoe UI"/>
          <w:color w:val="FF0000"/>
          <w:sz w:val="32"/>
          <w:szCs w:val="24"/>
        </w:rPr>
        <w:t>2</w:t>
      </w:r>
      <w:r w:rsidR="001C0ED6">
        <w:rPr>
          <w:rStyle w:val="ab"/>
          <w:rFonts w:ascii="Segoe UI" w:hAnsi="Segoe UI" w:cs="Segoe UI"/>
          <w:color w:val="FF0000"/>
          <w:sz w:val="32"/>
          <w:szCs w:val="24"/>
        </w:rPr>
        <w:t xml:space="preserve"> </w:t>
      </w:r>
      <w:r w:rsidRPr="00C1454A">
        <w:rPr>
          <w:rStyle w:val="ab"/>
          <w:rFonts w:ascii="Segoe UI" w:hAnsi="Segoe UI" w:cs="Segoe UI"/>
          <w:color w:val="FF0000"/>
          <w:sz w:val="32"/>
          <w:szCs w:val="24"/>
        </w:rPr>
        <w:t xml:space="preserve">Exercise: </w:t>
      </w:r>
      <w:r w:rsidR="00BE095B" w:rsidRPr="00BE095B">
        <w:rPr>
          <w:rStyle w:val="ab"/>
          <w:rFonts w:ascii="Segoe UI" w:hAnsi="Segoe UI" w:cs="Segoe UI"/>
          <w:sz w:val="32"/>
          <w:szCs w:val="24"/>
        </w:rPr>
        <w:t>Spectrum Pricing</w:t>
      </w:r>
    </w:p>
    <w:p w:rsidR="00B9474B" w:rsidRPr="00C1454A" w:rsidRDefault="00C1454A" w:rsidP="00C1454A">
      <w:pPr>
        <w:jc w:val="both"/>
        <w:rPr>
          <w:rFonts w:asciiTheme="minorHAnsi" w:hAnsiTheme="minorHAnsi" w:cstheme="minorHAnsi"/>
          <w:b/>
          <w:szCs w:val="24"/>
        </w:rPr>
      </w:pPr>
      <w:bookmarkStart w:id="6" w:name="dsource"/>
      <w:bookmarkEnd w:id="6"/>
      <w:r w:rsidRPr="00C1454A">
        <w:rPr>
          <w:rFonts w:asciiTheme="minorHAnsi" w:hAnsiTheme="minorHAnsi" w:cstheme="minorHAnsi"/>
          <w:b/>
          <w:szCs w:val="24"/>
        </w:rPr>
        <w:t>Background</w:t>
      </w:r>
    </w:p>
    <w:p w:rsidR="00BE095B" w:rsidRPr="00BE095B" w:rsidRDefault="00BE095B" w:rsidP="00BE095B">
      <w:pPr>
        <w:pStyle w:val="af"/>
        <w:jc w:val="both"/>
        <w:rPr>
          <w:rFonts w:asciiTheme="minorHAnsi" w:hAnsiTheme="minorHAnsi" w:cs="Arial"/>
          <w:sz w:val="22"/>
          <w:szCs w:val="20"/>
          <w:lang w:eastAsia="zh-CN"/>
        </w:rPr>
      </w:pPr>
      <w:r w:rsidRPr="00BE095B">
        <w:rPr>
          <w:rFonts w:asciiTheme="minorHAnsi" w:hAnsiTheme="minorHAnsi" w:cs="Arial"/>
          <w:sz w:val="22"/>
          <w:szCs w:val="20"/>
          <w:lang w:eastAsia="zh-CN"/>
        </w:rPr>
        <w:t>To deliver affordable, high quality mobile broadband services, operators require fair access to sufficient radio spectrum. As a result, governments and regulators carefully manage mobile spectrum, which in turn supports a vibrant digital economy. Sometimes this includes charging a price for access to spectrum to encourage efficient use. However, evidence shows that when prices are too high, consumers can suffer from more expensive, lower quality mobile services.</w:t>
      </w:r>
    </w:p>
    <w:p w:rsidR="00BE095B" w:rsidRPr="00BE095B" w:rsidRDefault="00BE095B" w:rsidP="00BE095B">
      <w:pPr>
        <w:pStyle w:val="af"/>
        <w:jc w:val="both"/>
        <w:rPr>
          <w:rFonts w:asciiTheme="minorHAnsi" w:hAnsiTheme="minorHAnsi"/>
          <w:sz w:val="22"/>
        </w:rPr>
      </w:pPr>
    </w:p>
    <w:p w:rsidR="00BE095B" w:rsidRPr="00BE095B" w:rsidRDefault="00BE095B" w:rsidP="00BE095B">
      <w:pPr>
        <w:pStyle w:val="af"/>
        <w:jc w:val="both"/>
        <w:rPr>
          <w:rFonts w:asciiTheme="minorHAnsi" w:hAnsiTheme="minorHAnsi" w:cs="Arial"/>
          <w:sz w:val="22"/>
          <w:szCs w:val="20"/>
          <w:lang w:eastAsia="zh-CN"/>
        </w:rPr>
      </w:pPr>
      <w:r w:rsidRPr="00BE095B">
        <w:rPr>
          <w:rFonts w:asciiTheme="minorHAnsi" w:hAnsiTheme="minorHAnsi" w:cs="Arial"/>
          <w:sz w:val="22"/>
          <w:szCs w:val="20"/>
          <w:lang w:eastAsia="zh-CN"/>
        </w:rPr>
        <w:t>Globally, spectrum prices reached all-time highs with the 3G auctions at the start of the millennium, before falling gradually until 2007. From 2008-2016, when 4G auctions became common, the average final price paid for spectrum sold at auction increased significantly – by 3.5 fold.</w:t>
      </w:r>
      <w:r w:rsidRPr="00BE095B">
        <w:rPr>
          <w:rStyle w:val="a3"/>
          <w:rFonts w:asciiTheme="minorHAnsi" w:hAnsiTheme="minorHAnsi" w:cs="Arial"/>
          <w:sz w:val="22"/>
          <w:szCs w:val="20"/>
          <w:lang w:eastAsia="zh-CN"/>
        </w:rPr>
        <w:endnoteReference w:id="1"/>
      </w:r>
      <w:r w:rsidRPr="00BE095B">
        <w:rPr>
          <w:rFonts w:asciiTheme="minorHAnsi" w:hAnsiTheme="minorHAnsi" w:cs="Arial"/>
          <w:sz w:val="22"/>
          <w:szCs w:val="20"/>
          <w:lang w:eastAsia="zh-CN"/>
        </w:rPr>
        <w:t xml:space="preserve"> This average rise was largely due to the increase in awards of sub-1GHz bands, which tend to attract more value, higher reserve prices</w:t>
      </w:r>
      <w:r w:rsidRPr="00BE095B">
        <w:rPr>
          <w:rStyle w:val="a3"/>
          <w:rFonts w:asciiTheme="minorHAnsi" w:hAnsiTheme="minorHAnsi" w:cs="Arial"/>
          <w:sz w:val="22"/>
          <w:szCs w:val="20"/>
          <w:lang w:eastAsia="zh-CN"/>
        </w:rPr>
        <w:endnoteReference w:id="2"/>
      </w:r>
      <w:r w:rsidRPr="00BE095B">
        <w:rPr>
          <w:rFonts w:asciiTheme="minorHAnsi" w:hAnsiTheme="minorHAnsi" w:cs="Arial"/>
          <w:sz w:val="22"/>
          <w:szCs w:val="20"/>
          <w:lang w:eastAsia="zh-CN"/>
        </w:rPr>
        <w:t>, as well as a number of outlier auctions where final prices were extremely high.</w:t>
      </w:r>
    </w:p>
    <w:p w:rsidR="00BE095B" w:rsidRPr="00BE095B" w:rsidRDefault="00BE095B" w:rsidP="00BE095B">
      <w:pPr>
        <w:pStyle w:val="af"/>
        <w:jc w:val="both"/>
        <w:rPr>
          <w:rFonts w:asciiTheme="minorHAnsi" w:hAnsiTheme="minorHAnsi"/>
          <w:sz w:val="22"/>
        </w:rPr>
      </w:pPr>
    </w:p>
    <w:p w:rsidR="00BE095B" w:rsidRPr="00BE095B" w:rsidRDefault="00BE095B" w:rsidP="00BE095B">
      <w:pPr>
        <w:pStyle w:val="af"/>
        <w:jc w:val="both"/>
        <w:rPr>
          <w:rFonts w:asciiTheme="minorHAnsi" w:hAnsiTheme="minorHAnsi"/>
          <w:sz w:val="22"/>
        </w:rPr>
      </w:pPr>
      <w:r w:rsidRPr="00BE095B">
        <w:rPr>
          <w:rFonts w:asciiTheme="minorHAnsi" w:hAnsiTheme="minorHAnsi"/>
          <w:sz w:val="22"/>
        </w:rPr>
        <w:t>The issue of spectrum pricing has never been more vital. Additional spectrum is central to expanding and upgrading mobile broadband services – and will be core to the success of 5G. However, instances of spectrum licences being sold for extremely high prices, or going unsold due to the cost, are becoming more common. These outcomes can undermine consumer mobile services and the wider digital economy. The cause of these extremely high prices are often policy factors that appear to prioritise maximising short-term state revenues above long-term support for the digital economy through improved mobile services.</w:t>
      </w:r>
    </w:p>
    <w:p w:rsidR="00BE095B" w:rsidRPr="00BE095B" w:rsidRDefault="00BE095B" w:rsidP="00BE095B">
      <w:pPr>
        <w:pStyle w:val="af"/>
        <w:jc w:val="both"/>
        <w:rPr>
          <w:rFonts w:asciiTheme="minorHAnsi" w:hAnsiTheme="minorHAnsi"/>
          <w:sz w:val="22"/>
        </w:rPr>
      </w:pPr>
    </w:p>
    <w:p w:rsidR="00BE095B" w:rsidRPr="00BE095B" w:rsidRDefault="00BE095B" w:rsidP="00BE095B">
      <w:pPr>
        <w:pStyle w:val="af"/>
        <w:jc w:val="both"/>
        <w:rPr>
          <w:rFonts w:asciiTheme="minorHAnsi" w:hAnsiTheme="minorHAnsi" w:cs="Arial"/>
          <w:sz w:val="22"/>
          <w:szCs w:val="20"/>
          <w:lang w:eastAsia="zh-CN"/>
        </w:rPr>
      </w:pPr>
      <w:r w:rsidRPr="00BE095B">
        <w:rPr>
          <w:rFonts w:asciiTheme="minorHAnsi" w:hAnsiTheme="minorHAnsi"/>
          <w:sz w:val="22"/>
        </w:rPr>
        <w:t>Spectrum is a valuable state asset and governments have the option to use it to raise revenues to fund vital state activities. However, the primary goal in all awards should be to encourage the most efficient use of spectrum th</w:t>
      </w:r>
      <w:r w:rsidRPr="00BE095B">
        <w:rPr>
          <w:rFonts w:asciiTheme="minorHAnsi" w:hAnsiTheme="minorHAnsi" w:cs="Arial"/>
          <w:sz w:val="22"/>
          <w:szCs w:val="20"/>
          <w:lang w:eastAsia="zh-CN"/>
        </w:rPr>
        <w:t xml:space="preserve">rough investment in widespread, high quality networks. Efficient spectrum awards maximise access to affordable mobile broadband services, which in turn have a major impact on the digital economy. </w:t>
      </w:r>
    </w:p>
    <w:p w:rsidR="00931236" w:rsidRPr="00931236" w:rsidRDefault="00931236" w:rsidP="00931236">
      <w:pPr>
        <w:tabs>
          <w:tab w:val="clear" w:pos="794"/>
        </w:tabs>
        <w:jc w:val="both"/>
        <w:rPr>
          <w:rFonts w:asciiTheme="minorHAnsi" w:hAnsiTheme="minorHAnsi" w:cstheme="minorHAnsi"/>
          <w:b/>
          <w:bCs/>
          <w:color w:val="C00000"/>
        </w:rPr>
      </w:pPr>
      <w:r w:rsidRPr="00931236">
        <w:rPr>
          <w:rFonts w:asciiTheme="minorHAnsi" w:hAnsiTheme="minorHAnsi" w:cstheme="minorHAnsi"/>
          <w:b/>
          <w:bCs/>
          <w:color w:val="C00000"/>
        </w:rPr>
        <w:t>ASSIGNMENT</w:t>
      </w:r>
    </w:p>
    <w:p w:rsidR="00BE095B" w:rsidRPr="00BE095B" w:rsidRDefault="00BE095B" w:rsidP="00BE095B">
      <w:pPr>
        <w:pStyle w:val="aa"/>
        <w:spacing w:line="276" w:lineRule="auto"/>
        <w:ind w:left="0" w:firstLine="0"/>
        <w:jc w:val="both"/>
        <w:rPr>
          <w:rFonts w:asciiTheme="minorHAnsi" w:hAnsiTheme="minorHAnsi" w:cstheme="minorHAnsi"/>
          <w:sz w:val="22"/>
          <w:szCs w:val="18"/>
        </w:rPr>
      </w:pPr>
      <w:r w:rsidRPr="00BE095B">
        <w:rPr>
          <w:rFonts w:asciiTheme="minorHAnsi" w:hAnsiTheme="minorHAnsi" w:cstheme="minorHAnsi"/>
          <w:sz w:val="22"/>
          <w:szCs w:val="18"/>
        </w:rPr>
        <w:t>Please give your views on how governments and regulators should approach the issue of spectrum pricing. This should include explaining:</w:t>
      </w:r>
    </w:p>
    <w:p w:rsidR="00BE095B" w:rsidRPr="00BE095B" w:rsidRDefault="00BE095B" w:rsidP="00435187">
      <w:pPr>
        <w:pStyle w:val="aa"/>
        <w:numPr>
          <w:ilvl w:val="0"/>
          <w:numId w:val="17"/>
        </w:numPr>
        <w:spacing w:line="276" w:lineRule="auto"/>
        <w:jc w:val="both"/>
        <w:rPr>
          <w:rFonts w:asciiTheme="minorHAnsi" w:hAnsiTheme="minorHAnsi" w:cstheme="minorHAnsi"/>
          <w:sz w:val="22"/>
          <w:szCs w:val="18"/>
        </w:rPr>
      </w:pPr>
      <w:r w:rsidRPr="00BE095B">
        <w:rPr>
          <w:rFonts w:asciiTheme="minorHAnsi" w:hAnsiTheme="minorHAnsi" w:cstheme="minorHAnsi"/>
          <w:sz w:val="22"/>
          <w:szCs w:val="18"/>
        </w:rPr>
        <w:t xml:space="preserve">What goals do regulators and governments need to balance when setting policies and rules which impact spectrum prices? What is your assessment of the challenges? </w:t>
      </w:r>
    </w:p>
    <w:p w:rsidR="00BE095B" w:rsidRPr="00BE095B" w:rsidRDefault="00BE095B" w:rsidP="00435187">
      <w:pPr>
        <w:pStyle w:val="aa"/>
        <w:numPr>
          <w:ilvl w:val="0"/>
          <w:numId w:val="17"/>
        </w:numPr>
        <w:spacing w:line="276" w:lineRule="auto"/>
        <w:jc w:val="both"/>
        <w:rPr>
          <w:rFonts w:asciiTheme="minorHAnsi" w:hAnsiTheme="minorHAnsi" w:cstheme="minorHAnsi"/>
          <w:sz w:val="22"/>
          <w:szCs w:val="18"/>
        </w:rPr>
      </w:pPr>
      <w:r w:rsidRPr="00BE095B">
        <w:rPr>
          <w:rFonts w:asciiTheme="minorHAnsi" w:hAnsiTheme="minorHAnsi" w:cstheme="minorHAnsi"/>
          <w:sz w:val="22"/>
          <w:szCs w:val="18"/>
        </w:rPr>
        <w:t>In what ways can governments and regulators impact spectrum prices?</w:t>
      </w:r>
      <w:bookmarkStart w:id="7" w:name="_GoBack"/>
      <w:bookmarkEnd w:id="7"/>
    </w:p>
    <w:p w:rsidR="00BE095B" w:rsidRPr="00BE095B" w:rsidRDefault="00BE095B" w:rsidP="00435187">
      <w:pPr>
        <w:pStyle w:val="aa"/>
        <w:numPr>
          <w:ilvl w:val="0"/>
          <w:numId w:val="17"/>
        </w:numPr>
        <w:spacing w:line="276" w:lineRule="auto"/>
        <w:jc w:val="both"/>
        <w:rPr>
          <w:rFonts w:asciiTheme="minorHAnsi" w:hAnsiTheme="minorHAnsi" w:cstheme="minorHAnsi"/>
          <w:sz w:val="22"/>
          <w:szCs w:val="18"/>
        </w:rPr>
      </w:pPr>
      <w:r w:rsidRPr="00BE095B">
        <w:rPr>
          <w:rFonts w:asciiTheme="minorHAnsi" w:hAnsiTheme="minorHAnsi" w:cstheme="minorHAnsi"/>
          <w:sz w:val="22"/>
          <w:szCs w:val="18"/>
        </w:rPr>
        <w:t xml:space="preserve">What is the impact of the available mobile spectrum and spectrum roadmap on this issue? </w:t>
      </w:r>
    </w:p>
    <w:p w:rsidR="00931236" w:rsidRPr="004B30CE" w:rsidRDefault="00931236" w:rsidP="00BE095B">
      <w:pPr>
        <w:tabs>
          <w:tab w:val="clear" w:pos="794"/>
        </w:tabs>
        <w:rPr>
          <w:rFonts w:asciiTheme="minorHAnsi" w:hAnsiTheme="minorHAnsi" w:cstheme="minorHAnsi"/>
          <w:b/>
          <w:bCs/>
          <w:color w:val="C00000"/>
        </w:rPr>
      </w:pPr>
      <w:r w:rsidRPr="004B30CE">
        <w:rPr>
          <w:rFonts w:asciiTheme="minorHAnsi" w:hAnsiTheme="minorHAnsi" w:cstheme="minorHAnsi"/>
          <w:b/>
          <w:bCs/>
          <w:color w:val="C00000"/>
        </w:rPr>
        <w:lastRenderedPageBreak/>
        <w:t xml:space="preserve">Your response should be in the form of presentation delivered by </w:t>
      </w:r>
      <w:r w:rsidR="006C6B67" w:rsidRPr="004B30CE">
        <w:rPr>
          <w:rFonts w:asciiTheme="minorHAnsi" w:hAnsiTheme="minorHAnsi" w:cstheme="minorHAnsi"/>
          <w:b/>
          <w:bCs/>
          <w:color w:val="C00000"/>
        </w:rPr>
        <w:t xml:space="preserve">maximum </w:t>
      </w:r>
      <w:r w:rsidRPr="004B30CE">
        <w:rPr>
          <w:rFonts w:asciiTheme="minorHAnsi" w:hAnsiTheme="minorHAnsi" w:cstheme="minorHAnsi"/>
          <w:b/>
          <w:bCs/>
          <w:color w:val="C00000"/>
        </w:rPr>
        <w:t>3 persons nominated by the group. The maximum time is 15 minutes.</w:t>
      </w:r>
      <w:r w:rsidR="004B30CE" w:rsidRPr="004B30CE">
        <w:rPr>
          <w:rFonts w:asciiTheme="minorHAnsi" w:hAnsiTheme="minorHAnsi" w:cstheme="minorHAnsi"/>
          <w:b/>
          <w:bCs/>
          <w:color w:val="C00000"/>
        </w:rPr>
        <w:t xml:space="preserve"> Views within group can be divergent and all views should be presented.</w:t>
      </w:r>
    </w:p>
    <w:p w:rsidR="00C1454A" w:rsidRPr="00C53228" w:rsidRDefault="00C1454A" w:rsidP="00C1454A">
      <w:pPr>
        <w:tabs>
          <w:tab w:val="clear" w:pos="794"/>
          <w:tab w:val="clear" w:pos="1191"/>
          <w:tab w:val="clear" w:pos="1588"/>
          <w:tab w:val="clear" w:pos="1985"/>
        </w:tabs>
        <w:spacing w:before="0"/>
        <w:rPr>
          <w:rFonts w:asciiTheme="minorHAnsi" w:hAnsiTheme="minorHAnsi" w:cstheme="minorHAnsi"/>
        </w:rPr>
      </w:pPr>
    </w:p>
    <w:p w:rsidR="00C1454A" w:rsidRPr="00C1454A" w:rsidRDefault="00C1454A" w:rsidP="00C1454A">
      <w:pPr>
        <w:tabs>
          <w:tab w:val="clear" w:pos="794"/>
        </w:tabs>
        <w:jc w:val="both"/>
        <w:rPr>
          <w:rFonts w:asciiTheme="minorHAnsi" w:hAnsiTheme="minorHAnsi" w:cstheme="minorHAnsi"/>
        </w:rPr>
      </w:pPr>
    </w:p>
    <w:sectPr w:rsidR="00C1454A" w:rsidRPr="00C1454A">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61E" w:rsidRDefault="0055461E">
      <w:pPr>
        <w:spacing w:before="0"/>
      </w:pPr>
      <w:r>
        <w:separator/>
      </w:r>
    </w:p>
  </w:endnote>
  <w:endnote w:type="continuationSeparator" w:id="0">
    <w:p w:rsidR="0055461E" w:rsidRDefault="0055461E">
      <w:pPr>
        <w:spacing w:before="0"/>
      </w:pPr>
      <w:r>
        <w:continuationSeparator/>
      </w:r>
    </w:p>
  </w:endnote>
  <w:endnote w:id="1">
    <w:p w:rsidR="00BE095B" w:rsidRPr="00497FDB" w:rsidRDefault="00BE095B" w:rsidP="00BE095B">
      <w:pPr>
        <w:pStyle w:val="ae"/>
        <w:rPr>
          <w:rFonts w:ascii="Arial" w:hAnsi="Arial" w:cs="Arial"/>
          <w:sz w:val="16"/>
          <w:szCs w:val="16"/>
          <w:lang w:val="en-GB"/>
        </w:rPr>
      </w:pPr>
      <w:r w:rsidRPr="00497FDB">
        <w:rPr>
          <w:rStyle w:val="a3"/>
          <w:rFonts w:ascii="Arial" w:hAnsi="Arial" w:cs="Arial"/>
          <w:sz w:val="16"/>
          <w:szCs w:val="16"/>
        </w:rPr>
        <w:endnoteRef/>
      </w:r>
      <w:r w:rsidRPr="00497FDB">
        <w:rPr>
          <w:rFonts w:ascii="Arial" w:hAnsi="Arial" w:cs="Arial"/>
          <w:sz w:val="16"/>
          <w:szCs w:val="16"/>
        </w:rPr>
        <w:t xml:space="preserve"> </w:t>
      </w:r>
      <w:r w:rsidRPr="00497FDB">
        <w:rPr>
          <w:rFonts w:ascii="Arial" w:hAnsi="Arial" w:cs="Arial"/>
          <w:sz w:val="16"/>
          <w:szCs w:val="16"/>
          <w:lang w:val="en-GB"/>
        </w:rPr>
        <w:t>‘</w:t>
      </w:r>
      <w:hyperlink r:id="rId1" w:history="1">
        <w:r w:rsidRPr="00497FDB">
          <w:rPr>
            <w:rStyle w:val="ad"/>
            <w:rFonts w:ascii="Arial" w:hAnsi="Arial" w:cs="Arial"/>
            <w:i/>
            <w:sz w:val="16"/>
            <w:szCs w:val="16"/>
          </w:rPr>
          <w:t>Effective Spectrum Pricing: Supporting better quality and more affordable mobile services</w:t>
        </w:r>
        <w:r w:rsidRPr="00497FDB">
          <w:rPr>
            <w:rStyle w:val="ad"/>
            <w:rFonts w:ascii="Arial" w:hAnsi="Arial" w:cs="Arial"/>
            <w:sz w:val="16"/>
            <w:szCs w:val="16"/>
          </w:rPr>
          <w:t>’ by NERA Economic Consulting (2017)</w:t>
        </w:r>
      </w:hyperlink>
    </w:p>
  </w:endnote>
  <w:endnote w:id="2">
    <w:p w:rsidR="00BE095B" w:rsidRPr="00DA05F5" w:rsidRDefault="00BE095B" w:rsidP="00BE095B">
      <w:pPr>
        <w:pStyle w:val="ae"/>
        <w:rPr>
          <w:rFonts w:ascii="Arial" w:hAnsi="Arial" w:cs="Arial"/>
          <w:lang w:val="en-GB"/>
        </w:rPr>
      </w:pPr>
      <w:r w:rsidRPr="00497FDB">
        <w:rPr>
          <w:rStyle w:val="a3"/>
          <w:rFonts w:ascii="Arial" w:hAnsi="Arial" w:cs="Arial"/>
          <w:sz w:val="16"/>
          <w:szCs w:val="16"/>
        </w:rPr>
        <w:endnoteRef/>
      </w:r>
      <w:r w:rsidRPr="00497FDB">
        <w:rPr>
          <w:rFonts w:ascii="Arial" w:hAnsi="Arial" w:cs="Arial"/>
          <w:sz w:val="16"/>
          <w:szCs w:val="16"/>
        </w:rPr>
        <w:t xml:space="preserve"> </w:t>
      </w:r>
      <w:r w:rsidRPr="00497FDB">
        <w:rPr>
          <w:rFonts w:ascii="Arial" w:hAnsi="Arial" w:cs="Arial"/>
          <w:sz w:val="16"/>
          <w:szCs w:val="16"/>
          <w:lang w:val="en-GB"/>
        </w:rPr>
        <w:t>Reserve prices increased over five-fold in this period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61E" w:rsidRDefault="0055461E">
      <w:r>
        <w:t>____________________</w:t>
      </w:r>
    </w:p>
  </w:footnote>
  <w:footnote w:type="continuationSeparator" w:id="0">
    <w:p w:rsidR="0055461E" w:rsidRDefault="0055461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1ED2"/>
    <w:multiLevelType w:val="hybridMultilevel"/>
    <w:tmpl w:val="3F96CDE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91474B4"/>
    <w:multiLevelType w:val="hybridMultilevel"/>
    <w:tmpl w:val="EBACA740"/>
    <w:lvl w:ilvl="0" w:tplc="0356497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DC0A92"/>
    <w:multiLevelType w:val="hybridMultilevel"/>
    <w:tmpl w:val="85E87EF2"/>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A84962"/>
    <w:multiLevelType w:val="hybridMultilevel"/>
    <w:tmpl w:val="2716CA4E"/>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D425A84">
      <w:start w:val="6"/>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EE2804"/>
    <w:multiLevelType w:val="hybridMultilevel"/>
    <w:tmpl w:val="951E4800"/>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D1F1908"/>
    <w:multiLevelType w:val="hybridMultilevel"/>
    <w:tmpl w:val="F9E09706"/>
    <w:lvl w:ilvl="0" w:tplc="FFFFFFFF">
      <w:start w:val="1"/>
      <w:numFmt w:val="bullet"/>
      <w:lvlText w:val="o"/>
      <w:lvlJc w:val="left"/>
      <w:pPr>
        <w:tabs>
          <w:tab w:val="num" w:pos="360"/>
        </w:tabs>
        <w:ind w:left="360" w:hanging="360"/>
      </w:pPr>
      <w:rPr>
        <w:rFonts w:ascii="Courier New" w:hAnsi="Courier New"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76D43"/>
    <w:multiLevelType w:val="hybridMultilevel"/>
    <w:tmpl w:val="27C28912"/>
    <w:lvl w:ilvl="0" w:tplc="E2AEEF4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D39A3"/>
    <w:multiLevelType w:val="hybridMultilevel"/>
    <w:tmpl w:val="7CD09D8A"/>
    <w:lvl w:ilvl="0" w:tplc="04090009">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3F43881"/>
    <w:multiLevelType w:val="hybridMultilevel"/>
    <w:tmpl w:val="1B9A3FBE"/>
    <w:lvl w:ilvl="0" w:tplc="A984BFE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651951"/>
    <w:multiLevelType w:val="hybridMultilevel"/>
    <w:tmpl w:val="316A34C8"/>
    <w:lvl w:ilvl="0" w:tplc="2DFA479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A240B95"/>
    <w:multiLevelType w:val="hybridMultilevel"/>
    <w:tmpl w:val="D06661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D90647"/>
    <w:multiLevelType w:val="hybridMultilevel"/>
    <w:tmpl w:val="17E861AC"/>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5D3B6FB3"/>
    <w:multiLevelType w:val="hybridMultilevel"/>
    <w:tmpl w:val="D20A558A"/>
    <w:lvl w:ilvl="0" w:tplc="04090015">
      <w:start w:val="3"/>
      <w:numFmt w:val="upperLetter"/>
      <w:lvlText w:val="%1."/>
      <w:lvlJc w:val="left"/>
      <w:pPr>
        <w:tabs>
          <w:tab w:val="num" w:pos="720"/>
        </w:tabs>
        <w:ind w:left="720" w:hanging="360"/>
      </w:pPr>
      <w:rPr>
        <w:rFonts w:hint="default"/>
      </w:rPr>
    </w:lvl>
    <w:lvl w:ilvl="1" w:tplc="E470539E">
      <w:start w:val="7"/>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D4548C"/>
    <w:multiLevelType w:val="hybridMultilevel"/>
    <w:tmpl w:val="AD14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0313D"/>
    <w:multiLevelType w:val="hybridMultilevel"/>
    <w:tmpl w:val="CE36A9FC"/>
    <w:lvl w:ilvl="0" w:tplc="9AF2BE52">
      <w:numFmt w:val="bullet"/>
      <w:lvlText w:val="•"/>
      <w:lvlJc w:val="left"/>
      <w:pPr>
        <w:ind w:left="795" w:hanging="795"/>
      </w:pPr>
      <w:rPr>
        <w:rFonts w:ascii="Calibri" w:eastAsiaTheme="minorEastAsia" w:hAnsi="Calibri" w:cstheme="minorHAns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422140A"/>
    <w:multiLevelType w:val="hybridMultilevel"/>
    <w:tmpl w:val="14E4B98E"/>
    <w:lvl w:ilvl="0" w:tplc="E2AEEF4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2B63BA"/>
    <w:multiLevelType w:val="hybridMultilevel"/>
    <w:tmpl w:val="425E7D0E"/>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7E303FAA"/>
    <w:multiLevelType w:val="hybridMultilevel"/>
    <w:tmpl w:val="290C2F3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3"/>
  </w:num>
  <w:num w:numId="3">
    <w:abstractNumId w:val="1"/>
  </w:num>
  <w:num w:numId="4">
    <w:abstractNumId w:val="12"/>
  </w:num>
  <w:num w:numId="5">
    <w:abstractNumId w:val="2"/>
  </w:num>
  <w:num w:numId="6">
    <w:abstractNumId w:val="8"/>
  </w:num>
  <w:num w:numId="7">
    <w:abstractNumId w:val="6"/>
  </w:num>
  <w:num w:numId="8">
    <w:abstractNumId w:val="15"/>
  </w:num>
  <w:num w:numId="9">
    <w:abstractNumId w:val="11"/>
  </w:num>
  <w:num w:numId="10">
    <w:abstractNumId w:val="4"/>
  </w:num>
  <w:num w:numId="11">
    <w:abstractNumId w:val="5"/>
  </w:num>
  <w:num w:numId="12">
    <w:abstractNumId w:val="10"/>
  </w:num>
  <w:num w:numId="13">
    <w:abstractNumId w:val="16"/>
  </w:num>
  <w:num w:numId="14">
    <w:abstractNumId w:val="0"/>
  </w:num>
  <w:num w:numId="15">
    <w:abstractNumId w:val="13"/>
  </w:num>
  <w:num w:numId="16">
    <w:abstractNumId w:val="7"/>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0D"/>
    <w:rsid w:val="00072715"/>
    <w:rsid w:val="00120D87"/>
    <w:rsid w:val="001C0ED6"/>
    <w:rsid w:val="00435187"/>
    <w:rsid w:val="00472657"/>
    <w:rsid w:val="004B30CE"/>
    <w:rsid w:val="004C1160"/>
    <w:rsid w:val="0055461E"/>
    <w:rsid w:val="006C6B67"/>
    <w:rsid w:val="008A1435"/>
    <w:rsid w:val="00931236"/>
    <w:rsid w:val="009D1DC7"/>
    <w:rsid w:val="00A723DE"/>
    <w:rsid w:val="00B9474B"/>
    <w:rsid w:val="00BC000D"/>
    <w:rsid w:val="00BE095B"/>
    <w:rsid w:val="00C1454A"/>
    <w:rsid w:val="00C532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28ED94-3598-4AF5-8BD3-EDDF558D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1">
    <w:name w:val="heading 1"/>
    <w:basedOn w:val="a"/>
    <w:next w:val="a"/>
    <w:qFormat/>
    <w:pPr>
      <w:keepNext/>
      <w:keepLines/>
      <w:spacing w:before="360"/>
      <w:ind w:left="794" w:hanging="794"/>
      <w:outlineLvl w:val="0"/>
    </w:pPr>
    <w:rPr>
      <w:b/>
    </w:rPr>
  </w:style>
  <w:style w:type="paragraph" w:styleId="2">
    <w:name w:val="heading 2"/>
    <w:basedOn w:val="1"/>
    <w:next w:val="a"/>
    <w:qFormat/>
    <w:pPr>
      <w:spacing w:before="240"/>
      <w:outlineLvl w:val="1"/>
    </w:pPr>
  </w:style>
  <w:style w:type="paragraph" w:styleId="3">
    <w:name w:val="heading 3"/>
    <w:basedOn w:val="1"/>
    <w:next w:val="a"/>
    <w:qFormat/>
    <w:pPr>
      <w:spacing w:before="160"/>
      <w:outlineLvl w:val="2"/>
    </w:pPr>
  </w:style>
  <w:style w:type="paragraph" w:styleId="4">
    <w:name w:val="heading 4"/>
    <w:basedOn w:val="3"/>
    <w:next w:val="a"/>
    <w:qFormat/>
    <w:pPr>
      <w:tabs>
        <w:tab w:val="clear" w:pos="794"/>
        <w:tab w:val="left" w:pos="1021"/>
      </w:tabs>
      <w:ind w:left="1021" w:hanging="1021"/>
      <w:outlineLvl w:val="3"/>
    </w:pPr>
  </w:style>
  <w:style w:type="paragraph" w:styleId="5">
    <w:name w:val="heading 5"/>
    <w:basedOn w:val="4"/>
    <w:next w:val="a"/>
    <w:qFormat/>
    <w:pPr>
      <w:outlineLvl w:val="4"/>
    </w:pPr>
  </w:style>
  <w:style w:type="paragraph" w:styleId="6">
    <w:name w:val="heading 6"/>
    <w:basedOn w:val="4"/>
    <w:next w:val="a"/>
    <w:qFormat/>
    <w:pPr>
      <w:tabs>
        <w:tab w:val="clear" w:pos="1021"/>
        <w:tab w:val="clear" w:pos="1191"/>
      </w:tabs>
      <w:ind w:left="1588" w:hanging="1588"/>
      <w:outlineLvl w:val="5"/>
    </w:pPr>
  </w:style>
  <w:style w:type="paragraph" w:styleId="7">
    <w:name w:val="heading 7"/>
    <w:basedOn w:val="6"/>
    <w:next w:val="a"/>
    <w:qFormat/>
    <w:pPr>
      <w:outlineLvl w:val="6"/>
    </w:pPr>
  </w:style>
  <w:style w:type="paragraph" w:styleId="8">
    <w:name w:val="heading 8"/>
    <w:basedOn w:val="6"/>
    <w:next w:val="a"/>
    <w:qFormat/>
    <w:pPr>
      <w:outlineLvl w:val="7"/>
    </w:pPr>
  </w:style>
  <w:style w:type="paragraph" w:styleId="9">
    <w:name w:val="heading 9"/>
    <w:basedOn w:val="6"/>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nexNotitle">
    <w:name w:val="Annex_No &amp; title"/>
    <w:basedOn w:val="a"/>
    <w:next w:val="Normalaftertitle"/>
    <w:pPr>
      <w:keepNext/>
      <w:keepLines/>
      <w:spacing w:before="480"/>
      <w:jc w:val="center"/>
    </w:pPr>
    <w:rPr>
      <w:b/>
      <w:sz w:val="28"/>
    </w:rPr>
  </w:style>
  <w:style w:type="character" w:customStyle="1" w:styleId="Appdef">
    <w:name w:val="App_def"/>
    <w:basedOn w:val="a0"/>
    <w:rPr>
      <w:rFonts w:ascii="Times New Roman" w:hAnsi="Times New Roman"/>
      <w:b/>
    </w:rPr>
  </w:style>
  <w:style w:type="character" w:customStyle="1" w:styleId="Appref">
    <w:name w:val="App_ref"/>
    <w:basedOn w:val="a0"/>
  </w:style>
  <w:style w:type="paragraph" w:customStyle="1" w:styleId="AppendixNotitle">
    <w:name w:val="Appendix_No &amp; title"/>
    <w:basedOn w:val="AnnexNotitle"/>
    <w:next w:val="Normalaftertitle"/>
  </w:style>
  <w:style w:type="character" w:customStyle="1" w:styleId="Artdef">
    <w:name w:val="Art_def"/>
    <w:basedOn w:val="a0"/>
    <w:rPr>
      <w:rFonts w:ascii="Times New Roman" w:hAnsi="Times New Roman"/>
      <w:b/>
    </w:rPr>
  </w:style>
  <w:style w:type="paragraph" w:customStyle="1" w:styleId="Artheading">
    <w:name w:val="Art_heading"/>
    <w:basedOn w:val="a"/>
    <w:next w:val="Normalaftertitle"/>
    <w:pPr>
      <w:spacing w:before="480"/>
      <w:jc w:val="center"/>
    </w:pPr>
    <w:rPr>
      <w:b/>
      <w:sz w:val="28"/>
    </w:rPr>
  </w:style>
  <w:style w:type="paragraph" w:customStyle="1" w:styleId="ArtNo">
    <w:name w:val="Art_No"/>
    <w:basedOn w:val="a"/>
    <w:next w:val="Arttitle"/>
    <w:pPr>
      <w:keepNext/>
      <w:keepLines/>
      <w:spacing w:before="480"/>
      <w:jc w:val="center"/>
    </w:pPr>
    <w:rPr>
      <w:caps/>
      <w:sz w:val="28"/>
    </w:rPr>
  </w:style>
  <w:style w:type="character" w:customStyle="1" w:styleId="Artref">
    <w:name w:val="Art_ref"/>
    <w:basedOn w:val="a0"/>
  </w:style>
  <w:style w:type="paragraph" w:customStyle="1" w:styleId="Arttitle">
    <w:name w:val="Art_title"/>
    <w:basedOn w:val="a"/>
    <w:next w:val="Normalaftertitle"/>
    <w:pPr>
      <w:keepNext/>
      <w:keepLines/>
      <w:spacing w:before="240"/>
      <w:jc w:val="center"/>
    </w:pPr>
    <w:rPr>
      <w:b/>
      <w:sz w:val="28"/>
    </w:rPr>
  </w:style>
  <w:style w:type="paragraph" w:customStyle="1" w:styleId="ASN1">
    <w:name w:val="ASN.1"/>
    <w:basedOn w:val="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a"/>
    <w:next w:val="a"/>
    <w:pPr>
      <w:keepNext/>
      <w:keepLines/>
      <w:spacing w:before="160"/>
      <w:ind w:left="794"/>
    </w:pPr>
    <w:rPr>
      <w:i/>
    </w:rPr>
  </w:style>
  <w:style w:type="paragraph" w:customStyle="1" w:styleId="ChapNo">
    <w:name w:val="Chap_No"/>
    <w:basedOn w:val="a"/>
    <w:next w:val="Chaptitle"/>
    <w:pPr>
      <w:keepNext/>
      <w:keepLines/>
      <w:spacing w:before="480"/>
      <w:jc w:val="center"/>
    </w:pPr>
    <w:rPr>
      <w:b/>
      <w:caps/>
      <w:sz w:val="28"/>
    </w:rPr>
  </w:style>
  <w:style w:type="paragraph" w:customStyle="1" w:styleId="Chaptitle">
    <w:name w:val="Chap_title"/>
    <w:basedOn w:val="a"/>
    <w:next w:val="Normalaftertitle"/>
    <w:pPr>
      <w:keepNext/>
      <w:keepLines/>
      <w:spacing w:before="240"/>
      <w:jc w:val="center"/>
    </w:pPr>
    <w:rPr>
      <w:b/>
      <w:sz w:val="28"/>
    </w:rPr>
  </w:style>
  <w:style w:type="character" w:styleId="a3">
    <w:name w:val="endnote reference"/>
    <w:basedOn w:val="a0"/>
    <w:uiPriority w:val="99"/>
    <w:rPr>
      <w:vertAlign w:val="superscript"/>
    </w:rPr>
  </w:style>
  <w:style w:type="paragraph" w:customStyle="1" w:styleId="enumlev1">
    <w:name w:val="enumlev1"/>
    <w:basedOn w:val="a"/>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a"/>
    <w:pPr>
      <w:tabs>
        <w:tab w:val="clear" w:pos="1191"/>
        <w:tab w:val="clear" w:pos="1588"/>
        <w:tab w:val="clear" w:pos="1985"/>
        <w:tab w:val="center" w:pos="4820"/>
        <w:tab w:val="right" w:pos="9639"/>
      </w:tabs>
    </w:pPr>
  </w:style>
  <w:style w:type="paragraph" w:customStyle="1" w:styleId="Equationlegend">
    <w:name w:val="Equation_legend"/>
    <w:basedOn w:val="a"/>
    <w:pPr>
      <w:tabs>
        <w:tab w:val="clear" w:pos="794"/>
        <w:tab w:val="clear" w:pos="1191"/>
        <w:tab w:val="clear" w:pos="1588"/>
        <w:tab w:val="right" w:pos="1814"/>
      </w:tabs>
      <w:spacing w:before="80"/>
      <w:ind w:left="1985" w:hanging="1985"/>
    </w:pPr>
  </w:style>
  <w:style w:type="paragraph" w:customStyle="1" w:styleId="Figure">
    <w:name w:val="Figure"/>
    <w:basedOn w:val="a"/>
    <w:next w:val="FigureNotitle"/>
    <w:pPr>
      <w:keepNext/>
      <w:keepLines/>
      <w:spacing w:before="240" w:after="120"/>
      <w:jc w:val="center"/>
    </w:pPr>
  </w:style>
  <w:style w:type="paragraph" w:customStyle="1" w:styleId="Figurelegend">
    <w:name w:val="Figure_legend"/>
    <w:basedOn w:val="a"/>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a"/>
    <w:next w:val="Normalaftertitle"/>
    <w:pPr>
      <w:keepLines/>
      <w:spacing w:before="240" w:after="120"/>
      <w:jc w:val="center"/>
    </w:pPr>
    <w:rPr>
      <w:b/>
    </w:rPr>
  </w:style>
  <w:style w:type="paragraph" w:customStyle="1" w:styleId="Figurewithouttitle">
    <w:name w:val="Figure_without_title"/>
    <w:basedOn w:val="a"/>
    <w:next w:val="Normalaftertitle"/>
    <w:pPr>
      <w:keepLines/>
      <w:spacing w:before="240" w:after="120"/>
      <w:jc w:val="center"/>
    </w:pPr>
  </w:style>
  <w:style w:type="paragraph" w:styleId="a4">
    <w:name w:val="footer"/>
    <w:basedOn w:val="a"/>
    <w:semiHidden/>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a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a"/>
    <w:pPr>
      <w:tabs>
        <w:tab w:val="clear" w:pos="794"/>
        <w:tab w:val="clear" w:pos="1191"/>
        <w:tab w:val="clear" w:pos="1588"/>
        <w:tab w:val="clear" w:pos="1985"/>
        <w:tab w:val="left" w:pos="907"/>
        <w:tab w:val="right" w:pos="8789"/>
        <w:tab w:val="right" w:pos="9639"/>
      </w:tabs>
      <w:spacing w:before="0"/>
    </w:pPr>
    <w:rPr>
      <w:b/>
      <w:sz w:val="22"/>
    </w:rPr>
  </w:style>
  <w:style w:type="character" w:styleId="a5">
    <w:name w:val="footnote reference"/>
    <w:basedOn w:val="a0"/>
    <w:semiHidden/>
    <w:rPr>
      <w:position w:val="6"/>
      <w:sz w:val="18"/>
    </w:rPr>
  </w:style>
  <w:style w:type="paragraph" w:customStyle="1" w:styleId="Note">
    <w:name w:val="Note"/>
    <w:basedOn w:val="a"/>
    <w:pPr>
      <w:spacing w:before="80"/>
    </w:pPr>
  </w:style>
  <w:style w:type="paragraph" w:styleId="a6">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a7">
    <w:name w:val="header"/>
    <w:basedOn w:val="a"/>
    <w:link w:val="Char"/>
    <w:pPr>
      <w:tabs>
        <w:tab w:val="clear" w:pos="794"/>
        <w:tab w:val="clear" w:pos="1191"/>
        <w:tab w:val="clear" w:pos="1588"/>
        <w:tab w:val="clear" w:pos="1985"/>
      </w:tabs>
      <w:spacing w:before="0"/>
      <w:jc w:val="center"/>
    </w:pPr>
    <w:rPr>
      <w:sz w:val="18"/>
    </w:rPr>
  </w:style>
  <w:style w:type="paragraph" w:customStyle="1" w:styleId="Headingb">
    <w:name w:val="Heading_b"/>
    <w:basedOn w:val="a"/>
    <w:next w:val="a"/>
    <w:pPr>
      <w:keepNext/>
      <w:spacing w:before="160"/>
    </w:pPr>
    <w:rPr>
      <w:b/>
    </w:rPr>
  </w:style>
  <w:style w:type="paragraph" w:customStyle="1" w:styleId="Headingi">
    <w:name w:val="Heading_i"/>
    <w:basedOn w:val="a"/>
    <w:next w:val="a"/>
    <w:pPr>
      <w:keepNext/>
      <w:spacing w:before="160"/>
    </w:pPr>
    <w:rPr>
      <w:i/>
    </w:rPr>
  </w:style>
  <w:style w:type="paragraph" w:styleId="10">
    <w:name w:val="index 1"/>
    <w:basedOn w:val="a"/>
    <w:next w:val="a"/>
    <w:semiHidden/>
  </w:style>
  <w:style w:type="paragraph" w:styleId="20">
    <w:name w:val="index 2"/>
    <w:basedOn w:val="a"/>
    <w:next w:val="a"/>
    <w:semiHidden/>
    <w:pPr>
      <w:ind w:left="283"/>
    </w:pPr>
  </w:style>
  <w:style w:type="paragraph" w:styleId="30">
    <w:name w:val="index 3"/>
    <w:basedOn w:val="a"/>
    <w:next w:val="a"/>
    <w:semiHidden/>
    <w:pPr>
      <w:ind w:left="566"/>
    </w:pPr>
  </w:style>
  <w:style w:type="character" w:styleId="a8">
    <w:name w:val="page number"/>
    <w:basedOn w:val="a0"/>
    <w:semiHidden/>
  </w:style>
  <w:style w:type="paragraph" w:customStyle="1" w:styleId="PartNo">
    <w:name w:val="Part_No"/>
    <w:basedOn w:val="a"/>
    <w:next w:val="Partref"/>
    <w:pPr>
      <w:keepNext/>
      <w:keepLines/>
      <w:spacing w:before="480" w:after="80"/>
      <w:jc w:val="center"/>
    </w:pPr>
    <w:rPr>
      <w:caps/>
      <w:sz w:val="28"/>
    </w:rPr>
  </w:style>
  <w:style w:type="paragraph" w:customStyle="1" w:styleId="Partref">
    <w:name w:val="Part_ref"/>
    <w:basedOn w:val="a"/>
    <w:next w:val="Parttitle"/>
    <w:pPr>
      <w:keepNext/>
      <w:keepLines/>
      <w:spacing w:before="280"/>
      <w:jc w:val="center"/>
    </w:pPr>
  </w:style>
  <w:style w:type="paragraph" w:customStyle="1" w:styleId="Parttitle">
    <w:name w:val="Part_title"/>
    <w:basedOn w:val="a"/>
    <w:next w:val="Normalaftertitle"/>
    <w:pPr>
      <w:keepNext/>
      <w:keepLines/>
      <w:spacing w:before="240" w:after="280"/>
      <w:jc w:val="center"/>
    </w:pPr>
    <w:rPr>
      <w:b/>
      <w:sz w:val="28"/>
    </w:rPr>
  </w:style>
  <w:style w:type="paragraph" w:customStyle="1" w:styleId="Recdate">
    <w:name w:val="Rec_date"/>
    <w:basedOn w:val="a"/>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a"/>
    <w:next w:val="Rectitle"/>
    <w:pPr>
      <w:keepNext/>
      <w:keepLines/>
      <w:spacing w:before="0"/>
    </w:pPr>
    <w:rPr>
      <w:b/>
      <w:sz w:val="28"/>
    </w:rPr>
  </w:style>
  <w:style w:type="paragraph" w:customStyle="1" w:styleId="QuestionNo">
    <w:name w:val="Question_No"/>
    <w:basedOn w:val="RecNo"/>
    <w:next w:val="Questiontitle"/>
  </w:style>
  <w:style w:type="paragraph" w:customStyle="1" w:styleId="Normalaftertitle">
    <w:name w:val="Normal_after_title"/>
    <w:basedOn w:val="a"/>
    <w:next w:val="a"/>
    <w:pPr>
      <w:spacing w:before="360"/>
    </w:pPr>
  </w:style>
  <w:style w:type="paragraph" w:customStyle="1" w:styleId="RecNoBR">
    <w:name w:val="Rec_No_BR"/>
    <w:basedOn w:val="a"/>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a"/>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a"/>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a0"/>
    <w:rPr>
      <w:b/>
    </w:rPr>
  </w:style>
  <w:style w:type="paragraph" w:customStyle="1" w:styleId="Reftext">
    <w:name w:val="Ref_text"/>
    <w:basedOn w:val="a"/>
    <w:pPr>
      <w:ind w:left="794" w:hanging="794"/>
    </w:pPr>
  </w:style>
  <w:style w:type="paragraph" w:customStyle="1" w:styleId="Reftitle">
    <w:name w:val="Ref_title"/>
    <w:basedOn w:val="a"/>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a0"/>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a"/>
    <w:next w:val="a"/>
    <w:pPr>
      <w:tabs>
        <w:tab w:val="clear" w:pos="794"/>
        <w:tab w:val="clear" w:pos="1191"/>
        <w:tab w:val="clear" w:pos="1588"/>
        <w:tab w:val="clear" w:pos="1985"/>
      </w:tabs>
      <w:spacing w:before="624"/>
      <w:jc w:val="center"/>
    </w:pPr>
    <w:rPr>
      <w:b/>
    </w:rPr>
  </w:style>
  <w:style w:type="paragraph" w:customStyle="1" w:styleId="Section2">
    <w:name w:val="Section_2"/>
    <w:basedOn w:val="a"/>
    <w:next w:val="a"/>
    <w:pPr>
      <w:tabs>
        <w:tab w:val="clear" w:pos="794"/>
        <w:tab w:val="clear" w:pos="1191"/>
        <w:tab w:val="clear" w:pos="1588"/>
        <w:tab w:val="clear" w:pos="1985"/>
      </w:tabs>
      <w:spacing w:before="240"/>
      <w:jc w:val="center"/>
    </w:pPr>
    <w:rPr>
      <w:i/>
    </w:rPr>
  </w:style>
  <w:style w:type="paragraph" w:customStyle="1" w:styleId="SectionNo">
    <w:name w:val="Section_No"/>
    <w:basedOn w:val="a"/>
    <w:next w:val="Sectiontitle"/>
    <w:pPr>
      <w:keepNext/>
      <w:keepLines/>
      <w:spacing w:before="480" w:after="80"/>
      <w:jc w:val="center"/>
    </w:pPr>
    <w:rPr>
      <w:caps/>
      <w:sz w:val="28"/>
    </w:rPr>
  </w:style>
  <w:style w:type="paragraph" w:customStyle="1" w:styleId="Sectiontitle">
    <w:name w:val="Section_title"/>
    <w:basedOn w:val="a"/>
    <w:next w:val="Normalaftertitle"/>
    <w:pPr>
      <w:keepNext/>
      <w:keepLines/>
      <w:spacing w:before="480" w:after="280"/>
      <w:jc w:val="center"/>
    </w:pPr>
    <w:rPr>
      <w:b/>
      <w:sz w:val="28"/>
    </w:rPr>
  </w:style>
  <w:style w:type="paragraph" w:customStyle="1" w:styleId="Source">
    <w:name w:val="Source"/>
    <w:basedOn w:val="a"/>
    <w:next w:val="Normalaftertitle"/>
    <w:pPr>
      <w:spacing w:before="840" w:after="200"/>
      <w:jc w:val="center"/>
    </w:pPr>
    <w:rPr>
      <w:b/>
      <w:sz w:val="28"/>
    </w:rPr>
  </w:style>
  <w:style w:type="paragraph" w:customStyle="1" w:styleId="SpecialFooter">
    <w:name w:val="Special Footer"/>
    <w:basedOn w:val="a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a0"/>
    <w:rPr>
      <w:b/>
      <w:color w:val="auto"/>
    </w:rPr>
  </w:style>
  <w:style w:type="paragraph" w:customStyle="1" w:styleId="Tablehead">
    <w:name w:val="Table_head"/>
    <w:basedOn w:val="a"/>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a"/>
    <w:next w:val="Tablehead"/>
    <w:pPr>
      <w:keepNext/>
      <w:keepLines/>
      <w:spacing w:before="360" w:after="120"/>
      <w:jc w:val="center"/>
    </w:pPr>
    <w:rPr>
      <w:b/>
    </w:rPr>
  </w:style>
  <w:style w:type="paragraph" w:customStyle="1" w:styleId="TableNoBR">
    <w:name w:val="Table_No_BR"/>
    <w:basedOn w:val="a"/>
    <w:next w:val="TabletitleBR"/>
    <w:pPr>
      <w:keepNext/>
      <w:spacing w:before="560" w:after="120"/>
      <w:jc w:val="center"/>
    </w:pPr>
    <w:rPr>
      <w:caps/>
    </w:rPr>
  </w:style>
  <w:style w:type="paragraph" w:customStyle="1" w:styleId="Tableref">
    <w:name w:val="Table_ref"/>
    <w:basedOn w:val="a"/>
    <w:next w:val="TabletitleBR"/>
    <w:pPr>
      <w:keepNext/>
      <w:spacing w:before="0" w:after="120"/>
      <w:jc w:val="center"/>
    </w:pPr>
  </w:style>
  <w:style w:type="paragraph" w:customStyle="1" w:styleId="Tabletext">
    <w:name w:val="Table_text"/>
    <w:basedOn w:val="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a"/>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1"/>
    <w:rPr>
      <w:b/>
    </w:rPr>
  </w:style>
  <w:style w:type="paragraph" w:customStyle="1" w:styleId="toc0">
    <w:name w:val="toc 0"/>
    <w:basedOn w:val="a"/>
    <w:next w:val="11"/>
    <w:pPr>
      <w:tabs>
        <w:tab w:val="clear" w:pos="794"/>
        <w:tab w:val="clear" w:pos="1191"/>
        <w:tab w:val="clear" w:pos="1588"/>
        <w:tab w:val="clear" w:pos="1985"/>
        <w:tab w:val="right" w:pos="9639"/>
      </w:tabs>
    </w:pPr>
    <w:rPr>
      <w:b/>
    </w:rPr>
  </w:style>
  <w:style w:type="paragraph" w:styleId="11">
    <w:name w:val="toc 1"/>
    <w:basedOn w:val="a"/>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21">
    <w:name w:val="toc 2"/>
    <w:basedOn w:val="11"/>
    <w:semiHidden/>
    <w:pPr>
      <w:spacing w:before="80"/>
      <w:ind w:left="1531" w:hanging="851"/>
    </w:pPr>
  </w:style>
  <w:style w:type="paragraph" w:styleId="31">
    <w:name w:val="toc 3"/>
    <w:basedOn w:val="21"/>
    <w:semiHidden/>
  </w:style>
  <w:style w:type="paragraph" w:styleId="40">
    <w:name w:val="toc 4"/>
    <w:basedOn w:val="31"/>
    <w:semiHidden/>
  </w:style>
  <w:style w:type="paragraph" w:styleId="50">
    <w:name w:val="toc 5"/>
    <w:basedOn w:val="40"/>
    <w:semiHidden/>
  </w:style>
  <w:style w:type="paragraph" w:styleId="60">
    <w:name w:val="toc 6"/>
    <w:basedOn w:val="40"/>
    <w:semiHidden/>
  </w:style>
  <w:style w:type="paragraph" w:styleId="70">
    <w:name w:val="toc 7"/>
    <w:basedOn w:val="40"/>
    <w:semiHidden/>
  </w:style>
  <w:style w:type="paragraph" w:styleId="80">
    <w:name w:val="toc 8"/>
    <w:basedOn w:val="40"/>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a"/>
    <w:next w:val="FiguretitleBR"/>
    <w:pPr>
      <w:keepNext/>
      <w:keepLines/>
      <w:spacing w:before="480" w:after="120"/>
      <w:jc w:val="center"/>
    </w:pPr>
    <w:rPr>
      <w:caps/>
    </w:rPr>
  </w:style>
  <w:style w:type="paragraph" w:styleId="22">
    <w:name w:val="Body Text Indent 2"/>
    <w:basedOn w:val="a"/>
    <w:semiHidden/>
    <w:pPr>
      <w:tabs>
        <w:tab w:val="clear" w:pos="794"/>
        <w:tab w:val="clear" w:pos="1191"/>
        <w:tab w:val="clear" w:pos="1588"/>
        <w:tab w:val="clear" w:pos="1985"/>
      </w:tabs>
      <w:overflowPunct/>
      <w:autoSpaceDE/>
      <w:autoSpaceDN/>
      <w:adjustRightInd/>
      <w:spacing w:before="0"/>
      <w:ind w:left="720" w:hanging="720"/>
      <w:jc w:val="both"/>
      <w:textAlignment w:val="auto"/>
    </w:pPr>
    <w:rPr>
      <w:rFonts w:ascii="Bookman Old Style" w:hAnsi="Bookman Old Style"/>
      <w:szCs w:val="24"/>
      <w:lang w:val="en-US"/>
    </w:rPr>
  </w:style>
  <w:style w:type="paragraph" w:styleId="32">
    <w:name w:val="Body Text Indent 3"/>
    <w:basedOn w:val="a"/>
    <w:semiHidden/>
    <w:pPr>
      <w:tabs>
        <w:tab w:val="clear" w:pos="794"/>
        <w:tab w:val="clear" w:pos="1191"/>
        <w:tab w:val="clear" w:pos="1588"/>
        <w:tab w:val="clear" w:pos="1985"/>
      </w:tabs>
      <w:overflowPunct/>
      <w:autoSpaceDE/>
      <w:autoSpaceDN/>
      <w:adjustRightInd/>
      <w:spacing w:before="0"/>
      <w:ind w:left="720"/>
      <w:jc w:val="both"/>
      <w:textAlignment w:val="auto"/>
    </w:pPr>
    <w:rPr>
      <w:rFonts w:ascii="Bookman Old Style" w:hAnsi="Bookman Old Style"/>
      <w:szCs w:val="24"/>
      <w:lang w:val="en-US"/>
    </w:rPr>
  </w:style>
  <w:style w:type="paragraph" w:styleId="a9">
    <w:name w:val="Body Text"/>
    <w:basedOn w:val="a"/>
    <w:link w:val="Char0"/>
    <w:pPr>
      <w:tabs>
        <w:tab w:val="clear" w:pos="794"/>
        <w:tab w:val="clear" w:pos="1191"/>
        <w:tab w:val="clear" w:pos="1588"/>
        <w:tab w:val="clear" w:pos="1985"/>
      </w:tabs>
      <w:overflowPunct/>
      <w:autoSpaceDE/>
      <w:autoSpaceDN/>
      <w:adjustRightInd/>
      <w:spacing w:before="0"/>
      <w:jc w:val="both"/>
      <w:textAlignment w:val="auto"/>
    </w:pPr>
    <w:rPr>
      <w:rFonts w:ascii="Bookman Old Style" w:hAnsi="Bookman Old Style"/>
      <w:sz w:val="28"/>
      <w:szCs w:val="24"/>
      <w:lang w:val="en-US"/>
    </w:rPr>
  </w:style>
  <w:style w:type="paragraph" w:styleId="aa">
    <w:name w:val="Body Text Indent"/>
    <w:basedOn w:val="a"/>
    <w:semiHidden/>
    <w:pPr>
      <w:ind w:left="1191" w:hanging="1191"/>
    </w:pPr>
    <w:rPr>
      <w:bCs/>
    </w:rPr>
  </w:style>
  <w:style w:type="paragraph" w:styleId="23">
    <w:name w:val="Body Text 2"/>
    <w:basedOn w:val="a"/>
    <w:semiHidden/>
    <w:rPr>
      <w:bCs/>
    </w:rPr>
  </w:style>
  <w:style w:type="character" w:customStyle="1" w:styleId="Char">
    <w:name w:val="页眉 Char"/>
    <w:basedOn w:val="a0"/>
    <w:link w:val="a7"/>
    <w:rsid w:val="00C1454A"/>
    <w:rPr>
      <w:rFonts w:ascii="Times New Roman" w:hAnsi="Times New Roman"/>
      <w:sz w:val="18"/>
      <w:lang w:val="en-GB"/>
    </w:rPr>
  </w:style>
  <w:style w:type="character" w:styleId="ab">
    <w:name w:val="Intense Reference"/>
    <w:basedOn w:val="a0"/>
    <w:uiPriority w:val="32"/>
    <w:qFormat/>
    <w:rsid w:val="00C1454A"/>
    <w:rPr>
      <w:b/>
      <w:bCs/>
      <w:smallCaps/>
      <w:color w:val="5B9BD5" w:themeColor="accent1"/>
      <w:spacing w:val="5"/>
    </w:rPr>
  </w:style>
  <w:style w:type="paragraph" w:styleId="ac">
    <w:name w:val="List Paragraph"/>
    <w:basedOn w:val="a"/>
    <w:uiPriority w:val="34"/>
    <w:qFormat/>
    <w:rsid w:val="00C1454A"/>
    <w:pPr>
      <w:ind w:left="720"/>
      <w:contextualSpacing/>
    </w:pPr>
  </w:style>
  <w:style w:type="table" w:styleId="5-5">
    <w:name w:val="Grid Table 5 Dark Accent 5"/>
    <w:basedOn w:val="a1"/>
    <w:uiPriority w:val="50"/>
    <w:rsid w:val="00A723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1">
    <w:name w:val="Grid Table 5 Dark Accent 1"/>
    <w:basedOn w:val="a1"/>
    <w:uiPriority w:val="50"/>
    <w:rsid w:val="00A723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0">
    <w:name w:val="正文文本 Char"/>
    <w:basedOn w:val="a0"/>
    <w:link w:val="a9"/>
    <w:rsid w:val="00A723DE"/>
    <w:rPr>
      <w:rFonts w:ascii="Bookman Old Style" w:hAnsi="Bookman Old Style"/>
      <w:sz w:val="28"/>
      <w:szCs w:val="24"/>
    </w:rPr>
  </w:style>
  <w:style w:type="character" w:styleId="ad">
    <w:name w:val="Hyperlink"/>
    <w:uiPriority w:val="99"/>
    <w:rsid w:val="00BE095B"/>
    <w:rPr>
      <w:rFonts w:cs="Times New Roman"/>
      <w:color w:val="0000FF"/>
      <w:u w:val="single"/>
    </w:rPr>
  </w:style>
  <w:style w:type="paragraph" w:styleId="ae">
    <w:name w:val="endnote text"/>
    <w:basedOn w:val="a"/>
    <w:link w:val="Char1"/>
    <w:uiPriority w:val="99"/>
    <w:unhideWhenUsed/>
    <w:rsid w:val="00BE095B"/>
    <w:pPr>
      <w:tabs>
        <w:tab w:val="clear" w:pos="794"/>
        <w:tab w:val="clear" w:pos="1191"/>
        <w:tab w:val="clear" w:pos="1588"/>
        <w:tab w:val="clear" w:pos="1985"/>
      </w:tabs>
      <w:overflowPunct/>
      <w:autoSpaceDE/>
      <w:autoSpaceDN/>
      <w:adjustRightInd/>
      <w:spacing w:before="0"/>
      <w:textAlignment w:val="auto"/>
    </w:pPr>
    <w:rPr>
      <w:rFonts w:ascii="Calibri" w:eastAsia="Calibri" w:hAnsi="Calibri"/>
      <w:sz w:val="20"/>
      <w:lang w:val="x-none" w:eastAsia="x-none"/>
    </w:rPr>
  </w:style>
  <w:style w:type="character" w:customStyle="1" w:styleId="Char1">
    <w:name w:val="尾注文本 Char"/>
    <w:basedOn w:val="a0"/>
    <w:link w:val="ae"/>
    <w:uiPriority w:val="99"/>
    <w:rsid w:val="00BE095B"/>
    <w:rPr>
      <w:rFonts w:ascii="Calibri" w:eastAsia="Calibri" w:hAnsi="Calibri"/>
      <w:lang w:val="x-none" w:eastAsia="x-none"/>
    </w:rPr>
  </w:style>
  <w:style w:type="paragraph" w:styleId="af">
    <w:name w:val="Plain Text"/>
    <w:basedOn w:val="a"/>
    <w:link w:val="Char2"/>
    <w:uiPriority w:val="99"/>
    <w:unhideWhenUsed/>
    <w:rsid w:val="00BE095B"/>
    <w:pPr>
      <w:tabs>
        <w:tab w:val="clear" w:pos="794"/>
        <w:tab w:val="clear" w:pos="1191"/>
        <w:tab w:val="clear" w:pos="1588"/>
        <w:tab w:val="clear" w:pos="1985"/>
      </w:tabs>
      <w:overflowPunct/>
      <w:autoSpaceDE/>
      <w:autoSpaceDN/>
      <w:adjustRightInd/>
      <w:spacing w:before="0"/>
      <w:textAlignment w:val="auto"/>
    </w:pPr>
    <w:rPr>
      <w:rFonts w:ascii="Arial" w:eastAsiaTheme="minorHAnsi" w:hAnsi="Arial" w:cstheme="minorBidi"/>
      <w:sz w:val="20"/>
      <w:szCs w:val="21"/>
    </w:rPr>
  </w:style>
  <w:style w:type="character" w:customStyle="1" w:styleId="Char2">
    <w:name w:val="纯文本 Char"/>
    <w:basedOn w:val="a0"/>
    <w:link w:val="af"/>
    <w:uiPriority w:val="99"/>
    <w:rsid w:val="00BE095B"/>
    <w:rPr>
      <w:rFonts w:ascii="Arial" w:eastAsiaTheme="minorHAnsi" w:hAnsi="Arial" w:cstheme="minorBid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endnotes.xml.rels><?xml version="1.0" encoding="UTF-8" standalone="yes"?>
<Relationships xmlns="http://schemas.openxmlformats.org/package/2006/relationships"><Relationship Id="rId1" Type="http://schemas.openxmlformats.org/officeDocument/2006/relationships/hyperlink" Target="https://www.gsma.com/spectrum/effective-spectrum-pric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innt32\Pool\POOL%20-%20E\PE_BDTrg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0401AD-6323-41C9-A0A4-49522B44A771}"/>
</file>

<file path=customXml/itemProps2.xml><?xml version="1.0" encoding="utf-8"?>
<ds:datastoreItem xmlns:ds="http://schemas.openxmlformats.org/officeDocument/2006/customXml" ds:itemID="{68536917-FFEC-4B85-B4A1-2839B02072F2}"/>
</file>

<file path=customXml/itemProps3.xml><?xml version="1.0" encoding="utf-8"?>
<ds:datastoreItem xmlns:ds="http://schemas.openxmlformats.org/officeDocument/2006/customXml" ds:itemID="{2C3DAFFE-7C73-4689-8AD6-6FB855D588B3}"/>
</file>

<file path=docProps/app.xml><?xml version="1.0" encoding="utf-8"?>
<Properties xmlns="http://schemas.openxmlformats.org/officeDocument/2006/extended-properties" xmlns:vt="http://schemas.openxmlformats.org/officeDocument/2006/docPropsVTypes">
  <Template>PE_BDTrgq</Template>
  <TotalTime>5</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2991</CharactersWithSpaces>
  <SharedDoc>false</SharedDoc>
  <HLinks>
    <vt:vector size="6" baseType="variant">
      <vt:variant>
        <vt:i4>6750229</vt:i4>
      </vt:variant>
      <vt:variant>
        <vt:i4>1066</vt:i4>
      </vt:variant>
      <vt:variant>
        <vt:i4>1025</vt:i4>
      </vt:variant>
      <vt:variant>
        <vt:i4>1</vt:i4>
      </vt:variant>
      <vt:variant>
        <vt:lpwstr>R:\APP\WW6\ITULOGO.WMF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ITU-AMR</dc:creator>
  <cp:keywords>RGQ</cp:keywords>
  <dc:description>Document RGQ18/1/018-E  For: _x000d_Document date: 27 January 2004_x000d_Saved by ES--2479 at 17:37:05 on 27.02.2004</dc:description>
  <cp:lastModifiedBy>user</cp:lastModifiedBy>
  <cp:revision>5</cp:revision>
  <cp:lastPrinted>2004-02-27T10:37:00Z</cp:lastPrinted>
  <dcterms:created xsi:type="dcterms:W3CDTF">2017-09-12T01:13:00Z</dcterms:created>
  <dcterms:modified xsi:type="dcterms:W3CDTF">2017-09-12T01:30:00Z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RGQ18/1/018-E</vt:lpwstr>
  </property>
  <property fmtid="{D5CDD505-2E9C-101B-9397-08002B2CF9AE}" pid="3" name="Docdate">
    <vt:lpwstr>27 January 2004</vt:lpwstr>
  </property>
  <property fmtid="{D5CDD505-2E9C-101B-9397-08002B2CF9AE}" pid="4" name="Docorlang">
    <vt:lpwstr>Original: English only</vt:lpwstr>
  </property>
  <property fmtid="{D5CDD505-2E9C-101B-9397-08002B2CF9AE}" pid="5" name="Docdest">
    <vt:lpwstr/>
  </property>
  <property fmtid="{D5CDD505-2E9C-101B-9397-08002B2CF9AE}" pid="6" name="Docauthor">
    <vt:lpwstr/>
  </property>
  <property fmtid="{D5CDD505-2E9C-101B-9397-08002B2CF9AE}" pid="7" name="ContentTypeId">
    <vt:lpwstr>0x010100202BB634496EAB498A685EA26DE87D9A</vt:lpwstr>
  </property>
</Properties>
</file>