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6D256C75" w14:textId="77777777" w:rsidTr="00590D62">
        <w:trPr>
          <w:cantSplit/>
          <w:jc w:val="center"/>
        </w:trPr>
        <w:tc>
          <w:tcPr>
            <w:tcW w:w="1133" w:type="dxa"/>
            <w:vMerge w:val="restart"/>
            <w:vAlign w:val="center"/>
          </w:tcPr>
          <w:p w14:paraId="5AAB1D6C" w14:textId="77777777" w:rsidR="00E03557" w:rsidRPr="00E03557" w:rsidRDefault="00BC1D31" w:rsidP="00E03557">
            <w:pPr>
              <w:jc w:val="center"/>
              <w:rPr>
                <w:sz w:val="20"/>
                <w:szCs w:val="20"/>
              </w:rPr>
            </w:pPr>
            <w:r w:rsidRPr="00E03557">
              <w:rPr>
                <w:noProof/>
                <w:sz w:val="20"/>
                <w:szCs w:val="20"/>
                <w:lang w:eastAsia="zh-CN"/>
              </w:rPr>
              <w:drawing>
                <wp:inline distT="0" distB="0" distL="0" distR="0" wp14:anchorId="740EC81D" wp14:editId="762003B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94B00B" w14:textId="77777777" w:rsidR="00E03557" w:rsidRPr="00E03557" w:rsidRDefault="00E03557" w:rsidP="00E03557">
            <w:pPr>
              <w:rPr>
                <w:sz w:val="16"/>
                <w:szCs w:val="16"/>
              </w:rPr>
            </w:pPr>
            <w:r w:rsidRPr="00E03557">
              <w:rPr>
                <w:sz w:val="16"/>
                <w:szCs w:val="16"/>
              </w:rPr>
              <w:t>INTERNATIONAL TELECOMMUNICATION UNION</w:t>
            </w:r>
          </w:p>
          <w:p w14:paraId="703280D7"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C85B935"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111EFEE6" w14:textId="711304E8" w:rsidR="00E03557" w:rsidRPr="00852AAD" w:rsidRDefault="00BC1D31" w:rsidP="003B1DEB">
            <w:pPr>
              <w:pStyle w:val="Docnumber"/>
            </w:pPr>
            <w:r>
              <w:t>FG-AI4H</w:t>
            </w:r>
            <w:r w:rsidR="00E03557">
              <w:t>-</w:t>
            </w:r>
            <w:r w:rsidR="003B1DEB">
              <w:t>D</w:t>
            </w:r>
            <w:r>
              <w:t>-</w:t>
            </w:r>
            <w:r w:rsidR="003B1DEB">
              <w:t>014</w:t>
            </w:r>
          </w:p>
        </w:tc>
      </w:tr>
      <w:tr w:rsidR="00E03557" w:rsidRPr="00E03557" w14:paraId="0B52E69D" w14:textId="77777777" w:rsidTr="00590D62">
        <w:trPr>
          <w:cantSplit/>
          <w:jc w:val="center"/>
        </w:trPr>
        <w:tc>
          <w:tcPr>
            <w:tcW w:w="1133" w:type="dxa"/>
            <w:vMerge/>
          </w:tcPr>
          <w:p w14:paraId="4FBEB977" w14:textId="77777777" w:rsidR="00E03557" w:rsidRPr="00E03557" w:rsidRDefault="00E03557" w:rsidP="00E03557">
            <w:pPr>
              <w:rPr>
                <w:smallCaps/>
                <w:sz w:val="20"/>
              </w:rPr>
            </w:pPr>
          </w:p>
        </w:tc>
        <w:tc>
          <w:tcPr>
            <w:tcW w:w="3829" w:type="dxa"/>
            <w:gridSpan w:val="2"/>
            <w:vMerge/>
          </w:tcPr>
          <w:p w14:paraId="62DDF8E6" w14:textId="77777777" w:rsidR="00E03557" w:rsidRPr="00E03557" w:rsidRDefault="00E03557" w:rsidP="00E03557">
            <w:pPr>
              <w:rPr>
                <w:smallCaps/>
                <w:sz w:val="20"/>
              </w:rPr>
            </w:pPr>
            <w:bookmarkStart w:id="0" w:name="ddate" w:colFirst="2" w:colLast="2"/>
          </w:p>
        </w:tc>
        <w:tc>
          <w:tcPr>
            <w:tcW w:w="4678" w:type="dxa"/>
            <w:gridSpan w:val="2"/>
          </w:tcPr>
          <w:p w14:paraId="78A27441"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DFBE926" w14:textId="77777777" w:rsidTr="00590D62">
        <w:trPr>
          <w:cantSplit/>
          <w:jc w:val="center"/>
        </w:trPr>
        <w:tc>
          <w:tcPr>
            <w:tcW w:w="1133" w:type="dxa"/>
            <w:vMerge/>
            <w:tcBorders>
              <w:bottom w:val="single" w:sz="12" w:space="0" w:color="auto"/>
            </w:tcBorders>
          </w:tcPr>
          <w:p w14:paraId="0665D866" w14:textId="77777777" w:rsidR="00E03557" w:rsidRPr="00E03557" w:rsidRDefault="00E03557" w:rsidP="00E03557">
            <w:pPr>
              <w:rPr>
                <w:b/>
                <w:bCs/>
                <w:sz w:val="26"/>
              </w:rPr>
            </w:pPr>
          </w:p>
        </w:tc>
        <w:tc>
          <w:tcPr>
            <w:tcW w:w="3829" w:type="dxa"/>
            <w:gridSpan w:val="2"/>
            <w:vMerge/>
            <w:tcBorders>
              <w:bottom w:val="single" w:sz="12" w:space="0" w:color="auto"/>
            </w:tcBorders>
          </w:tcPr>
          <w:p w14:paraId="0C2B7FD9" w14:textId="77777777" w:rsidR="00E03557" w:rsidRPr="00E03557" w:rsidRDefault="00E03557" w:rsidP="00E03557">
            <w:pPr>
              <w:rPr>
                <w:b/>
                <w:bCs/>
                <w:sz w:val="26"/>
              </w:rPr>
            </w:pPr>
            <w:bookmarkStart w:id="1" w:name="dorlang" w:colFirst="2" w:colLast="2"/>
            <w:bookmarkEnd w:id="0"/>
          </w:p>
        </w:tc>
        <w:tc>
          <w:tcPr>
            <w:tcW w:w="4678" w:type="dxa"/>
            <w:gridSpan w:val="2"/>
            <w:tcBorders>
              <w:bottom w:val="single" w:sz="12" w:space="0" w:color="auto"/>
            </w:tcBorders>
            <w:vAlign w:val="center"/>
          </w:tcPr>
          <w:p w14:paraId="7BD4638C"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2EA540DA" w14:textId="77777777" w:rsidTr="00764B72">
        <w:trPr>
          <w:cantSplit/>
          <w:trHeight w:val="704"/>
          <w:jc w:val="center"/>
        </w:trPr>
        <w:tc>
          <w:tcPr>
            <w:tcW w:w="1700" w:type="dxa"/>
            <w:gridSpan w:val="2"/>
          </w:tcPr>
          <w:p w14:paraId="642C10DF" w14:textId="77777777" w:rsidR="00BC1D31" w:rsidRPr="00E03557" w:rsidRDefault="00BC1D31" w:rsidP="00BC1D31">
            <w:pPr>
              <w:rPr>
                <w:b/>
                <w:bCs/>
              </w:rPr>
            </w:pPr>
            <w:bookmarkStart w:id="2" w:name="dbluepink" w:colFirst="1" w:colLast="1"/>
            <w:bookmarkEnd w:id="1"/>
            <w:r>
              <w:rPr>
                <w:b/>
                <w:bCs/>
              </w:rPr>
              <w:t>WG</w:t>
            </w:r>
            <w:r w:rsidRPr="00E03557">
              <w:rPr>
                <w:b/>
                <w:bCs/>
              </w:rPr>
              <w:t>(s):</w:t>
            </w:r>
          </w:p>
        </w:tc>
        <w:tc>
          <w:tcPr>
            <w:tcW w:w="3262" w:type="dxa"/>
            <w:vAlign w:val="center"/>
          </w:tcPr>
          <w:p w14:paraId="09903273" w14:textId="6F0A1081" w:rsidR="00BC1D31" w:rsidRPr="00123B21" w:rsidRDefault="003B1DEB" w:rsidP="00404076">
            <w:r>
              <w:t>N/A</w:t>
            </w:r>
          </w:p>
        </w:tc>
        <w:tc>
          <w:tcPr>
            <w:tcW w:w="4678" w:type="dxa"/>
            <w:gridSpan w:val="2"/>
            <w:vAlign w:val="center"/>
          </w:tcPr>
          <w:p w14:paraId="7BEC2DC8" w14:textId="67B8949A" w:rsidR="00BC1D31" w:rsidRPr="00123B21" w:rsidRDefault="003B1DEB" w:rsidP="003B1DEB">
            <w:pPr>
              <w:jc w:val="right"/>
            </w:pPr>
            <w:r>
              <w:t>Shanghai</w:t>
            </w:r>
            <w:r w:rsidR="007940A0">
              <w:t xml:space="preserve">, </w:t>
            </w:r>
            <w:r>
              <w:t xml:space="preserve"> 2-5 March </w:t>
            </w:r>
            <w:r w:rsidR="007940A0">
              <w:t>2019</w:t>
            </w:r>
          </w:p>
        </w:tc>
      </w:tr>
      <w:bookmarkEnd w:id="2"/>
      <w:tr w:rsidR="00E03557" w:rsidRPr="00E03557" w14:paraId="19C5596E" w14:textId="77777777" w:rsidTr="00E03557">
        <w:trPr>
          <w:cantSplit/>
          <w:jc w:val="center"/>
        </w:trPr>
        <w:tc>
          <w:tcPr>
            <w:tcW w:w="9640" w:type="dxa"/>
            <w:gridSpan w:val="5"/>
          </w:tcPr>
          <w:p w14:paraId="14B5B3F4" w14:textId="77777777" w:rsidR="00E03557" w:rsidRPr="00E03557" w:rsidRDefault="00BC1D31" w:rsidP="00E03557">
            <w:pPr>
              <w:jc w:val="center"/>
              <w:rPr>
                <w:b/>
                <w:bCs/>
              </w:rPr>
            </w:pPr>
            <w:r w:rsidRPr="00123B21">
              <w:rPr>
                <w:b/>
                <w:bCs/>
              </w:rPr>
              <w:t>DOCUMENT</w:t>
            </w:r>
          </w:p>
        </w:tc>
      </w:tr>
      <w:tr w:rsidR="00BC1D31" w:rsidRPr="00E03557" w14:paraId="4160F9EA" w14:textId="77777777" w:rsidTr="0016339F">
        <w:trPr>
          <w:cantSplit/>
          <w:trHeight w:val="501"/>
          <w:jc w:val="center"/>
        </w:trPr>
        <w:tc>
          <w:tcPr>
            <w:tcW w:w="1700" w:type="dxa"/>
            <w:gridSpan w:val="2"/>
          </w:tcPr>
          <w:p w14:paraId="430496DF" w14:textId="77777777" w:rsidR="00BC1D31" w:rsidRPr="00E03557" w:rsidRDefault="00BC1D31" w:rsidP="00BC1D31">
            <w:pPr>
              <w:rPr>
                <w:b/>
                <w:bCs/>
              </w:rPr>
            </w:pPr>
            <w:r w:rsidRPr="00E03557">
              <w:rPr>
                <w:b/>
                <w:bCs/>
              </w:rPr>
              <w:t>Source:</w:t>
            </w:r>
          </w:p>
        </w:tc>
        <w:tc>
          <w:tcPr>
            <w:tcW w:w="7940" w:type="dxa"/>
            <w:gridSpan w:val="3"/>
            <w:vAlign w:val="center"/>
          </w:tcPr>
          <w:p w14:paraId="221CAE8C" w14:textId="55065AAB" w:rsidR="00BC1D31" w:rsidRPr="00123B21" w:rsidRDefault="006954C3" w:rsidP="00404076">
            <w:r>
              <w:t>Hui</w:t>
            </w:r>
            <w:r>
              <w:rPr>
                <w:lang w:val="en-US"/>
              </w:rPr>
              <w:t xml:space="preserve">mei </w:t>
            </w:r>
            <w:r>
              <w:t>Cloud Technology Co.Ltd</w:t>
            </w:r>
          </w:p>
        </w:tc>
      </w:tr>
      <w:tr w:rsidR="00BC1D31" w:rsidRPr="00E03557" w14:paraId="40311BAD" w14:textId="77777777" w:rsidTr="00590D62">
        <w:trPr>
          <w:cantSplit/>
          <w:jc w:val="center"/>
        </w:trPr>
        <w:tc>
          <w:tcPr>
            <w:tcW w:w="1700" w:type="dxa"/>
            <w:gridSpan w:val="2"/>
          </w:tcPr>
          <w:p w14:paraId="406063AB" w14:textId="77777777" w:rsidR="00BC1D31" w:rsidRPr="00E03557" w:rsidRDefault="00BC1D31" w:rsidP="00BC1D31">
            <w:r w:rsidRPr="00E03557">
              <w:rPr>
                <w:b/>
                <w:bCs/>
              </w:rPr>
              <w:t>Title:</w:t>
            </w:r>
          </w:p>
        </w:tc>
        <w:tc>
          <w:tcPr>
            <w:tcW w:w="7940" w:type="dxa"/>
            <w:gridSpan w:val="3"/>
            <w:vAlign w:val="center"/>
          </w:tcPr>
          <w:p w14:paraId="4CDC72E8" w14:textId="59963B4C" w:rsidR="00BC1D31" w:rsidRPr="00537823" w:rsidRDefault="00C83A77" w:rsidP="00235742">
            <w:pPr>
              <w:pBdr>
                <w:top w:val="nil"/>
                <w:left w:val="nil"/>
                <w:bottom w:val="nil"/>
                <w:right w:val="nil"/>
                <w:between w:val="nil"/>
                <w:bar w:val="nil"/>
              </w:pBdr>
            </w:pPr>
            <w:r>
              <w:rPr>
                <w:rFonts w:hint="eastAsia"/>
              </w:rPr>
              <w:t xml:space="preserve">AI </w:t>
            </w:r>
            <w:r>
              <w:rPr>
                <w:lang w:val="en-US"/>
              </w:rPr>
              <w:t xml:space="preserve">based </w:t>
            </w:r>
            <w:r w:rsidR="00235742">
              <w:t>Quality Control in Stroke</w:t>
            </w:r>
            <w:r w:rsidR="00235742">
              <w:rPr>
                <w:rFonts w:hint="eastAsia"/>
              </w:rPr>
              <w:t xml:space="preserve"> </w:t>
            </w:r>
            <w:r w:rsidR="00235742">
              <w:t xml:space="preserve">Treatment </w:t>
            </w:r>
            <w:r w:rsidR="00235742">
              <w:rPr>
                <w:rFonts w:hint="eastAsia"/>
              </w:rPr>
              <w:t xml:space="preserve">Service </w:t>
            </w:r>
          </w:p>
        </w:tc>
      </w:tr>
      <w:tr w:rsidR="00E03557" w:rsidRPr="00E03557" w14:paraId="67D56120" w14:textId="77777777" w:rsidTr="00590D62">
        <w:trPr>
          <w:cantSplit/>
          <w:jc w:val="center"/>
        </w:trPr>
        <w:tc>
          <w:tcPr>
            <w:tcW w:w="1700" w:type="dxa"/>
            <w:gridSpan w:val="2"/>
            <w:tcBorders>
              <w:bottom w:val="single" w:sz="6" w:space="0" w:color="auto"/>
            </w:tcBorders>
          </w:tcPr>
          <w:p w14:paraId="36FF9D2E" w14:textId="77777777" w:rsidR="00E03557" w:rsidRPr="0074355C" w:rsidRDefault="00E03557" w:rsidP="00E03557">
            <w:pPr>
              <w:rPr>
                <w:b/>
                <w:bCs/>
              </w:rPr>
            </w:pPr>
            <w:bookmarkStart w:id="3" w:name="dtitle1" w:colFirst="1" w:colLast="1"/>
            <w:r w:rsidRPr="0074355C">
              <w:rPr>
                <w:b/>
                <w:bCs/>
              </w:rPr>
              <w:t>Purpose:</w:t>
            </w:r>
          </w:p>
        </w:tc>
        <w:tc>
          <w:tcPr>
            <w:tcW w:w="7940" w:type="dxa"/>
            <w:gridSpan w:val="3"/>
            <w:tcBorders>
              <w:bottom w:val="single" w:sz="6" w:space="0" w:color="auto"/>
            </w:tcBorders>
          </w:tcPr>
          <w:p w14:paraId="073DC5AE" w14:textId="68321211" w:rsidR="00E03557" w:rsidRPr="0074355C" w:rsidRDefault="006954C3" w:rsidP="00BC1D31">
            <w:r w:rsidRPr="0074355C">
              <w:rPr>
                <w:rFonts w:hint="eastAsia"/>
              </w:rPr>
              <w:t>Discussion</w:t>
            </w:r>
          </w:p>
        </w:tc>
      </w:tr>
      <w:tr w:rsidR="00BC1D31" w:rsidRPr="00E03557" w14:paraId="4CF595C0" w14:textId="77777777" w:rsidTr="00590D62">
        <w:trPr>
          <w:cantSplit/>
          <w:jc w:val="center"/>
        </w:trPr>
        <w:tc>
          <w:tcPr>
            <w:tcW w:w="1700" w:type="dxa"/>
            <w:gridSpan w:val="2"/>
            <w:tcBorders>
              <w:top w:val="single" w:sz="6" w:space="0" w:color="auto"/>
              <w:bottom w:val="single" w:sz="6" w:space="0" w:color="auto"/>
            </w:tcBorders>
          </w:tcPr>
          <w:p w14:paraId="7FFBFC50" w14:textId="77777777" w:rsidR="00BC1D31" w:rsidRPr="008E182D" w:rsidRDefault="00BC1D31" w:rsidP="00BC1D31">
            <w:pPr>
              <w:rPr>
                <w:b/>
                <w:bCs/>
              </w:rPr>
            </w:pPr>
            <w:r w:rsidRPr="008E182D">
              <w:rPr>
                <w:b/>
                <w:bCs/>
              </w:rPr>
              <w:t>Contact:</w:t>
            </w:r>
          </w:p>
        </w:tc>
        <w:tc>
          <w:tcPr>
            <w:tcW w:w="4353" w:type="dxa"/>
            <w:gridSpan w:val="2"/>
            <w:tcBorders>
              <w:top w:val="single" w:sz="6" w:space="0" w:color="auto"/>
              <w:bottom w:val="single" w:sz="6" w:space="0" w:color="auto"/>
            </w:tcBorders>
            <w:vAlign w:val="center"/>
          </w:tcPr>
          <w:p w14:paraId="010B744A" w14:textId="10169F43" w:rsidR="00BC1D31" w:rsidRPr="008E182D" w:rsidRDefault="007940A0" w:rsidP="00BC1D31">
            <w:r w:rsidRPr="008E182D">
              <w:t>Huiqin Liu</w:t>
            </w:r>
            <w:r w:rsidR="00BC1D31" w:rsidRPr="008E182D">
              <w:br/>
            </w:r>
            <w:r w:rsidRPr="008E182D">
              <w:rPr>
                <w:rFonts w:hint="eastAsia"/>
              </w:rPr>
              <w:t>Hui</w:t>
            </w:r>
            <w:r w:rsidR="00764B72">
              <w:rPr>
                <w:lang w:val="en-US"/>
              </w:rPr>
              <w:t>mei Cloud Technology Co.Ltd.</w:t>
            </w:r>
            <w:r w:rsidR="00BC1D31" w:rsidRPr="008E182D">
              <w:br/>
            </w:r>
            <w:r w:rsidRPr="008E182D">
              <w:t>China</w:t>
            </w:r>
          </w:p>
        </w:tc>
        <w:tc>
          <w:tcPr>
            <w:tcW w:w="3587" w:type="dxa"/>
            <w:tcBorders>
              <w:top w:val="single" w:sz="6" w:space="0" w:color="auto"/>
              <w:bottom w:val="single" w:sz="6" w:space="0" w:color="auto"/>
            </w:tcBorders>
            <w:vAlign w:val="center"/>
          </w:tcPr>
          <w:p w14:paraId="2F78EBAA" w14:textId="6ECC33B5" w:rsidR="00BC1D31" w:rsidRPr="00BC1D31" w:rsidRDefault="007940A0" w:rsidP="007940A0">
            <w:pPr>
              <w:rPr>
                <w:highlight w:val="yellow"/>
              </w:rPr>
            </w:pPr>
            <w:r w:rsidRPr="00737CF9">
              <w:t xml:space="preserve">Tel: </w:t>
            </w:r>
            <w:r w:rsidRPr="00737CF9">
              <w:tab/>
              <w:t>+86 185 1089 1840</w:t>
            </w:r>
            <w:r w:rsidR="00BC1D31">
              <w:rPr>
                <w:highlight w:val="yellow"/>
              </w:rPr>
              <w:br/>
            </w:r>
            <w:r w:rsidR="00BC1D31">
              <w:rPr>
                <w:highlight w:val="yellow"/>
              </w:rPr>
              <w:br/>
            </w:r>
            <w:r>
              <w:rPr>
                <w:lang w:val="en-US"/>
              </w:rPr>
              <w:t xml:space="preserve">Email:  </w:t>
            </w:r>
            <w:hyperlink r:id="rId12" w:history="1">
              <w:r w:rsidR="003B1DEB" w:rsidRPr="002B0021">
                <w:rPr>
                  <w:rStyle w:val="Hyperlink"/>
                  <w:lang w:val="en-US"/>
                </w:rPr>
                <w:t>liuhuiqin@huimei.com</w:t>
              </w:r>
            </w:hyperlink>
            <w:r w:rsidR="003B1DEB">
              <w:rPr>
                <w:lang w:val="en-US"/>
              </w:rPr>
              <w:t xml:space="preserve"> </w:t>
            </w:r>
            <w:bookmarkStart w:id="4" w:name="_GoBack"/>
            <w:bookmarkEnd w:id="4"/>
          </w:p>
        </w:tc>
      </w:tr>
    </w:tbl>
    <w:p w14:paraId="047EC68D" w14:textId="77777777" w:rsidR="00E03557" w:rsidRPr="007940A0" w:rsidRDefault="00E03557" w:rsidP="00E03557">
      <w:pPr>
        <w:rPr>
          <w:lang w:val="en-US"/>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224554EA" w14:textId="77777777" w:rsidTr="003041ED">
        <w:trPr>
          <w:cantSplit/>
          <w:trHeight w:val="1773"/>
          <w:jc w:val="center"/>
        </w:trPr>
        <w:tc>
          <w:tcPr>
            <w:tcW w:w="1701" w:type="dxa"/>
          </w:tcPr>
          <w:p w14:paraId="0E93B849" w14:textId="77777777" w:rsidR="00E03557" w:rsidRPr="00E03557" w:rsidRDefault="00E03557" w:rsidP="00E03557">
            <w:pPr>
              <w:rPr>
                <w:b/>
                <w:bCs/>
              </w:rPr>
            </w:pPr>
            <w:r w:rsidRPr="00E03557">
              <w:rPr>
                <w:b/>
                <w:bCs/>
              </w:rPr>
              <w:t>Abstract:</w:t>
            </w:r>
          </w:p>
        </w:tc>
        <w:tc>
          <w:tcPr>
            <w:tcW w:w="7939" w:type="dxa"/>
          </w:tcPr>
          <w:p w14:paraId="40E8139D" w14:textId="5878B3C5" w:rsidR="00E03557" w:rsidRPr="00FF4BD4" w:rsidRDefault="00FF4BD4" w:rsidP="00247582">
            <w:pPr>
              <w:rPr>
                <w:lang w:val="en-US" w:eastAsia="zh-CN"/>
              </w:rPr>
            </w:pPr>
            <w:r w:rsidRPr="00096CCB">
              <w:t>Great progress has been made in stroke treatment in China, but still some problems are remained</w:t>
            </w:r>
            <w:r w:rsidRPr="00096CCB">
              <w:t>：</w:t>
            </w:r>
            <w:r w:rsidRPr="00096CCB">
              <w:t xml:space="preserve">(1) How to improve the low efficiency of  </w:t>
            </w:r>
            <w:r>
              <w:t>hospital</w:t>
            </w:r>
            <w:r w:rsidRPr="00096CCB">
              <w:t xml:space="preserve"> information system that delays the treatment; (2)</w:t>
            </w:r>
            <w:r>
              <w:t xml:space="preserve"> </w:t>
            </w:r>
            <w:r w:rsidRPr="00096CCB">
              <w:t>How to improve the low quality of EMR data that affects data utilization and decision support; (3) How to extend quality medical resources to patients across the country.</w:t>
            </w:r>
            <w:r w:rsidR="00247582">
              <w:rPr>
                <w:rFonts w:hint="eastAsia"/>
              </w:rPr>
              <w:t xml:space="preserve"> </w:t>
            </w:r>
            <w:r>
              <w:t xml:space="preserve">This article </w:t>
            </w:r>
            <w:r>
              <w:rPr>
                <w:rFonts w:hint="eastAsia"/>
              </w:rPr>
              <w:t>i</w:t>
            </w:r>
            <w:r>
              <w:rPr>
                <w:lang w:val="en-US"/>
              </w:rPr>
              <w:t>s expected to have a method to solve it .</w:t>
            </w:r>
          </w:p>
        </w:tc>
      </w:tr>
    </w:tbl>
    <w:bookmarkEnd w:id="3"/>
    <w:p w14:paraId="1D2D2642" w14:textId="77777777" w:rsidR="00C669EB" w:rsidRDefault="00C669EB" w:rsidP="00C669EB">
      <w:pPr>
        <w:rPr>
          <w:b/>
          <w:szCs w:val="20"/>
          <w:lang w:val="en-US"/>
        </w:rPr>
      </w:pPr>
      <w:r w:rsidRPr="00C669EB">
        <w:rPr>
          <w:b/>
          <w:szCs w:val="20"/>
          <w:lang w:val="en-US"/>
        </w:rPr>
        <w:t xml:space="preserve">Overview </w:t>
      </w:r>
    </w:p>
    <w:p w14:paraId="185AF5FF" w14:textId="5E105F6E" w:rsidR="00591D7C" w:rsidRPr="00CA454F" w:rsidRDefault="00FF4BD4" w:rsidP="007940A0">
      <w:pPr>
        <w:rPr>
          <w:color w:val="000000" w:themeColor="text1"/>
          <w:lang w:val="en-US"/>
        </w:rPr>
      </w:pPr>
      <w:r w:rsidRPr="00CA454F">
        <w:rPr>
          <w:color w:val="000000" w:themeColor="text1"/>
        </w:rPr>
        <w:t>“</w:t>
      </w:r>
      <w:r w:rsidRPr="00CA454F">
        <w:rPr>
          <w:i/>
          <w:color w:val="000000" w:themeColor="text1"/>
        </w:rPr>
        <w:t>China Stroke Prevention and Treatment Report 2017</w:t>
      </w:r>
      <w:r w:rsidRPr="00CA454F">
        <w:rPr>
          <w:color w:val="000000" w:themeColor="text1"/>
        </w:rPr>
        <w:t>” indicates, cerebrovascular diseases are the major cause reducing life span, the incidence rate continually increases by 50% which will reach 1.2 million cases in 2030. “The lancet” survey shows China’s overall Healthcare Access and Quality (HAQ) index of 78 but stroke HAQ index of 31</w:t>
      </w:r>
      <w:r w:rsidR="00247582" w:rsidRPr="00CA454F">
        <w:rPr>
          <w:color w:val="000000" w:themeColor="text1"/>
        </w:rPr>
        <w:t xml:space="preserve">. </w:t>
      </w:r>
    </w:p>
    <w:p w14:paraId="52C378B0" w14:textId="39C580EA" w:rsidR="0000417E" w:rsidRPr="00CA454F" w:rsidRDefault="0000417E" w:rsidP="007940A0">
      <w:pPr>
        <w:rPr>
          <w:color w:val="000000" w:themeColor="text1"/>
          <w:lang w:val="en-US"/>
        </w:rPr>
      </w:pPr>
      <w:r w:rsidRPr="00CA454F">
        <w:rPr>
          <w:color w:val="000000" w:themeColor="text1"/>
          <w:lang w:val="en-US"/>
        </w:rPr>
        <w:t>World stroke day is organized by 50 countries around the world. The theme is "one in six". One person dies of stroke every six seconds; Every six seconds, one person is permanently disabled by a stroke.</w:t>
      </w:r>
      <w:r w:rsidR="00AC362E" w:rsidRPr="00CA454F">
        <w:rPr>
          <w:color w:val="000000" w:themeColor="text1"/>
        </w:rPr>
        <w:t xml:space="preserve"> </w:t>
      </w:r>
      <w:r w:rsidR="00AC362E" w:rsidRPr="00CA454F">
        <w:rPr>
          <w:color w:val="000000" w:themeColor="text1"/>
          <w:lang w:val="en-US"/>
        </w:rPr>
        <w:t>The death rate from stroke continues to climb in China, increasing by 10% a year.</w:t>
      </w:r>
    </w:p>
    <w:p w14:paraId="44497B8E" w14:textId="0E0275EE" w:rsidR="00B12A9F" w:rsidRPr="00CA454F" w:rsidRDefault="00B12A9F" w:rsidP="007940A0">
      <w:pPr>
        <w:rPr>
          <w:color w:val="000000" w:themeColor="text1"/>
          <w:lang w:val="en-US" w:eastAsia="zh-CN"/>
        </w:rPr>
      </w:pPr>
      <w:r w:rsidRPr="00CA454F">
        <w:rPr>
          <w:color w:val="000000" w:themeColor="text1"/>
          <w:lang w:val="en-US"/>
        </w:rPr>
        <w:t>Globally, there are 15 million new cases of stroke and 6 million deaths every year. China accounts for nearly one third of the world's stroke patients.</w:t>
      </w:r>
    </w:p>
    <w:p w14:paraId="749BFA65" w14:textId="6CBEEDE2" w:rsidR="00591D7C" w:rsidRPr="00CA454F" w:rsidRDefault="00AC362E" w:rsidP="007940A0">
      <w:pPr>
        <w:rPr>
          <w:color w:val="000000" w:themeColor="text1"/>
          <w:lang w:val="en-US" w:eastAsia="zh-CN"/>
        </w:rPr>
      </w:pPr>
      <w:r w:rsidRPr="00CA454F">
        <w:rPr>
          <w:color w:val="000000" w:themeColor="text1"/>
        </w:rPr>
        <w:t>Thus, t</w:t>
      </w:r>
      <w:r w:rsidR="00591D7C" w:rsidRPr="00CA454F">
        <w:rPr>
          <w:color w:val="000000" w:themeColor="text1"/>
        </w:rPr>
        <w:t>he medical quality and standard of stroke in China keeps rising, but still needs to be improved. For example, the proportion of cerebral infarction thrombolysis in 3 hours is only 2% [1] in China, and 65.9% of young, grassroots specialists fail to pass the knowledge of acute phase of stroke and secondary prevention guidelines [2]. Strengthening quality control and improving the compliance of guidelines for the diagnosis and treatment of stroke by medical staff have a positive effect on improving quality and long-term prognosis of patients.</w:t>
      </w:r>
      <w:r w:rsidRPr="00CA454F">
        <w:rPr>
          <w:color w:val="000000" w:themeColor="text1"/>
        </w:rPr>
        <w:t xml:space="preserve"> In nowadays, Medical AI tools are expected to achieve the quality control in stroke treatment, </w:t>
      </w:r>
      <w:r w:rsidRPr="00CA454F">
        <w:rPr>
          <w:color w:val="000000" w:themeColor="text1"/>
          <w:lang w:val="en-US" w:eastAsia="zh-CN"/>
        </w:rPr>
        <w:t>clinical decision supporting system (CDSS) is one of these effective tools.</w:t>
      </w:r>
    </w:p>
    <w:p w14:paraId="1EE1EED4" w14:textId="77777777" w:rsidR="00591D7C" w:rsidRPr="00CA454F" w:rsidRDefault="00591D7C" w:rsidP="007940A0">
      <w:pPr>
        <w:rPr>
          <w:color w:val="000000" w:themeColor="text1"/>
        </w:rPr>
      </w:pPr>
    </w:p>
    <w:p w14:paraId="434DF67F" w14:textId="77777777" w:rsidR="00E217CE" w:rsidRPr="00CA454F" w:rsidRDefault="00E217CE" w:rsidP="00E217CE">
      <w:pPr>
        <w:pStyle w:val="Heading1"/>
        <w:numPr>
          <w:ilvl w:val="0"/>
          <w:numId w:val="0"/>
        </w:numPr>
        <w:rPr>
          <w:color w:val="000000" w:themeColor="text1"/>
          <w:lang w:val="en-US"/>
        </w:rPr>
      </w:pPr>
      <w:r w:rsidRPr="00CA454F">
        <w:rPr>
          <w:color w:val="000000" w:themeColor="text1"/>
          <w:lang w:val="en-US"/>
        </w:rPr>
        <w:t>Impact</w:t>
      </w:r>
    </w:p>
    <w:p w14:paraId="3887E516" w14:textId="50BC449B" w:rsidR="00247582" w:rsidRPr="00F73107" w:rsidRDefault="001B7C92" w:rsidP="00247582">
      <w:pPr>
        <w:rPr>
          <w:rFonts w:eastAsia="Times New Roman"/>
          <w:color w:val="000000" w:themeColor="text1"/>
          <w:lang w:val="en-US"/>
        </w:rPr>
      </w:pPr>
      <w:r w:rsidRPr="00CA454F">
        <w:rPr>
          <w:rFonts w:eastAsia="Times New Roman"/>
          <w:color w:val="000000" w:themeColor="text1"/>
          <w:lang w:val="en-US"/>
        </w:rPr>
        <w:t xml:space="preserve">In </w:t>
      </w:r>
      <w:r w:rsidR="00BF5EA3" w:rsidRPr="00CA454F">
        <w:rPr>
          <w:rFonts w:eastAsia="Times New Roman"/>
          <w:color w:val="000000" w:themeColor="text1"/>
          <w:lang w:val="en-US"/>
        </w:rPr>
        <w:t>the past 2 years</w:t>
      </w:r>
      <w:r w:rsidRPr="00CA454F">
        <w:rPr>
          <w:rFonts w:eastAsia="Times New Roman"/>
          <w:color w:val="000000" w:themeColor="text1"/>
          <w:lang w:val="en-US"/>
        </w:rPr>
        <w:t>,</w:t>
      </w:r>
      <w:r w:rsidR="00CA454F" w:rsidRPr="00CA454F">
        <w:rPr>
          <w:rFonts w:eastAsia="Times New Roman"/>
          <w:color w:val="000000" w:themeColor="text1"/>
          <w:lang w:val="en-US"/>
        </w:rPr>
        <w:t xml:space="preserve"> </w:t>
      </w:r>
      <w:r w:rsidR="00BF5EA3" w:rsidRPr="00CA454F">
        <w:rPr>
          <w:rFonts w:eastAsia="Times New Roman"/>
          <w:color w:val="000000" w:themeColor="text1"/>
          <w:lang w:val="en-US"/>
        </w:rPr>
        <w:t>CDSS</w:t>
      </w:r>
      <w:r w:rsidRPr="00CA454F">
        <w:rPr>
          <w:rFonts w:eastAsia="Times New Roman"/>
          <w:color w:val="000000" w:themeColor="text1"/>
          <w:lang w:val="en-US"/>
        </w:rPr>
        <w:t xml:space="preserve"> applied in over 50 top hospitals in China</w:t>
      </w:r>
      <w:r w:rsidR="00BF5EA3" w:rsidRPr="00CA454F">
        <w:rPr>
          <w:rFonts w:eastAsia="Times New Roman"/>
          <w:color w:val="000000" w:themeColor="text1"/>
          <w:lang w:val="en-US"/>
        </w:rPr>
        <w:t xml:space="preserve"> that is</w:t>
      </w:r>
      <w:r w:rsidRPr="00CA454F">
        <w:rPr>
          <w:rFonts w:eastAsia="Times New Roman"/>
          <w:color w:val="000000" w:themeColor="text1"/>
          <w:lang w:val="en-US"/>
        </w:rPr>
        <w:t xml:space="preserve"> adopted into</w:t>
      </w:r>
      <w:r w:rsidR="007F3AAA">
        <w:rPr>
          <w:rFonts w:eastAsia="Times New Roman"/>
          <w:color w:val="000000" w:themeColor="text1"/>
          <w:lang w:val="en-US"/>
        </w:rPr>
        <w:t xml:space="preserve"> electronic medical record (EMR)</w:t>
      </w:r>
      <w:r w:rsidRPr="00CA454F">
        <w:rPr>
          <w:rFonts w:eastAsia="Times New Roman"/>
          <w:color w:val="000000" w:themeColor="text1"/>
          <w:lang w:val="en-US"/>
        </w:rPr>
        <w:t>, without process modification</w:t>
      </w:r>
      <w:r w:rsidR="00DF2651">
        <w:rPr>
          <w:rFonts w:eastAsia="Times New Roman"/>
          <w:color w:val="000000" w:themeColor="text1"/>
          <w:lang w:val="en-US"/>
        </w:rPr>
        <w:t>, helping more than 5</w:t>
      </w:r>
      <w:r w:rsidR="00BF5EA3" w:rsidRPr="00CA454F">
        <w:rPr>
          <w:rFonts w:eastAsia="Times New Roman"/>
          <w:color w:val="000000" w:themeColor="text1"/>
          <w:lang w:val="en-US"/>
        </w:rPr>
        <w:t>0,000 patients during diagnosis and treatment w</w:t>
      </w:r>
      <w:r w:rsidR="00CA454F">
        <w:rPr>
          <w:rFonts w:eastAsia="Times New Roman"/>
          <w:color w:val="000000" w:themeColor="text1"/>
          <w:lang w:val="en-US"/>
        </w:rPr>
        <w:t>ith thousands of stoke patients</w:t>
      </w:r>
      <w:r w:rsidR="00BF5EA3" w:rsidRPr="00CA454F">
        <w:rPr>
          <w:rFonts w:eastAsia="Times New Roman"/>
          <w:color w:val="000000" w:themeColor="text1"/>
          <w:lang w:val="en-US"/>
        </w:rPr>
        <w:t>.</w:t>
      </w:r>
      <w:r w:rsidR="004775F7">
        <w:rPr>
          <w:rFonts w:eastAsia="Times New Roman"/>
          <w:color w:val="000000" w:themeColor="text1"/>
          <w:lang w:val="en-US"/>
        </w:rPr>
        <w:t xml:space="preserve"> </w:t>
      </w:r>
      <w:r w:rsidR="00E217CE" w:rsidRPr="00CA454F">
        <w:rPr>
          <w:rFonts w:eastAsia="Times New Roman"/>
          <w:color w:val="000000" w:themeColor="text1"/>
          <w:lang w:val="en-US"/>
        </w:rPr>
        <w:t xml:space="preserve">The neurology department will expand the </w:t>
      </w:r>
      <w:r w:rsidR="00E217CE" w:rsidRPr="00CA454F">
        <w:rPr>
          <w:rFonts w:eastAsia="Times New Roman"/>
          <w:color w:val="000000" w:themeColor="text1"/>
          <w:lang w:val="en-US"/>
        </w:rPr>
        <w:lastRenderedPageBreak/>
        <w:t xml:space="preserve">applications in more diseases, such as cerebral hemorrhage and epilepsy, to explore the improvement of medical quality and efficiency by AI. </w:t>
      </w:r>
      <w:r w:rsidR="00247582" w:rsidRPr="00CA454F">
        <w:rPr>
          <w:rFonts w:eastAsia="Times New Roman"/>
          <w:color w:val="000000" w:themeColor="text1"/>
          <w:lang w:val="en-US"/>
        </w:rPr>
        <w:t xml:space="preserve"> As an important means to improve medical quality, CDSS can bring direct economic benefits to hospitals and effectively reduce medical errors and costs.</w:t>
      </w:r>
    </w:p>
    <w:p w14:paraId="21299532" w14:textId="77777777" w:rsidR="00E217CE" w:rsidRDefault="00E217CE" w:rsidP="00247582">
      <w:pPr>
        <w:pStyle w:val="Heading1"/>
        <w:numPr>
          <w:ilvl w:val="0"/>
          <w:numId w:val="0"/>
        </w:numPr>
        <w:rPr>
          <w:lang w:val="en-US"/>
        </w:rPr>
      </w:pPr>
      <w:r>
        <w:rPr>
          <w:lang w:val="en-US"/>
        </w:rPr>
        <w:t>Existing Work</w:t>
      </w:r>
    </w:p>
    <w:p w14:paraId="4CD3EE8F" w14:textId="6788C8BA" w:rsidR="00EA5B24" w:rsidRPr="00CA454F" w:rsidRDefault="003041ED" w:rsidP="00EA5B24">
      <w:pPr>
        <w:rPr>
          <w:color w:val="000000" w:themeColor="text1"/>
        </w:rPr>
      </w:pPr>
      <w:r w:rsidRPr="00CA454F">
        <w:rPr>
          <w:color w:val="000000" w:themeColor="text1"/>
        </w:rPr>
        <w:t>There are 2,458 stroke centres</w:t>
      </w:r>
      <w:r w:rsidR="00EA5B24" w:rsidRPr="00CA454F">
        <w:rPr>
          <w:color w:val="000000" w:themeColor="text1"/>
        </w:rPr>
        <w:t xml:space="preserve"> in China, in the past 10 years, the level of stroke prevention and treatment in China has been improved, and the medical quality has been significantly improved. The recurrence rate is 7.7%, comparable to European countries, and the overall prognosis is better than the global average.</w:t>
      </w:r>
    </w:p>
    <w:p w14:paraId="1F8B5924" w14:textId="77777777" w:rsidR="006D6F95" w:rsidRPr="00CA454F" w:rsidRDefault="006D6F95" w:rsidP="006D6F95">
      <w:pPr>
        <w:spacing w:before="0"/>
        <w:rPr>
          <w:color w:val="000000" w:themeColor="text1"/>
        </w:rPr>
      </w:pPr>
      <w:r w:rsidRPr="00CA454F">
        <w:rPr>
          <w:color w:val="000000" w:themeColor="text1"/>
        </w:rPr>
        <w:t> </w:t>
      </w:r>
    </w:p>
    <w:p w14:paraId="3F6700A6" w14:textId="096FD679" w:rsidR="007940A0" w:rsidRPr="0082370D" w:rsidRDefault="003041ED" w:rsidP="0082370D">
      <w:pPr>
        <w:spacing w:before="0"/>
        <w:rPr>
          <w:rFonts w:eastAsiaTheme="minorEastAsia"/>
          <w:color w:val="000000" w:themeColor="text1"/>
          <w:lang w:eastAsia="zh-CN"/>
        </w:rPr>
      </w:pPr>
      <w:r w:rsidRPr="00CA454F">
        <w:rPr>
          <w:color w:val="000000" w:themeColor="text1"/>
        </w:rPr>
        <w:t xml:space="preserve">A few medical </w:t>
      </w:r>
      <w:r w:rsidR="006D6F95" w:rsidRPr="00CA454F">
        <w:rPr>
          <w:color w:val="000000" w:themeColor="text1"/>
        </w:rPr>
        <w:t xml:space="preserve">tools use </w:t>
      </w:r>
      <w:r w:rsidR="006D6F95" w:rsidRPr="006D6F95">
        <w:rPr>
          <w:color w:val="000000" w:themeColor="text1"/>
        </w:rPr>
        <w:t>AI algorithm for indicators associated with stroke, and then sends a text notification to a neurovascular specialist if it identifies a potential large vessel blockage. Because the tool</w:t>
      </w:r>
      <w:r w:rsidR="006D6F95" w:rsidRPr="00CA454F">
        <w:rPr>
          <w:color w:val="000000" w:themeColor="text1"/>
        </w:rPr>
        <w:t>s alert</w:t>
      </w:r>
      <w:r w:rsidR="006D6F95" w:rsidRPr="006D6F95">
        <w:rPr>
          <w:color w:val="000000" w:themeColor="text1"/>
        </w:rPr>
        <w:t xml:space="preserve"> the specialist during the time a first-line provider is reviewing the i</w:t>
      </w:r>
      <w:r w:rsidR="006140E2" w:rsidRPr="00CA454F">
        <w:rPr>
          <w:color w:val="000000" w:themeColor="text1"/>
        </w:rPr>
        <w:t>nformation</w:t>
      </w:r>
      <w:r w:rsidR="006D6F95" w:rsidRPr="006D6F95">
        <w:rPr>
          <w:color w:val="000000" w:themeColor="text1"/>
        </w:rPr>
        <w:t>, patients may receive attention from a specialist earlier than they would normally. The agency stressed in its announcement that the application should not be a stand in for a full patient evaluation when diagnosing a case.</w:t>
      </w:r>
      <w:r w:rsidRPr="00CA454F">
        <w:rPr>
          <w:color w:val="000000" w:themeColor="text1"/>
        </w:rPr>
        <w:t xml:space="preserve"> In the same way, CDSS has taken an important role during entire stroke t</w:t>
      </w:r>
      <w:r w:rsidR="0078614B">
        <w:rPr>
          <w:color w:val="000000" w:themeColor="text1"/>
        </w:rPr>
        <w:t>reatment process, specially in n</w:t>
      </w:r>
      <w:r w:rsidRPr="00CA454F">
        <w:rPr>
          <w:color w:val="000000" w:themeColor="text1"/>
        </w:rPr>
        <w:t xml:space="preserve">eurology </w:t>
      </w:r>
      <w:r w:rsidR="0078614B">
        <w:rPr>
          <w:color w:val="000000" w:themeColor="text1"/>
        </w:rPr>
        <w:t xml:space="preserve">department </w:t>
      </w:r>
      <w:r w:rsidRPr="00CA454F">
        <w:rPr>
          <w:color w:val="000000" w:themeColor="text1"/>
        </w:rPr>
        <w:t>in top hospitals or Stroke Centres in recent years.</w:t>
      </w:r>
    </w:p>
    <w:p w14:paraId="6D90AEE7" w14:textId="77777777" w:rsidR="002C16E5" w:rsidRPr="007C3855" w:rsidRDefault="002C16E5" w:rsidP="00C669EB">
      <w:pPr>
        <w:pStyle w:val="Heading1"/>
        <w:numPr>
          <w:ilvl w:val="0"/>
          <w:numId w:val="0"/>
        </w:numPr>
        <w:ind w:left="432" w:hanging="432"/>
        <w:rPr>
          <w:color w:val="000000" w:themeColor="text1"/>
          <w:lang w:val="en-US"/>
        </w:rPr>
      </w:pPr>
      <w:r w:rsidRPr="007C3855">
        <w:rPr>
          <w:color w:val="000000" w:themeColor="text1"/>
          <w:lang w:val="en-US"/>
        </w:rPr>
        <w:t>Feasibility</w:t>
      </w:r>
    </w:p>
    <w:p w14:paraId="6292C283" w14:textId="5519653F" w:rsidR="007940A0" w:rsidRDefault="007940A0" w:rsidP="007940A0">
      <w:pPr>
        <w:rPr>
          <w:color w:val="000000" w:themeColor="text1"/>
          <w:lang w:val="en-US"/>
        </w:rPr>
      </w:pPr>
      <w:r w:rsidRPr="007C3855">
        <w:rPr>
          <w:color w:val="000000" w:themeColor="text1"/>
        </w:rPr>
        <w:t>In 2017, the State of Food and Drug Administr</w:t>
      </w:r>
      <w:r w:rsidR="008E182D" w:rsidRPr="007C3855">
        <w:rPr>
          <w:color w:val="000000" w:themeColor="text1"/>
        </w:rPr>
        <w:t>at</w:t>
      </w:r>
      <w:r w:rsidRPr="007C3855">
        <w:rPr>
          <w:color w:val="000000" w:themeColor="text1"/>
        </w:rPr>
        <w:t xml:space="preserve">ion of China has </w:t>
      </w:r>
      <w:r w:rsidRPr="007C3855">
        <w:rPr>
          <w:color w:val="000000" w:themeColor="text1"/>
          <w:lang w:val="en-US"/>
        </w:rPr>
        <w:t>released “</w:t>
      </w:r>
      <w:r w:rsidRPr="007C3855">
        <w:rPr>
          <w:i/>
          <w:color w:val="000000" w:themeColor="text1"/>
          <w:lang w:val="en-US"/>
        </w:rPr>
        <w:t xml:space="preserve">Medical </w:t>
      </w:r>
      <w:r w:rsidR="008E182D" w:rsidRPr="007C3855">
        <w:rPr>
          <w:i/>
          <w:color w:val="000000" w:themeColor="text1"/>
          <w:lang w:val="en-US"/>
        </w:rPr>
        <w:t>device classification catalogue</w:t>
      </w:r>
      <w:r w:rsidR="0082370D" w:rsidRPr="007C3855">
        <w:rPr>
          <w:i/>
          <w:color w:val="000000" w:themeColor="text1"/>
          <w:lang w:val="en-US"/>
        </w:rPr>
        <w:t xml:space="preserve">”. </w:t>
      </w:r>
      <w:r w:rsidRPr="007C3855">
        <w:rPr>
          <w:color w:val="000000" w:themeColor="text1"/>
          <w:lang w:val="en-US"/>
        </w:rPr>
        <w:t xml:space="preserve">In the statement, Medical AI tools has been officially recognized. </w:t>
      </w:r>
      <w:r w:rsidR="008E182D" w:rsidRPr="007C3855">
        <w:rPr>
          <w:color w:val="000000" w:themeColor="text1"/>
          <w:lang w:val="en-US"/>
        </w:rPr>
        <w:t>One of the tools</w:t>
      </w:r>
      <w:r w:rsidRPr="007C3855">
        <w:rPr>
          <w:color w:val="000000" w:themeColor="text1"/>
          <w:lang w:val="en-US"/>
        </w:rPr>
        <w:t>,</w:t>
      </w:r>
      <w:r w:rsidR="008E182D" w:rsidRPr="007C3855">
        <w:rPr>
          <w:color w:val="000000" w:themeColor="text1"/>
          <w:lang w:val="en-US"/>
        </w:rPr>
        <w:t xml:space="preserve"> </w:t>
      </w:r>
      <w:r w:rsidRPr="007C3855">
        <w:rPr>
          <w:color w:val="000000" w:themeColor="text1"/>
          <w:lang w:val="en-US"/>
        </w:rPr>
        <w:t>CDSS has been widely used in hundreds of top hospitals in China.</w:t>
      </w:r>
    </w:p>
    <w:p w14:paraId="08420D85" w14:textId="49BE90EC" w:rsidR="0082370D" w:rsidRPr="00CA454F" w:rsidRDefault="0082370D" w:rsidP="0082370D">
      <w:pPr>
        <w:rPr>
          <w:color w:val="000000" w:themeColor="text1"/>
          <w:lang w:val="en-US"/>
        </w:rPr>
      </w:pPr>
      <w:r w:rsidRPr="00CA454F">
        <w:rPr>
          <w:color w:val="000000" w:themeColor="text1"/>
          <w:lang w:val="en-US"/>
        </w:rPr>
        <w:t xml:space="preserve">Focusing on the supporting function in clinical practice, a few quality </w:t>
      </w:r>
      <w:r>
        <w:rPr>
          <w:color w:val="000000" w:themeColor="text1"/>
          <w:lang w:val="en-US"/>
        </w:rPr>
        <w:t>control system</w:t>
      </w:r>
      <w:r w:rsidR="008D7506">
        <w:rPr>
          <w:color w:val="000000" w:themeColor="text1"/>
          <w:lang w:val="en-US"/>
        </w:rPr>
        <w:t>s</w:t>
      </w:r>
      <w:r w:rsidRPr="00CA454F">
        <w:rPr>
          <w:color w:val="000000" w:themeColor="text1"/>
          <w:lang w:val="en-US"/>
        </w:rPr>
        <w:t xml:space="preserve"> have been offered in medical market. Here a type of CDSS which integrated C</w:t>
      </w:r>
      <w:r w:rsidRPr="00CA454F">
        <w:rPr>
          <w:rFonts w:hint="eastAsia"/>
          <w:color w:val="000000" w:themeColor="text1"/>
          <w:lang w:val="en-US" w:eastAsia="zh-CN"/>
        </w:rPr>
        <w:t>hin</w:t>
      </w:r>
      <w:r w:rsidRPr="00CA454F">
        <w:rPr>
          <w:color w:val="000000" w:themeColor="text1"/>
          <w:lang w:val="en-US" w:eastAsia="zh-CN"/>
        </w:rPr>
        <w:t>ese authoritative guidelines and knowledge b</w:t>
      </w:r>
      <w:r w:rsidRPr="00CA454F">
        <w:rPr>
          <w:color w:val="000000" w:themeColor="text1"/>
          <w:lang w:val="en-US"/>
        </w:rPr>
        <w:t>asis from Mayo Clinic has been adopted in a cutting edge stroke center in China, and 11 quality control indicators of stroke have been set up. (Figure 2 &amp; Figure 3)</w:t>
      </w:r>
    </w:p>
    <w:p w14:paraId="690D6607" w14:textId="5B28EF35" w:rsidR="0082370D" w:rsidRPr="0082370D" w:rsidRDefault="0082370D" w:rsidP="0082370D">
      <w:pPr>
        <w:rPr>
          <w:color w:val="000000" w:themeColor="text1"/>
          <w:lang w:val="en-US"/>
        </w:rPr>
      </w:pPr>
      <w:r w:rsidRPr="0082370D">
        <w:rPr>
          <w:rFonts w:hint="eastAsia"/>
          <w:color w:val="000000" w:themeColor="text1"/>
          <w:lang w:val="en-US"/>
        </w:rPr>
        <w:t>Working process</w:t>
      </w:r>
      <w:r w:rsidRPr="0082370D">
        <w:rPr>
          <w:color w:val="000000" w:themeColor="text1"/>
          <w:lang w:val="en-US"/>
        </w:rPr>
        <w:t xml:space="preserve"> </w:t>
      </w:r>
      <w:r w:rsidRPr="0082370D">
        <w:rPr>
          <w:rFonts w:hint="eastAsia"/>
          <w:color w:val="000000" w:themeColor="text1"/>
          <w:lang w:val="en-US"/>
        </w:rPr>
        <w:t>is</w:t>
      </w:r>
      <w:r w:rsidRPr="0082370D">
        <w:rPr>
          <w:color w:val="000000" w:themeColor="text1"/>
          <w:lang w:val="en-US"/>
        </w:rPr>
        <w:t xml:space="preserve"> as follows</w:t>
      </w:r>
      <w:r w:rsidRPr="0082370D">
        <w:rPr>
          <w:rFonts w:hint="eastAsia"/>
          <w:color w:val="000000" w:themeColor="text1"/>
          <w:lang w:val="en-US"/>
        </w:rPr>
        <w:t>:</w:t>
      </w:r>
    </w:p>
    <w:p w14:paraId="42101C05" w14:textId="1CDDC7D7" w:rsidR="0082370D" w:rsidRPr="00CA454F" w:rsidRDefault="0082370D" w:rsidP="0082370D">
      <w:pPr>
        <w:pStyle w:val="ListParagraph"/>
        <w:widowControl w:val="0"/>
        <w:numPr>
          <w:ilvl w:val="0"/>
          <w:numId w:val="23"/>
        </w:numPr>
        <w:spacing w:before="0"/>
        <w:contextualSpacing w:val="0"/>
        <w:jc w:val="both"/>
        <w:rPr>
          <w:color w:val="000000" w:themeColor="text1"/>
        </w:rPr>
      </w:pPr>
      <w:r w:rsidRPr="00CA454F">
        <w:rPr>
          <w:color w:val="000000" w:themeColor="text1"/>
        </w:rPr>
        <w:t>embedded</w:t>
      </w:r>
      <w:r w:rsidRPr="00CA454F">
        <w:rPr>
          <w:rFonts w:hint="eastAsia"/>
          <w:color w:val="000000" w:themeColor="text1"/>
        </w:rPr>
        <w:t xml:space="preserve"> into EMR system;</w:t>
      </w:r>
    </w:p>
    <w:p w14:paraId="7F0FC0DB" w14:textId="34EF968F" w:rsidR="0082370D" w:rsidRPr="00CA454F" w:rsidRDefault="0082370D" w:rsidP="0082370D">
      <w:pPr>
        <w:pStyle w:val="ListParagraph"/>
        <w:widowControl w:val="0"/>
        <w:numPr>
          <w:ilvl w:val="0"/>
          <w:numId w:val="23"/>
        </w:numPr>
        <w:spacing w:before="0"/>
        <w:contextualSpacing w:val="0"/>
        <w:jc w:val="both"/>
        <w:rPr>
          <w:color w:val="000000" w:themeColor="text1"/>
        </w:rPr>
      </w:pPr>
      <w:r w:rsidRPr="00CA454F">
        <w:rPr>
          <w:rFonts w:hint="eastAsia"/>
          <w:color w:val="000000" w:themeColor="text1"/>
        </w:rPr>
        <w:t>collects patients</w:t>
      </w:r>
      <w:r w:rsidRPr="00CA454F">
        <w:rPr>
          <w:color w:val="000000" w:themeColor="text1"/>
        </w:rPr>
        <w:t>’</w:t>
      </w:r>
      <w:r w:rsidRPr="00CA454F">
        <w:rPr>
          <w:rFonts w:hint="eastAsia"/>
          <w:color w:val="000000" w:themeColor="text1"/>
        </w:rPr>
        <w:t xml:space="preserve"> clinical data, including: clinical notes and prescriptions;</w:t>
      </w:r>
    </w:p>
    <w:p w14:paraId="1A6697FC" w14:textId="1BA5EBCD" w:rsidR="0082370D" w:rsidRPr="00CA454F" w:rsidRDefault="0082370D" w:rsidP="0082370D">
      <w:pPr>
        <w:pStyle w:val="ListParagraph"/>
        <w:widowControl w:val="0"/>
        <w:numPr>
          <w:ilvl w:val="0"/>
          <w:numId w:val="23"/>
        </w:numPr>
        <w:spacing w:before="0"/>
        <w:contextualSpacing w:val="0"/>
        <w:jc w:val="both"/>
        <w:rPr>
          <w:color w:val="000000" w:themeColor="text1"/>
        </w:rPr>
      </w:pPr>
      <w:r w:rsidRPr="00CA454F">
        <w:rPr>
          <w:rFonts w:hint="eastAsia"/>
          <w:color w:val="000000" w:themeColor="text1"/>
        </w:rPr>
        <w:t>identifies whether enough statins (40mg statins) has been prescribed for intensive lipid-lowering therapy</w:t>
      </w:r>
    </w:p>
    <w:p w14:paraId="6CE14CED" w14:textId="639C35B0" w:rsidR="0082370D" w:rsidRPr="00CA454F" w:rsidRDefault="0082370D" w:rsidP="0082370D">
      <w:pPr>
        <w:pStyle w:val="ListParagraph"/>
        <w:widowControl w:val="0"/>
        <w:numPr>
          <w:ilvl w:val="0"/>
          <w:numId w:val="23"/>
        </w:numPr>
        <w:spacing w:before="0"/>
        <w:contextualSpacing w:val="0"/>
        <w:jc w:val="both"/>
        <w:rPr>
          <w:color w:val="000000" w:themeColor="text1"/>
        </w:rPr>
      </w:pPr>
      <w:r w:rsidRPr="00CA454F">
        <w:rPr>
          <w:color w:val="000000" w:themeColor="text1"/>
        </w:rPr>
        <w:t>Remind</w:t>
      </w:r>
      <w:r w:rsidRPr="00CA454F">
        <w:rPr>
          <w:rFonts w:hint="eastAsia"/>
          <w:color w:val="000000" w:themeColor="text1"/>
        </w:rPr>
        <w:t xml:space="preserve"> physician in real-time when the physician had not completed the procedure.</w:t>
      </w:r>
    </w:p>
    <w:p w14:paraId="1A510AA6" w14:textId="77777777" w:rsidR="0082370D" w:rsidRPr="00CA454F" w:rsidRDefault="0082370D" w:rsidP="0082370D">
      <w:pPr>
        <w:rPr>
          <w:rFonts w:eastAsia="Times New Roman"/>
          <w:color w:val="000000" w:themeColor="text1"/>
          <w:lang w:val="en-US"/>
        </w:rPr>
      </w:pPr>
      <w:r w:rsidRPr="00CA454F">
        <w:rPr>
          <w:rFonts w:eastAsia="Times New Roman"/>
          <w:color w:val="000000" w:themeColor="text1"/>
          <w:lang w:val="en-US"/>
        </w:rPr>
        <w:t xml:space="preserve">                 </w:t>
      </w:r>
      <w:r w:rsidRPr="00CA454F">
        <w:rPr>
          <w:noProof/>
          <w:color w:val="000000" w:themeColor="text1"/>
          <w:lang w:eastAsia="zh-CN"/>
        </w:rPr>
        <w:drawing>
          <wp:inline distT="0" distB="0" distL="0" distR="0" wp14:anchorId="35DD8E1F" wp14:editId="0FA20DB0">
            <wp:extent cx="4228694" cy="2384962"/>
            <wp:effectExtent l="0" t="0" r="0" b="3175"/>
            <wp:docPr id="6" name="图片 6" descr="WX20180827-194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X20180827-19453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9397" cy="2396639"/>
                    </a:xfrm>
                    <a:prstGeom prst="rect">
                      <a:avLst/>
                    </a:prstGeom>
                    <a:noFill/>
                    <a:ln>
                      <a:noFill/>
                    </a:ln>
                  </pic:spPr>
                </pic:pic>
              </a:graphicData>
            </a:graphic>
          </wp:inline>
        </w:drawing>
      </w:r>
    </w:p>
    <w:p w14:paraId="3212412C" w14:textId="77777777" w:rsidR="0082370D" w:rsidRPr="00CA454F" w:rsidRDefault="0082370D" w:rsidP="0082370D">
      <w:pPr>
        <w:rPr>
          <w:color w:val="000000" w:themeColor="text1"/>
        </w:rPr>
      </w:pPr>
      <w:r w:rsidRPr="00CA454F">
        <w:rPr>
          <w:color w:val="000000" w:themeColor="text1"/>
        </w:rPr>
        <w:t xml:space="preserve">                      Figure 2. Medical AI Quality Control</w:t>
      </w:r>
      <w:r w:rsidRPr="00CA454F">
        <w:rPr>
          <w:color w:val="000000" w:themeColor="text1"/>
          <w:lang w:val="en-US" w:eastAsia="zh-CN"/>
        </w:rPr>
        <w:t xml:space="preserve"> reminding process</w:t>
      </w:r>
    </w:p>
    <w:p w14:paraId="015AF7AD" w14:textId="77777777" w:rsidR="0082370D" w:rsidRPr="00CA454F" w:rsidRDefault="0082370D" w:rsidP="0082370D">
      <w:pPr>
        <w:jc w:val="center"/>
        <w:rPr>
          <w:color w:val="000000" w:themeColor="text1"/>
        </w:rPr>
      </w:pPr>
    </w:p>
    <w:tbl>
      <w:tblPr>
        <w:tblStyle w:val="TableGrid"/>
        <w:tblpPr w:leftFromText="180" w:rightFromText="180" w:vertAnchor="text" w:horzAnchor="page" w:tblpX="1241" w:tblpY="216"/>
        <w:tblW w:w="9219" w:type="dxa"/>
        <w:tblLook w:val="04A0" w:firstRow="1" w:lastRow="0" w:firstColumn="1" w:lastColumn="0" w:noHBand="0" w:noVBand="1"/>
      </w:tblPr>
      <w:tblGrid>
        <w:gridCol w:w="3256"/>
        <w:gridCol w:w="5963"/>
      </w:tblGrid>
      <w:tr w:rsidR="0082370D" w:rsidRPr="00AA027A" w14:paraId="21559A92" w14:textId="77777777" w:rsidTr="00500B36">
        <w:tc>
          <w:tcPr>
            <w:tcW w:w="3256" w:type="dxa"/>
          </w:tcPr>
          <w:p w14:paraId="19DC4E4A" w14:textId="77777777" w:rsidR="0082370D" w:rsidRPr="002926F9" w:rsidRDefault="0082370D" w:rsidP="00500B36">
            <w:pPr>
              <w:jc w:val="center"/>
              <w:rPr>
                <w:rFonts w:ascii="Arial" w:hAnsi="Arial" w:cs="Arial"/>
                <w:b/>
                <w:sz w:val="18"/>
              </w:rPr>
            </w:pPr>
            <w:r w:rsidRPr="003F3310">
              <w:rPr>
                <w:rFonts w:ascii="Arial" w:eastAsia="Microsoft YaHei Light" w:hAnsi="Arial" w:cs="Arial"/>
                <w:color w:val="000000" w:themeColor="text1"/>
                <w:sz w:val="18"/>
                <w:szCs w:val="20"/>
              </w:rPr>
              <w:lastRenderedPageBreak/>
              <w:t>NIHSS scoring</w:t>
            </w:r>
          </w:p>
        </w:tc>
        <w:tc>
          <w:tcPr>
            <w:tcW w:w="5963" w:type="dxa"/>
          </w:tcPr>
          <w:p w14:paraId="33B42754" w14:textId="77777777" w:rsidR="0082370D" w:rsidRPr="002926F9" w:rsidRDefault="0082370D" w:rsidP="00500B36">
            <w:pPr>
              <w:jc w:val="center"/>
              <w:rPr>
                <w:rFonts w:ascii="Arial" w:eastAsia="Microsoft YaHei Light" w:hAnsi="Arial" w:cs="Arial"/>
                <w:b/>
                <w:color w:val="000000" w:themeColor="text1"/>
                <w:sz w:val="18"/>
                <w:szCs w:val="20"/>
              </w:rPr>
            </w:pPr>
            <w:r w:rsidRPr="003F3310">
              <w:rPr>
                <w:rFonts w:ascii="Arial" w:eastAsia="Microsoft YaHei Light" w:hAnsi="Arial" w:cs="Arial"/>
                <w:color w:val="000000" w:themeColor="text1"/>
                <w:sz w:val="18"/>
                <w:szCs w:val="20"/>
              </w:rPr>
              <w:t>NIHSS (National Institute of Health Stroke Scale )scoring must be done in each day</w:t>
            </w:r>
          </w:p>
        </w:tc>
      </w:tr>
      <w:tr w:rsidR="0082370D" w:rsidRPr="00AA027A" w14:paraId="4B98125C" w14:textId="77777777" w:rsidTr="00500B36">
        <w:trPr>
          <w:trHeight w:val="579"/>
        </w:trPr>
        <w:tc>
          <w:tcPr>
            <w:tcW w:w="3256" w:type="dxa"/>
          </w:tcPr>
          <w:p w14:paraId="6C179516"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Antithrombotic therapy within 48 hours</w:t>
            </w:r>
          </w:p>
        </w:tc>
        <w:tc>
          <w:tcPr>
            <w:tcW w:w="5963" w:type="dxa"/>
          </w:tcPr>
          <w:p w14:paraId="5FBF5E78"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hAnsi="Arial" w:cs="Arial"/>
                <w:sz w:val="18"/>
                <w:bdr w:val="nil"/>
              </w:rPr>
              <w:t>Antithrombotic therapy must be administered within 48 hours after admission</w:t>
            </w:r>
          </w:p>
        </w:tc>
      </w:tr>
      <w:tr w:rsidR="0082370D" w:rsidRPr="00AA027A" w14:paraId="6E48BAD0" w14:textId="77777777" w:rsidTr="00500B36">
        <w:tc>
          <w:tcPr>
            <w:tcW w:w="3256" w:type="dxa"/>
          </w:tcPr>
          <w:p w14:paraId="24053B6D"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Water Swallow test</w:t>
            </w:r>
          </w:p>
        </w:tc>
        <w:tc>
          <w:tcPr>
            <w:tcW w:w="5963" w:type="dxa"/>
          </w:tcPr>
          <w:p w14:paraId="77C57C91"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Swallowing function should be evaluated after admission, and feeding instruction and rehabilitation should be conducted for patients with abnormal conditions</w:t>
            </w:r>
          </w:p>
        </w:tc>
      </w:tr>
      <w:tr w:rsidR="0082370D" w:rsidRPr="00AA027A" w14:paraId="19FD2914" w14:textId="77777777" w:rsidTr="00500B36">
        <w:tc>
          <w:tcPr>
            <w:tcW w:w="3256" w:type="dxa"/>
          </w:tcPr>
          <w:p w14:paraId="7733AC61"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DVT prophylaxis</w:t>
            </w:r>
          </w:p>
        </w:tc>
        <w:tc>
          <w:tcPr>
            <w:tcW w:w="5963" w:type="dxa"/>
          </w:tcPr>
          <w:p w14:paraId="1468F7F5"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Patients with less than 3 grade of muscle</w:t>
            </w:r>
            <w:r>
              <w:rPr>
                <w:rFonts w:ascii="Arial" w:eastAsia="Microsoft YaHei Light" w:hAnsi="Arial" w:cs="Arial"/>
                <w:color w:val="000000" w:themeColor="text1"/>
                <w:sz w:val="18"/>
                <w:szCs w:val="20"/>
              </w:rPr>
              <w:t xml:space="preserve"> strength of lower limbs should </w:t>
            </w:r>
            <w:r w:rsidRPr="00AA027A">
              <w:rPr>
                <w:rFonts w:ascii="Arial" w:eastAsia="Microsoft YaHei Light" w:hAnsi="Arial" w:cs="Arial"/>
                <w:color w:val="000000" w:themeColor="text1"/>
                <w:sz w:val="18"/>
                <w:szCs w:val="20"/>
              </w:rPr>
              <w:t>accept deep venous thrombosis prevention</w:t>
            </w:r>
          </w:p>
        </w:tc>
      </w:tr>
      <w:tr w:rsidR="0082370D" w:rsidRPr="00AA027A" w14:paraId="641718BC" w14:textId="77777777" w:rsidTr="00500B36">
        <w:tc>
          <w:tcPr>
            <w:tcW w:w="3256" w:type="dxa"/>
          </w:tcPr>
          <w:p w14:paraId="201DAB26"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Rehabilitation evaluation</w:t>
            </w:r>
          </w:p>
        </w:tc>
        <w:tc>
          <w:tcPr>
            <w:tcW w:w="5963" w:type="dxa"/>
          </w:tcPr>
          <w:p w14:paraId="2D3BA434" w14:textId="77777777" w:rsidR="0082370D" w:rsidRPr="00AA027A" w:rsidRDefault="0082370D" w:rsidP="00500B36">
            <w:pPr>
              <w:rPr>
                <w:rFonts w:ascii="Arial" w:eastAsia="Microsoft YaHei Light" w:hAnsi="Arial" w:cs="Arial"/>
                <w:color w:val="000000" w:themeColor="text1"/>
                <w:sz w:val="18"/>
                <w:szCs w:val="20"/>
              </w:rPr>
            </w:pPr>
            <w:r>
              <w:rPr>
                <w:rFonts w:ascii="Microsoft YaHei Light" w:eastAsia="Microsoft YaHei Light" w:hAnsi="Microsoft YaHei Light" w:hint="eastAsia"/>
                <w:color w:val="000000" w:themeColor="text1"/>
                <w:sz w:val="20"/>
                <w:szCs w:val="20"/>
              </w:rPr>
              <w:t>R</w:t>
            </w:r>
            <w:r w:rsidRPr="008E182D">
              <w:rPr>
                <w:rFonts w:ascii="Arial" w:eastAsia="Microsoft YaHei Light" w:hAnsi="Arial" w:cs="Arial" w:hint="eastAsia"/>
                <w:color w:val="000000" w:themeColor="text1"/>
                <w:sz w:val="18"/>
                <w:szCs w:val="20"/>
              </w:rPr>
              <w:t>ehabilitation department consolation should be ordered and corresponding treatments should be provided</w:t>
            </w:r>
          </w:p>
        </w:tc>
      </w:tr>
      <w:tr w:rsidR="0082370D" w:rsidRPr="00AA027A" w14:paraId="74CAA8AB" w14:textId="77777777" w:rsidTr="00500B36">
        <w:trPr>
          <w:trHeight w:val="374"/>
        </w:trPr>
        <w:tc>
          <w:tcPr>
            <w:tcW w:w="3256" w:type="dxa"/>
          </w:tcPr>
          <w:p w14:paraId="651CC6D3"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Post-discharge antithrombotic therapy</w:t>
            </w:r>
          </w:p>
        </w:tc>
        <w:tc>
          <w:tcPr>
            <w:tcW w:w="5963" w:type="dxa"/>
          </w:tcPr>
          <w:p w14:paraId="1C048763"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Antithrombotic drugs should be prescribed at discharge</w:t>
            </w:r>
          </w:p>
        </w:tc>
      </w:tr>
      <w:tr w:rsidR="0082370D" w:rsidRPr="00AA027A" w14:paraId="01BA008F" w14:textId="77777777" w:rsidTr="00500B36">
        <w:tc>
          <w:tcPr>
            <w:tcW w:w="3256" w:type="dxa"/>
          </w:tcPr>
          <w:p w14:paraId="1DB5A1CF"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Post-charge antihypertensive therapy</w:t>
            </w:r>
          </w:p>
        </w:tc>
        <w:tc>
          <w:tcPr>
            <w:tcW w:w="5963" w:type="dxa"/>
          </w:tcPr>
          <w:p w14:paraId="5C0D3513"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Antihypertensive drugs should be prescribed at discharge in patients with hypertension</w:t>
            </w:r>
          </w:p>
        </w:tc>
      </w:tr>
      <w:tr w:rsidR="0082370D" w:rsidRPr="00AA027A" w14:paraId="26CF17FD" w14:textId="77777777" w:rsidTr="00500B36">
        <w:tc>
          <w:tcPr>
            <w:tcW w:w="3256" w:type="dxa"/>
          </w:tcPr>
          <w:p w14:paraId="57B41B94" w14:textId="77777777" w:rsidR="0082370D" w:rsidRPr="00AA027A" w:rsidRDefault="0082370D" w:rsidP="00500B36">
            <w:pPr>
              <w:rPr>
                <w:rFonts w:ascii="Arial" w:hAnsi="Arial" w:cs="Arial"/>
                <w:sz w:val="18"/>
              </w:rPr>
            </w:pPr>
            <w:r w:rsidRPr="00AA027A">
              <w:rPr>
                <w:rFonts w:ascii="Arial" w:eastAsia="Microsoft YaHei Light" w:hAnsi="Arial" w:cs="Arial"/>
                <w:color w:val="000000" w:themeColor="text1"/>
                <w:sz w:val="18"/>
                <w:szCs w:val="20"/>
              </w:rPr>
              <w:t>Intensive lipid-lowering therapy</w:t>
            </w:r>
          </w:p>
        </w:tc>
        <w:tc>
          <w:tcPr>
            <w:tcW w:w="5963" w:type="dxa"/>
          </w:tcPr>
          <w:p w14:paraId="3392EE5C"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Intensive lipid-lowering therapy should be initiated as early as possible after admission for patients with non-cardiogenic embolism</w:t>
            </w:r>
          </w:p>
        </w:tc>
      </w:tr>
      <w:tr w:rsidR="0082370D" w:rsidRPr="00AA027A" w14:paraId="221CBE77" w14:textId="77777777" w:rsidTr="00500B36">
        <w:tc>
          <w:tcPr>
            <w:tcW w:w="3256" w:type="dxa"/>
          </w:tcPr>
          <w:p w14:paraId="71D81335"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Post-charge statin therapy</w:t>
            </w:r>
          </w:p>
        </w:tc>
        <w:tc>
          <w:tcPr>
            <w:tcW w:w="5963" w:type="dxa"/>
          </w:tcPr>
          <w:p w14:paraId="0965D157"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statins should be prescribed for discharged patients with non-cardiogenic embolism</w:t>
            </w:r>
          </w:p>
        </w:tc>
      </w:tr>
      <w:tr w:rsidR="0082370D" w:rsidRPr="00AA027A" w14:paraId="12012D2A" w14:textId="77777777" w:rsidTr="00500B36">
        <w:tc>
          <w:tcPr>
            <w:tcW w:w="3256" w:type="dxa"/>
          </w:tcPr>
          <w:p w14:paraId="43C39620"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Post-charge glycemic control</w:t>
            </w:r>
          </w:p>
        </w:tc>
        <w:tc>
          <w:tcPr>
            <w:tcW w:w="5963" w:type="dxa"/>
          </w:tcPr>
          <w:p w14:paraId="41631A9F"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Antidiabetic agents should be prescribed for discharged patients with diabetes mellitus</w:t>
            </w:r>
          </w:p>
        </w:tc>
      </w:tr>
      <w:tr w:rsidR="0082370D" w:rsidRPr="00AA027A" w14:paraId="29C5DE4F" w14:textId="77777777" w:rsidTr="00500B36">
        <w:tc>
          <w:tcPr>
            <w:tcW w:w="3256" w:type="dxa"/>
          </w:tcPr>
          <w:p w14:paraId="522E7135"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Post-charge anticoagulant therapy for patients with atrial fibrillatio</w:t>
            </w:r>
          </w:p>
        </w:tc>
        <w:tc>
          <w:tcPr>
            <w:tcW w:w="5963" w:type="dxa"/>
          </w:tcPr>
          <w:p w14:paraId="5AB9ECFF" w14:textId="77777777" w:rsidR="0082370D" w:rsidRPr="00AA027A" w:rsidRDefault="0082370D" w:rsidP="00500B36">
            <w:pPr>
              <w:rPr>
                <w:rFonts w:ascii="Arial" w:eastAsia="Microsoft YaHei Light" w:hAnsi="Arial" w:cs="Arial"/>
                <w:color w:val="000000" w:themeColor="text1"/>
                <w:sz w:val="18"/>
                <w:szCs w:val="20"/>
              </w:rPr>
            </w:pPr>
            <w:r w:rsidRPr="00AA027A">
              <w:rPr>
                <w:rFonts w:ascii="Arial" w:eastAsia="Microsoft YaHei Light" w:hAnsi="Arial" w:cs="Arial"/>
                <w:color w:val="000000" w:themeColor="text1"/>
                <w:sz w:val="18"/>
                <w:szCs w:val="20"/>
              </w:rPr>
              <w:t>Anticoagulants should be prescribed at discharge in patients with atrial fibrillation</w:t>
            </w:r>
          </w:p>
        </w:tc>
      </w:tr>
    </w:tbl>
    <w:p w14:paraId="20949CA5" w14:textId="0DD51D0B" w:rsidR="0082370D" w:rsidRDefault="0082370D" w:rsidP="0082370D">
      <w:pPr>
        <w:ind w:firstLine="1200"/>
      </w:pPr>
      <w:r>
        <w:t xml:space="preserve">             Figure 3. 11 quality control indicators of stroke</w:t>
      </w:r>
    </w:p>
    <w:p w14:paraId="004A1A3F" w14:textId="77777777" w:rsidR="0082370D" w:rsidRPr="007C3855" w:rsidRDefault="0082370D" w:rsidP="0082370D">
      <w:r w:rsidRPr="00096CCB">
        <w:t>Natural language processing (NLP) based on deep learning is the key technology of large-scale text recog</w:t>
      </w:r>
      <w:r>
        <w:t>nition and knowledge extraction by CDSS,</w:t>
      </w:r>
      <w:r w:rsidRPr="00096CCB">
        <w:t xml:space="preserve"> using conditional random field (CRF) ma</w:t>
      </w:r>
      <w:r>
        <w:t>chine learning method, by analys</w:t>
      </w:r>
      <w:r w:rsidRPr="00096CCB">
        <w:t>ing the definition of words</w:t>
      </w:r>
      <w:r>
        <w:t xml:space="preserve"> in EMR</w:t>
      </w:r>
      <w:r w:rsidRPr="00096CCB">
        <w:t xml:space="preserve">, </w:t>
      </w:r>
      <w:r>
        <w:t xml:space="preserve">to extract key words during stroke diagnosis and treatment processes, </w:t>
      </w:r>
      <w:r w:rsidRPr="00096CCB">
        <w:t>prompt</w:t>
      </w:r>
      <w:r>
        <w:t>ing</w:t>
      </w:r>
      <w:r w:rsidRPr="00096CCB">
        <w:t xml:space="preserve"> doctors to make more comprehensive and personalized diagnosis and treatment for patients.</w:t>
      </w:r>
    </w:p>
    <w:p w14:paraId="333CF954" w14:textId="77777777" w:rsidR="002C16E5" w:rsidRDefault="002C16E5" w:rsidP="00C669EB">
      <w:pPr>
        <w:pStyle w:val="Heading1"/>
        <w:numPr>
          <w:ilvl w:val="0"/>
          <w:numId w:val="0"/>
        </w:numPr>
        <w:ind w:left="432" w:hanging="432"/>
        <w:rPr>
          <w:lang w:val="en-US"/>
        </w:rPr>
      </w:pPr>
      <w:r w:rsidRPr="00AB24F1">
        <w:rPr>
          <w:lang w:val="en-US"/>
        </w:rPr>
        <w:t>Data Availability</w:t>
      </w:r>
    </w:p>
    <w:p w14:paraId="04918AFB" w14:textId="7CA91E64" w:rsidR="007940A0" w:rsidRDefault="007C3855" w:rsidP="002C16E5">
      <w:r>
        <w:t xml:space="preserve">The 11 quality control indicators above </w:t>
      </w:r>
      <w:r w:rsidR="002F4C8A">
        <w:t xml:space="preserve">mentioned </w:t>
      </w:r>
      <w:r>
        <w:t>are set up a</w:t>
      </w:r>
      <w:r w:rsidR="007940A0" w:rsidRPr="00096CCB">
        <w:t xml:space="preserve">ccording to AHA, ASA, Chinese guidelines and expert consensus of acute ischemic stroke and combined with experience of clinical experts, </w:t>
      </w:r>
      <w:r>
        <w:t>and they have been tested and actually applied in hospitals for years.</w:t>
      </w:r>
    </w:p>
    <w:p w14:paraId="4855E6F4" w14:textId="7721B9D3" w:rsidR="00F73107" w:rsidRPr="00CA454F" w:rsidRDefault="00F73107" w:rsidP="00F73107">
      <w:pPr>
        <w:spacing w:line="20" w:lineRule="atLeast"/>
        <w:rPr>
          <w:color w:val="000000" w:themeColor="text1"/>
        </w:rPr>
      </w:pPr>
      <w:r w:rsidRPr="00CA454F">
        <w:rPr>
          <w:color w:val="000000" w:themeColor="text1"/>
        </w:rPr>
        <w:t xml:space="preserve">The diagnosis accuracy rate in stroke treatment can reach 93.6%, that it can prompt important diagnosis and differential diagnosis that doctors did not think of or ignored. </w:t>
      </w:r>
    </w:p>
    <w:p w14:paraId="2289ED9E" w14:textId="77777777" w:rsidR="00F73107" w:rsidRPr="00CA454F" w:rsidRDefault="00F73107" w:rsidP="00F73107">
      <w:pPr>
        <w:rPr>
          <w:color w:val="000000" w:themeColor="text1"/>
          <w:lang w:val="en-US"/>
        </w:rPr>
      </w:pPr>
      <w:r w:rsidRPr="00CA454F">
        <w:rPr>
          <w:color w:val="000000" w:themeColor="text1"/>
        </w:rPr>
        <w:t xml:space="preserve">Comparison of 3-week data of ACI QC conducted by CDSS: the total average quality compliance rate of departments increased by 33.7% (table 1), and the average compliance rate of 11 key indicators was 93.85%, higher than the national average (table 2). </w:t>
      </w:r>
      <w:r w:rsidRPr="00CA454F">
        <w:rPr>
          <w:color w:val="000000" w:themeColor="text1"/>
          <w:lang w:val="en-US"/>
        </w:rPr>
        <w:t xml:space="preserve">     </w:t>
      </w:r>
    </w:p>
    <w:p w14:paraId="206D8B1C" w14:textId="77777777" w:rsidR="00F73107" w:rsidRPr="00CA454F" w:rsidRDefault="00F73107" w:rsidP="00F73107">
      <w:pPr>
        <w:rPr>
          <w:color w:val="000000" w:themeColor="text1"/>
          <w:lang w:val="en-US"/>
        </w:rPr>
      </w:pPr>
    </w:p>
    <w:p w14:paraId="257E7A4E" w14:textId="77777777" w:rsidR="00F73107" w:rsidRPr="008A7171" w:rsidRDefault="00F73107" w:rsidP="00F73107">
      <w:pPr>
        <w:rPr>
          <w:lang w:val="en-US"/>
        </w:rPr>
      </w:pPr>
      <w:r>
        <w:rPr>
          <w:lang w:val="en-US"/>
        </w:rPr>
        <w:lastRenderedPageBreak/>
        <w:t xml:space="preserve"> </w:t>
      </w:r>
      <w:r w:rsidRPr="00096CCB">
        <w:rPr>
          <w:noProof/>
          <w:lang w:eastAsia="zh-CN"/>
        </w:rPr>
        <w:drawing>
          <wp:inline distT="0" distB="0" distL="0" distR="0" wp14:anchorId="406C141A" wp14:editId="0D4C06BC">
            <wp:extent cx="6120765" cy="2493575"/>
            <wp:effectExtent l="0" t="0" r="0" b="0"/>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3F6D71" w14:textId="59A777B0" w:rsidR="00F73107" w:rsidRDefault="00F73107" w:rsidP="00F73107">
      <w:pPr>
        <w:rPr>
          <w:lang w:val="en-US"/>
        </w:rPr>
      </w:pPr>
      <w:r>
        <w:rPr>
          <w:lang w:val="en-US"/>
        </w:rPr>
        <w:t xml:space="preserve">                                     </w:t>
      </w:r>
    </w:p>
    <w:p w14:paraId="0A567440" w14:textId="77777777" w:rsidR="00F73107" w:rsidRDefault="00F73107" w:rsidP="00F73107">
      <w:pPr>
        <w:rPr>
          <w:lang w:val="en-US"/>
        </w:rPr>
      </w:pPr>
      <w:r w:rsidRPr="00096CCB">
        <w:rPr>
          <w:noProof/>
          <w:lang w:eastAsia="zh-CN"/>
        </w:rPr>
        <w:drawing>
          <wp:inline distT="0" distB="0" distL="0" distR="0" wp14:anchorId="38AB133E" wp14:editId="160E0D2A">
            <wp:extent cx="6096000" cy="3444240"/>
            <wp:effectExtent l="0" t="0" r="0" b="0"/>
            <wp:docPr id="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B679D1" w14:textId="77777777" w:rsidR="00F73107" w:rsidRDefault="00F73107" w:rsidP="00F73107">
      <w:pPr>
        <w:rPr>
          <w:lang w:val="en-US"/>
        </w:rPr>
      </w:pPr>
    </w:p>
    <w:p w14:paraId="62D2B425" w14:textId="77777777" w:rsidR="00F73107" w:rsidRPr="007C3855" w:rsidRDefault="00F73107" w:rsidP="002C16E5">
      <w:pPr>
        <w:rPr>
          <w:lang w:val="en-US" w:eastAsia="zh-CN"/>
        </w:rPr>
      </w:pPr>
    </w:p>
    <w:p w14:paraId="796FFDD7" w14:textId="262041E6" w:rsidR="00013783" w:rsidRPr="00247582" w:rsidRDefault="007940A0" w:rsidP="00247582">
      <w:pPr>
        <w:rPr>
          <w:lang w:val="en-US"/>
        </w:rPr>
      </w:pPr>
      <w:r w:rsidRPr="00096CCB">
        <w:t xml:space="preserve">By using </w:t>
      </w:r>
      <w:r w:rsidR="007C3855">
        <w:t>CDSS</w:t>
      </w:r>
      <w:r w:rsidRPr="00096CCB">
        <w:t>, the key nodes in the EMR will be automatically mapped to the knowledge base. When the EMR completed by clinician, system will automatically find that the corresponding quality control content was missing in the medical record</w:t>
      </w:r>
      <w:r w:rsidR="004775F7">
        <w:t>, and will remind the missing quality control</w:t>
      </w:r>
      <w:r w:rsidRPr="00096CCB">
        <w:t xml:space="preserve"> items in homepage of EMR. </w:t>
      </w:r>
      <w:r w:rsidR="004775F7">
        <w:t xml:space="preserve">Doctors </w:t>
      </w:r>
      <w:r w:rsidRPr="00096CCB">
        <w:t>can click on the “quality control reminding” to complete the corresponding evaluation, examination</w:t>
      </w:r>
      <w:r>
        <w:t>s</w:t>
      </w:r>
      <w:r w:rsidRPr="00096CCB">
        <w:t xml:space="preserve">, medication, etc. </w:t>
      </w:r>
      <w:r w:rsidR="004775F7">
        <w:t>Informationalized quality control</w:t>
      </w:r>
      <w:r w:rsidRPr="00096CCB">
        <w:t xml:space="preserve"> is a standardized check</w:t>
      </w:r>
      <w:r w:rsidR="008E182D">
        <w:t>-</w:t>
      </w:r>
      <w:r w:rsidRPr="00096CCB">
        <w:t>up in process</w:t>
      </w:r>
      <w:r w:rsidR="00E217CE">
        <w:rPr>
          <w:lang w:val="en-US"/>
        </w:rPr>
        <w:t>.</w:t>
      </w:r>
      <w:r w:rsidR="00013783">
        <w:rPr>
          <w:rFonts w:eastAsia="Times New Roman"/>
          <w:color w:val="000000"/>
          <w:lang w:val="en-US"/>
        </w:rPr>
        <w:t xml:space="preserve">                   </w:t>
      </w:r>
    </w:p>
    <w:p w14:paraId="55722E7A" w14:textId="3AEB20AE" w:rsidR="00013783" w:rsidRPr="00E217CE" w:rsidRDefault="00663C33" w:rsidP="00E217CE">
      <w:pPr>
        <w:spacing w:after="240" w:line="20" w:lineRule="atLeast"/>
      </w:pPr>
      <w:r>
        <w:t>I</w:t>
      </w:r>
      <w:r w:rsidR="00013783" w:rsidRPr="00096CCB">
        <w:t>n summary, information technology can help hospitals get real-time monitoring, boost the inspection speed of terminal medical record, guarantee the diagnosis an</w:t>
      </w:r>
      <w:r w:rsidR="004775F7">
        <w:t>d treatment in right way.</w:t>
      </w:r>
    </w:p>
    <w:p w14:paraId="186DDB29" w14:textId="77777777" w:rsidR="002C16E5" w:rsidRPr="00AB24F1" w:rsidRDefault="002C16E5" w:rsidP="00013783">
      <w:pPr>
        <w:pStyle w:val="Heading1"/>
        <w:numPr>
          <w:ilvl w:val="0"/>
          <w:numId w:val="0"/>
        </w:numPr>
        <w:rPr>
          <w:lang w:val="en-US"/>
        </w:rPr>
      </w:pPr>
      <w:r w:rsidRPr="00AB24F1">
        <w:rPr>
          <w:lang w:val="en-US"/>
        </w:rPr>
        <w:t>Benchmarking</w:t>
      </w:r>
    </w:p>
    <w:p w14:paraId="4AA3A338" w14:textId="585E1D4B" w:rsidR="00013783" w:rsidRDefault="00013783" w:rsidP="002926F9">
      <w:pPr>
        <w:spacing w:line="20" w:lineRule="atLeast"/>
      </w:pPr>
      <w:r w:rsidRPr="00B22E22">
        <w:t>A sample is suggested among persistent clinical practice in a top hospital. The evaluation could be taken in these 11 quality control indicators in</w:t>
      </w:r>
      <w:r w:rsidR="005A78BD">
        <w:t xml:space="preserve"> 3 or 6 months for verification when around 1000-3000 </w:t>
      </w:r>
      <w:r w:rsidR="005A78BD">
        <w:lastRenderedPageBreak/>
        <w:t>patients with stroke could participate this evaluation.</w:t>
      </w:r>
      <w:r w:rsidR="001F3062">
        <w:t xml:space="preserve"> </w:t>
      </w:r>
      <w:r w:rsidR="008A7171" w:rsidRPr="00096CCB">
        <w:t>The optimal text recognition F1 value through NER is 92.01% with a good effect,</w:t>
      </w:r>
      <w:r w:rsidR="008A7171">
        <w:t xml:space="preserve"> </w:t>
      </w:r>
      <w:r w:rsidR="008A7171" w:rsidRPr="00096CCB">
        <w:t>structured data automatically maps snomber-CT and ICD10, which improves system interoperability. The adoption and storage of real-time data based on EMR also provides support for clinical research and big data analysis.</w:t>
      </w:r>
    </w:p>
    <w:p w14:paraId="7B03F260" w14:textId="77777777" w:rsidR="00927A5A" w:rsidRDefault="00927A5A" w:rsidP="002926F9">
      <w:pPr>
        <w:spacing w:line="20" w:lineRule="atLeast"/>
      </w:pPr>
    </w:p>
    <w:p w14:paraId="617649DB" w14:textId="77777777" w:rsidR="00927A5A" w:rsidRDefault="00927A5A" w:rsidP="002926F9">
      <w:pPr>
        <w:spacing w:line="20" w:lineRule="atLeast"/>
      </w:pPr>
    </w:p>
    <w:p w14:paraId="11FC2F80" w14:textId="77777777" w:rsidR="00927A5A" w:rsidRDefault="00927A5A" w:rsidP="002926F9">
      <w:pPr>
        <w:spacing w:line="20" w:lineRule="atLeast"/>
        <w:rPr>
          <w:rFonts w:eastAsia="Times New Roman"/>
          <w:color w:val="000000"/>
          <w:lang w:val="en-US"/>
        </w:rPr>
      </w:pPr>
    </w:p>
    <w:p w14:paraId="3AFF7181" w14:textId="77777777" w:rsidR="00013783" w:rsidRPr="002926F9" w:rsidRDefault="00013783" w:rsidP="002926F9">
      <w:pPr>
        <w:pStyle w:val="Heading1"/>
        <w:numPr>
          <w:ilvl w:val="0"/>
          <w:numId w:val="0"/>
        </w:numPr>
        <w:rPr>
          <w:lang w:val="en-US"/>
        </w:rPr>
      </w:pPr>
      <w:r w:rsidRPr="002926F9">
        <w:rPr>
          <w:lang w:val="en-US"/>
        </w:rPr>
        <w:t>References</w:t>
      </w:r>
      <w:r w:rsidRPr="002926F9">
        <w:rPr>
          <w:lang w:val="en-US"/>
        </w:rPr>
        <w:t>：</w:t>
      </w:r>
    </w:p>
    <w:p w14:paraId="74B239FA" w14:textId="77777777" w:rsidR="00013783" w:rsidRPr="002926F9" w:rsidRDefault="00013783" w:rsidP="002926F9">
      <w:pPr>
        <w:spacing w:after="240" w:line="20" w:lineRule="atLeast"/>
        <w:rPr>
          <w:sz w:val="22"/>
        </w:rPr>
      </w:pPr>
      <w:r w:rsidRPr="002926F9">
        <w:rPr>
          <w:sz w:val="22"/>
        </w:rPr>
        <w:t>[1] http://www.medsci.cn/article/show_article.do?id=12b0e172584</w:t>
      </w:r>
    </w:p>
    <w:p w14:paraId="74671D09" w14:textId="77777777" w:rsidR="00013783" w:rsidRPr="002926F9" w:rsidRDefault="00013783" w:rsidP="002926F9">
      <w:pPr>
        <w:spacing w:after="240" w:line="20" w:lineRule="atLeast"/>
        <w:rPr>
          <w:sz w:val="22"/>
        </w:rPr>
      </w:pPr>
      <w:r w:rsidRPr="002926F9">
        <w:rPr>
          <w:sz w:val="22"/>
        </w:rPr>
        <w:t>[2]Dr.Jianping ,Jia</w:t>
      </w:r>
      <w:r w:rsidRPr="002926F9">
        <w:rPr>
          <w:rFonts w:ascii="Microsoft YaHei" w:eastAsia="Microsoft YaHei" w:hAnsi="Microsoft YaHei" w:cs="Microsoft YaHei" w:hint="eastAsia"/>
          <w:sz w:val="22"/>
        </w:rPr>
        <w:t>，</w:t>
      </w:r>
      <w:r w:rsidRPr="002926F9">
        <w:rPr>
          <w:sz w:val="22"/>
        </w:rPr>
        <w:t>The Promoting Project for China Neurologist’ Stroke Standardized Treatment</w:t>
      </w:r>
    </w:p>
    <w:p w14:paraId="32D1CDCB" w14:textId="77777777" w:rsidR="00013783" w:rsidRPr="002926F9" w:rsidRDefault="00013783" w:rsidP="002926F9">
      <w:pPr>
        <w:spacing w:after="240" w:line="20" w:lineRule="atLeast"/>
        <w:rPr>
          <w:sz w:val="22"/>
        </w:rPr>
      </w:pPr>
      <w:r w:rsidRPr="002926F9">
        <w:rPr>
          <w:sz w:val="22"/>
        </w:rPr>
        <w:t xml:space="preserve"> </w:t>
      </w:r>
      <w:hyperlink r:id="rId16" w:history="1">
        <w:r w:rsidRPr="002926F9">
          <w:rPr>
            <w:sz w:val="22"/>
          </w:rPr>
          <w:t>https://</w:t>
        </w:r>
      </w:hyperlink>
      <w:hyperlink r:id="rId17" w:history="1">
        <w:r w:rsidRPr="002926F9">
          <w:rPr>
            <w:sz w:val="22"/>
          </w:rPr>
          <w:t>wenku.baidu.com/view/bf65f226dd36a32d737581e4.html</w:t>
        </w:r>
      </w:hyperlink>
    </w:p>
    <w:p w14:paraId="35D0B166" w14:textId="77777777" w:rsidR="00013783" w:rsidRPr="002926F9" w:rsidRDefault="00013783" w:rsidP="002926F9">
      <w:pPr>
        <w:spacing w:after="240" w:line="20" w:lineRule="atLeast"/>
        <w:rPr>
          <w:sz w:val="22"/>
        </w:rPr>
      </w:pPr>
      <w:r w:rsidRPr="002926F9">
        <w:rPr>
          <w:sz w:val="22"/>
        </w:rPr>
        <w:t>[3]Dr.Peng,Xiang</w:t>
      </w:r>
      <w:r w:rsidRPr="002926F9">
        <w:rPr>
          <w:rFonts w:ascii="Microsoft YaHei" w:eastAsia="Microsoft YaHei" w:hAnsi="Microsoft YaHei" w:cs="Microsoft YaHei" w:hint="eastAsia"/>
          <w:sz w:val="22"/>
        </w:rPr>
        <w:t>，</w:t>
      </w:r>
      <w:r w:rsidRPr="002926F9">
        <w:rPr>
          <w:sz w:val="22"/>
        </w:rPr>
        <w:t>Defang,Luo</w:t>
      </w:r>
      <w:r w:rsidRPr="002926F9">
        <w:rPr>
          <w:rFonts w:ascii="Microsoft YaHei" w:eastAsia="Microsoft YaHei" w:hAnsi="Microsoft YaHei" w:cs="Microsoft YaHei" w:hint="eastAsia"/>
          <w:sz w:val="22"/>
        </w:rPr>
        <w:t>，</w:t>
      </w:r>
      <w:r w:rsidRPr="002926F9">
        <w:rPr>
          <w:sz w:val="22"/>
        </w:rPr>
        <w:t>Study on Qualified Ration of Diagnosis through CDSS based on  Artificial Intelligence  (First prize of "excellent paper" and in publishment review)</w:t>
      </w:r>
    </w:p>
    <w:p w14:paraId="223268ED" w14:textId="77777777" w:rsidR="00013783" w:rsidRPr="002926F9" w:rsidRDefault="00013783" w:rsidP="002926F9">
      <w:pPr>
        <w:spacing w:after="240" w:line="20" w:lineRule="atLeast"/>
        <w:rPr>
          <w:sz w:val="22"/>
        </w:rPr>
      </w:pPr>
      <w:r w:rsidRPr="002926F9">
        <w:rPr>
          <w:sz w:val="22"/>
        </w:rPr>
        <w:t>[4]Nan,Cheng</w:t>
      </w:r>
      <w:r w:rsidRPr="002926F9">
        <w:rPr>
          <w:rFonts w:ascii="Microsoft YaHei" w:eastAsia="Microsoft YaHei" w:hAnsi="Microsoft YaHei" w:cs="Microsoft YaHei" w:hint="eastAsia"/>
          <w:sz w:val="22"/>
        </w:rPr>
        <w:t>，</w:t>
      </w:r>
      <w:r w:rsidRPr="002926F9">
        <w:rPr>
          <w:sz w:val="22"/>
        </w:rPr>
        <w:t>Defang,Luo</w:t>
      </w:r>
      <w:r w:rsidRPr="002926F9">
        <w:rPr>
          <w:rFonts w:ascii="Microsoft YaHei" w:eastAsia="Microsoft YaHei" w:hAnsi="Microsoft YaHei" w:cs="Microsoft YaHei" w:hint="eastAsia"/>
          <w:sz w:val="22"/>
        </w:rPr>
        <w:t>，</w:t>
      </w:r>
      <w:r w:rsidRPr="002926F9">
        <w:rPr>
          <w:sz w:val="22"/>
        </w:rPr>
        <w:t>Application Research on Electronic Medical Record based on NLP Technology</w:t>
      </w:r>
      <w:r w:rsidRPr="002926F9">
        <w:rPr>
          <w:rFonts w:ascii="Microsoft YaHei" w:eastAsia="Microsoft YaHei" w:hAnsi="Microsoft YaHei" w:cs="Microsoft YaHei" w:hint="eastAsia"/>
          <w:sz w:val="22"/>
        </w:rPr>
        <w:t>》</w:t>
      </w:r>
      <w:r w:rsidRPr="002926F9">
        <w:rPr>
          <w:sz w:val="22"/>
        </w:rPr>
        <w:t>(Second prize of "excellent paper" and in publishment review)</w:t>
      </w:r>
    </w:p>
    <w:p w14:paraId="5538A557" w14:textId="77777777" w:rsidR="002C16E5" w:rsidRPr="00AB24F1" w:rsidRDefault="002C16E5" w:rsidP="00C669EB">
      <w:pPr>
        <w:pStyle w:val="Heading1"/>
        <w:numPr>
          <w:ilvl w:val="0"/>
          <w:numId w:val="0"/>
        </w:numPr>
        <w:ind w:left="432" w:hanging="432"/>
        <w:rPr>
          <w:lang w:val="en-US"/>
        </w:rPr>
      </w:pPr>
      <w:r w:rsidRPr="00AB24F1">
        <w:rPr>
          <w:lang w:val="en-US"/>
        </w:rPr>
        <w:t>Organizer Details</w:t>
      </w:r>
    </w:p>
    <w:p w14:paraId="792BE201" w14:textId="358520C3" w:rsidR="00013783" w:rsidRDefault="00013783" w:rsidP="00013783">
      <w:pPr>
        <w:rPr>
          <w:lang w:val="en-US"/>
        </w:rPr>
      </w:pPr>
      <w:r>
        <w:t>Huimei Cloud Technology Ltd,.Co. is one of the largest providers for medical artificial intel</w:t>
      </w:r>
      <w:r w:rsidR="00AD0A07">
        <w:t>ligence</w:t>
      </w:r>
      <w:r>
        <w:t xml:space="preserve"> solutions, its extensive expertise in knowl</w:t>
      </w:r>
      <w:r w:rsidR="00AD0A07">
        <w:t>ed</w:t>
      </w:r>
      <w:r>
        <w:t xml:space="preserve">ge base on </w:t>
      </w:r>
      <w:r>
        <w:rPr>
          <w:lang w:val="en-US"/>
        </w:rPr>
        <w:t>algorithm and medical resources , and has provided its CDSS to over 50 top hospitals using in clinical practice and helped with upgrade like National evaluation and HIMSS evaluation.</w:t>
      </w:r>
    </w:p>
    <w:p w14:paraId="238A33AE" w14:textId="77777777" w:rsidR="002C16E5" w:rsidRPr="00AB24F1" w:rsidRDefault="002C16E5" w:rsidP="002C16E5">
      <w:pPr>
        <w:rPr>
          <w:rFonts w:eastAsia="Times New Roman"/>
          <w:color w:val="000000"/>
          <w:lang w:val="en-US"/>
        </w:rPr>
      </w:pPr>
    </w:p>
    <w:tbl>
      <w:tblPr>
        <w:tblStyle w:val="TableGrid"/>
        <w:tblW w:w="9628" w:type="dxa"/>
        <w:tblLook w:val="04A0" w:firstRow="1" w:lastRow="0" w:firstColumn="1" w:lastColumn="0" w:noHBand="0" w:noVBand="1"/>
      </w:tblPr>
      <w:tblGrid>
        <w:gridCol w:w="2830"/>
        <w:gridCol w:w="6798"/>
      </w:tblGrid>
      <w:tr w:rsidR="002C16E5" w:rsidRPr="00AB24F1" w14:paraId="44D54D72" w14:textId="77777777" w:rsidTr="002C16E5">
        <w:tc>
          <w:tcPr>
            <w:tcW w:w="2830" w:type="dxa"/>
          </w:tcPr>
          <w:p w14:paraId="07ED62AC" w14:textId="77777777" w:rsidR="002C16E5" w:rsidRPr="00AB24F1" w:rsidRDefault="002C16E5" w:rsidP="002C16E5">
            <w:pPr>
              <w:rPr>
                <w:lang w:val="en-US"/>
              </w:rPr>
            </w:pPr>
            <w:r w:rsidRPr="00AB24F1">
              <w:rPr>
                <w:rFonts w:eastAsia="Times New Roman"/>
                <w:b/>
                <w:color w:val="000000"/>
                <w:lang w:val="en-US"/>
              </w:rPr>
              <w:t>Organization Name</w:t>
            </w:r>
          </w:p>
        </w:tc>
        <w:tc>
          <w:tcPr>
            <w:tcW w:w="6798" w:type="dxa"/>
          </w:tcPr>
          <w:p w14:paraId="38EF0666" w14:textId="421462E7" w:rsidR="002C16E5" w:rsidRPr="00AB24F1" w:rsidRDefault="00013783" w:rsidP="002C16E5">
            <w:pPr>
              <w:rPr>
                <w:lang w:val="en-US" w:eastAsia="zh-CN"/>
              </w:rPr>
            </w:pPr>
            <w:r>
              <w:rPr>
                <w:lang w:val="en-US"/>
              </w:rPr>
              <w:t xml:space="preserve">Huimei Cloud Technology </w:t>
            </w:r>
            <w:r w:rsidR="00764B72">
              <w:rPr>
                <w:lang w:val="en-US"/>
              </w:rPr>
              <w:t>Co.Ltd.</w:t>
            </w:r>
          </w:p>
        </w:tc>
      </w:tr>
      <w:tr w:rsidR="002C16E5" w:rsidRPr="00AB24F1" w14:paraId="26934EBF" w14:textId="77777777" w:rsidTr="002C16E5">
        <w:tc>
          <w:tcPr>
            <w:tcW w:w="2830" w:type="dxa"/>
          </w:tcPr>
          <w:p w14:paraId="4608F8D0" w14:textId="77777777" w:rsidR="002C16E5" w:rsidRPr="00AB24F1" w:rsidRDefault="002C16E5" w:rsidP="002C16E5">
            <w:pPr>
              <w:rPr>
                <w:lang w:val="en-US"/>
              </w:rPr>
            </w:pPr>
            <w:r w:rsidRPr="00AB24F1">
              <w:rPr>
                <w:rFonts w:eastAsia="Times New Roman"/>
                <w:b/>
                <w:color w:val="000000"/>
                <w:lang w:val="en-US"/>
              </w:rPr>
              <w:t>Contact Name</w:t>
            </w:r>
          </w:p>
        </w:tc>
        <w:tc>
          <w:tcPr>
            <w:tcW w:w="6798" w:type="dxa"/>
          </w:tcPr>
          <w:p w14:paraId="613E1AB4" w14:textId="77777777" w:rsidR="002C16E5" w:rsidRPr="00AB24F1" w:rsidRDefault="00013783" w:rsidP="002C16E5">
            <w:pPr>
              <w:rPr>
                <w:lang w:val="en-US"/>
              </w:rPr>
            </w:pPr>
            <w:r>
              <w:rPr>
                <w:lang w:val="en-US"/>
              </w:rPr>
              <w:t>Huiqin,Liu</w:t>
            </w:r>
          </w:p>
        </w:tc>
      </w:tr>
      <w:tr w:rsidR="002C16E5" w:rsidRPr="00AB24F1" w14:paraId="1BA07782" w14:textId="77777777" w:rsidTr="002C16E5">
        <w:tc>
          <w:tcPr>
            <w:tcW w:w="2830" w:type="dxa"/>
          </w:tcPr>
          <w:p w14:paraId="7C40C9AD" w14:textId="77777777" w:rsidR="002C16E5" w:rsidRPr="00AB24F1" w:rsidRDefault="002C16E5" w:rsidP="002C16E5">
            <w:pPr>
              <w:rPr>
                <w:lang w:val="en-US"/>
              </w:rPr>
            </w:pPr>
            <w:r w:rsidRPr="00AB24F1">
              <w:rPr>
                <w:rFonts w:eastAsia="Times New Roman"/>
                <w:b/>
                <w:color w:val="000000"/>
                <w:lang w:val="en-US"/>
              </w:rPr>
              <w:t>Contact Email Address</w:t>
            </w:r>
          </w:p>
        </w:tc>
        <w:tc>
          <w:tcPr>
            <w:tcW w:w="6798" w:type="dxa"/>
          </w:tcPr>
          <w:p w14:paraId="5C85FF50" w14:textId="77777777" w:rsidR="002C16E5" w:rsidRPr="00AB24F1" w:rsidRDefault="00013783" w:rsidP="002C16E5">
            <w:pPr>
              <w:rPr>
                <w:lang w:val="en-US"/>
              </w:rPr>
            </w:pPr>
            <w:r>
              <w:rPr>
                <w:lang w:val="en-US"/>
              </w:rPr>
              <w:t>liuhuiqin@huimei.com</w:t>
            </w:r>
          </w:p>
        </w:tc>
      </w:tr>
      <w:tr w:rsidR="002C16E5" w:rsidRPr="00AB24F1" w14:paraId="23670EB3" w14:textId="77777777" w:rsidTr="002C16E5">
        <w:tc>
          <w:tcPr>
            <w:tcW w:w="2830" w:type="dxa"/>
          </w:tcPr>
          <w:p w14:paraId="761568BA" w14:textId="77777777" w:rsidR="002C16E5" w:rsidRPr="00AB24F1" w:rsidRDefault="002C16E5" w:rsidP="002C16E5">
            <w:pPr>
              <w:rPr>
                <w:lang w:val="en-US"/>
              </w:rPr>
            </w:pPr>
            <w:r w:rsidRPr="00AB24F1">
              <w:rPr>
                <w:rFonts w:eastAsia="Times New Roman"/>
                <w:b/>
                <w:color w:val="000000"/>
                <w:lang w:val="en-US"/>
              </w:rPr>
              <w:t>Contact Phone Number</w:t>
            </w:r>
          </w:p>
        </w:tc>
        <w:tc>
          <w:tcPr>
            <w:tcW w:w="6798" w:type="dxa"/>
          </w:tcPr>
          <w:p w14:paraId="2E5F91BF" w14:textId="77777777" w:rsidR="002C16E5" w:rsidRPr="00AB24F1" w:rsidRDefault="00013783" w:rsidP="002C16E5">
            <w:pPr>
              <w:rPr>
                <w:lang w:val="en-US"/>
              </w:rPr>
            </w:pPr>
            <w:r>
              <w:rPr>
                <w:lang w:val="en-US"/>
              </w:rPr>
              <w:t>+86 18510891840</w:t>
            </w:r>
          </w:p>
        </w:tc>
      </w:tr>
      <w:tr w:rsidR="002C16E5" w:rsidRPr="00AB24F1" w14:paraId="4B41EB10" w14:textId="77777777" w:rsidTr="002C16E5">
        <w:tc>
          <w:tcPr>
            <w:tcW w:w="2830" w:type="dxa"/>
          </w:tcPr>
          <w:p w14:paraId="43ABB95A" w14:textId="77777777" w:rsidR="002C16E5" w:rsidRPr="00AB24F1" w:rsidRDefault="002C16E5" w:rsidP="002C16E5">
            <w:pPr>
              <w:rPr>
                <w:lang w:val="en-US"/>
              </w:rPr>
            </w:pPr>
            <w:r w:rsidRPr="00AB24F1">
              <w:rPr>
                <w:rFonts w:eastAsia="Times New Roman"/>
                <w:b/>
                <w:color w:val="000000"/>
                <w:lang w:val="en-US"/>
              </w:rPr>
              <w:t>Project Title</w:t>
            </w:r>
          </w:p>
        </w:tc>
        <w:tc>
          <w:tcPr>
            <w:tcW w:w="6798" w:type="dxa"/>
          </w:tcPr>
          <w:p w14:paraId="2DF280BF" w14:textId="736DB3F0" w:rsidR="002C16E5" w:rsidRPr="00AB24F1" w:rsidRDefault="00C83A77" w:rsidP="002C16E5">
            <w:pPr>
              <w:rPr>
                <w:lang w:val="en-US"/>
              </w:rPr>
            </w:pPr>
            <w:r>
              <w:t xml:space="preserve">AI based </w:t>
            </w:r>
            <w:r w:rsidR="005718A1">
              <w:t>Quality Control in Stroke</w:t>
            </w:r>
            <w:r w:rsidR="005718A1">
              <w:rPr>
                <w:rFonts w:hint="eastAsia"/>
              </w:rPr>
              <w:t xml:space="preserve"> </w:t>
            </w:r>
            <w:r w:rsidR="005718A1">
              <w:t xml:space="preserve">Treatment </w:t>
            </w:r>
            <w:r w:rsidR="005718A1">
              <w:rPr>
                <w:rFonts w:hint="eastAsia"/>
              </w:rPr>
              <w:t>Service</w:t>
            </w:r>
          </w:p>
        </w:tc>
      </w:tr>
    </w:tbl>
    <w:p w14:paraId="3AE3B02F" w14:textId="77777777" w:rsidR="002C16E5" w:rsidRPr="00AB24F1" w:rsidRDefault="002C16E5" w:rsidP="002C16E5">
      <w:pPr>
        <w:rPr>
          <w:lang w:val="en-US"/>
        </w:rPr>
      </w:pPr>
    </w:p>
    <w:p w14:paraId="4BEAE014" w14:textId="77777777" w:rsidR="0083180A" w:rsidRPr="0083180A" w:rsidRDefault="0083180A" w:rsidP="00404076">
      <w:pPr>
        <w:spacing w:after="20"/>
        <w:jc w:val="center"/>
      </w:pPr>
    </w:p>
    <w:p w14:paraId="0CA3336A" w14:textId="77777777" w:rsidR="0083180A" w:rsidRDefault="0083180A" w:rsidP="00404076">
      <w:pPr>
        <w:spacing w:after="20"/>
        <w:jc w:val="center"/>
      </w:pPr>
    </w:p>
    <w:p w14:paraId="6BF81C4F" w14:textId="77777777" w:rsidR="003429F2" w:rsidRDefault="00BC1D31" w:rsidP="00404076">
      <w:pPr>
        <w:spacing w:after="20"/>
        <w:jc w:val="center"/>
      </w:pPr>
      <w:r>
        <w:t>____________________________</w:t>
      </w:r>
    </w:p>
    <w:p w14:paraId="2862E262" w14:textId="77777777"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B3A90" w16cid:durableId="204389E4"/>
  <w16cid:commentId w16cid:paraId="119D2B46" w16cid:durableId="204389F0"/>
  <w16cid:commentId w16cid:paraId="2C4907B2" w16cid:durableId="204389FA"/>
  <w16cid:commentId w16cid:paraId="0D444DE3" w16cid:durableId="20438A14"/>
  <w16cid:commentId w16cid:paraId="7C00A145" w16cid:durableId="20438A59"/>
  <w16cid:commentId w16cid:paraId="2D9041A8" w16cid:durableId="20438A97"/>
  <w16cid:commentId w16cid:paraId="5D8810F7" w16cid:durableId="20438AB8"/>
  <w16cid:commentId w16cid:paraId="63DF2E9E" w16cid:durableId="20438AE2"/>
  <w16cid:commentId w16cid:paraId="432106AB" w16cid:durableId="20438B10"/>
  <w16cid:commentId w16cid:paraId="532A4970" w16cid:durableId="20438B46"/>
  <w16cid:commentId w16cid:paraId="7C039A11" w16cid:durableId="20438BF2"/>
  <w16cid:commentId w16cid:paraId="49450E45" w16cid:durableId="20438C1F"/>
  <w16cid:commentId w16cid:paraId="0EED6054" w16cid:durableId="20438C91"/>
  <w16cid:commentId w16cid:paraId="6131AF71" w16cid:durableId="20438C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B47A" w14:textId="77777777" w:rsidR="005E4081" w:rsidRDefault="005E4081" w:rsidP="007B7733">
      <w:pPr>
        <w:spacing w:before="0"/>
      </w:pPr>
      <w:r>
        <w:separator/>
      </w:r>
    </w:p>
  </w:endnote>
  <w:endnote w:type="continuationSeparator" w:id="0">
    <w:p w14:paraId="796500DF" w14:textId="77777777" w:rsidR="005E4081" w:rsidRDefault="005E40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EEB1" w14:textId="77777777" w:rsidR="005E4081" w:rsidRDefault="005E4081" w:rsidP="007B7733">
      <w:pPr>
        <w:spacing w:before="0"/>
      </w:pPr>
      <w:r>
        <w:separator/>
      </w:r>
    </w:p>
  </w:footnote>
  <w:footnote w:type="continuationSeparator" w:id="0">
    <w:p w14:paraId="3F4BD9DA" w14:textId="77777777" w:rsidR="005E4081" w:rsidRDefault="005E4081"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CD21A" w14:textId="3F38E13B" w:rsidR="002C16E5" w:rsidRDefault="002C16E5" w:rsidP="005B28B8">
    <w:pPr>
      <w:pStyle w:val="Header"/>
      <w:rPr>
        <w:lang w:val="pt-BR"/>
      </w:rPr>
    </w:pPr>
    <w:r>
      <w:t xml:space="preserve">- </w:t>
    </w:r>
    <w:r>
      <w:fldChar w:fldCharType="begin"/>
    </w:r>
    <w:r>
      <w:instrText xml:space="preserve"> PAGE  \* MERGEFORMAT </w:instrText>
    </w:r>
    <w:r>
      <w:fldChar w:fldCharType="separate"/>
    </w:r>
    <w:r w:rsidR="003B1DEB">
      <w:rPr>
        <w:noProof/>
      </w:rPr>
      <w:t>2</w:t>
    </w:r>
    <w:r>
      <w:rPr>
        <w:noProof/>
      </w:rPr>
      <w:fldChar w:fldCharType="end"/>
    </w:r>
    <w:r>
      <w:rPr>
        <w:lang w:val="pt-BR"/>
      </w:rPr>
      <w:t xml:space="preserve"> -</w:t>
    </w:r>
  </w:p>
  <w:p w14:paraId="4474F906" w14:textId="2AE4B1FD" w:rsidR="002C16E5" w:rsidRPr="007336C4" w:rsidRDefault="002C16E5" w:rsidP="005B28B8">
    <w:pPr>
      <w:pStyle w:val="Header"/>
    </w:pPr>
    <w:r>
      <w:rPr>
        <w:noProof/>
      </w:rPr>
      <w:fldChar w:fldCharType="begin"/>
    </w:r>
    <w:r>
      <w:rPr>
        <w:noProof/>
      </w:rPr>
      <w:instrText xml:space="preserve"> STYLEREF  Docnumber  \* MERGEFORMAT </w:instrText>
    </w:r>
    <w:r>
      <w:rPr>
        <w:noProof/>
      </w:rPr>
      <w:fldChar w:fldCharType="separate"/>
    </w:r>
    <w:r w:rsidR="003B1DEB">
      <w:rPr>
        <w:noProof/>
      </w:rPr>
      <w:t>FG-AI4H-D-014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57C05"/>
    <w:multiLevelType w:val="hybridMultilevel"/>
    <w:tmpl w:val="E568557A"/>
    <w:lvl w:ilvl="0" w:tplc="1F685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2366CBC"/>
    <w:multiLevelType w:val="hybridMultilevel"/>
    <w:tmpl w:val="08EC97FA"/>
    <w:lvl w:ilvl="0" w:tplc="2B269C8A">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417E"/>
    <w:rsid w:val="0001104D"/>
    <w:rsid w:val="00012EB5"/>
    <w:rsid w:val="00013783"/>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8659C"/>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6687"/>
    <w:rsid w:val="00157413"/>
    <w:rsid w:val="001605F4"/>
    <w:rsid w:val="00161BAB"/>
    <w:rsid w:val="0016339F"/>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3B7B"/>
    <w:rsid w:val="001A6E14"/>
    <w:rsid w:val="001A79B0"/>
    <w:rsid w:val="001B4799"/>
    <w:rsid w:val="001B4A85"/>
    <w:rsid w:val="001B6D84"/>
    <w:rsid w:val="001B7C92"/>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3062"/>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5742"/>
    <w:rsid w:val="00242B8D"/>
    <w:rsid w:val="00247582"/>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26F9"/>
    <w:rsid w:val="00294152"/>
    <w:rsid w:val="002A6E11"/>
    <w:rsid w:val="002B27EF"/>
    <w:rsid w:val="002B4844"/>
    <w:rsid w:val="002B49FE"/>
    <w:rsid w:val="002B4C67"/>
    <w:rsid w:val="002C16E5"/>
    <w:rsid w:val="002C69A4"/>
    <w:rsid w:val="002C6A7F"/>
    <w:rsid w:val="002D0969"/>
    <w:rsid w:val="002D372B"/>
    <w:rsid w:val="002D66C8"/>
    <w:rsid w:val="002E2EC1"/>
    <w:rsid w:val="002E355F"/>
    <w:rsid w:val="002E40ED"/>
    <w:rsid w:val="002E6279"/>
    <w:rsid w:val="002E712F"/>
    <w:rsid w:val="002F00D4"/>
    <w:rsid w:val="002F0B65"/>
    <w:rsid w:val="002F0B8A"/>
    <w:rsid w:val="002F21DA"/>
    <w:rsid w:val="002F316F"/>
    <w:rsid w:val="002F3A6A"/>
    <w:rsid w:val="002F4C8A"/>
    <w:rsid w:val="002F5706"/>
    <w:rsid w:val="002F6AD3"/>
    <w:rsid w:val="003041ED"/>
    <w:rsid w:val="00306040"/>
    <w:rsid w:val="003102A3"/>
    <w:rsid w:val="00310F96"/>
    <w:rsid w:val="00314E84"/>
    <w:rsid w:val="00315755"/>
    <w:rsid w:val="0032441B"/>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1DEB"/>
    <w:rsid w:val="003B2A40"/>
    <w:rsid w:val="003B53B3"/>
    <w:rsid w:val="003D0967"/>
    <w:rsid w:val="003D2C2B"/>
    <w:rsid w:val="003D3C3E"/>
    <w:rsid w:val="003D58F8"/>
    <w:rsid w:val="003D7964"/>
    <w:rsid w:val="003E152B"/>
    <w:rsid w:val="003E21BA"/>
    <w:rsid w:val="003E440C"/>
    <w:rsid w:val="003F3310"/>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474E"/>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06"/>
    <w:rsid w:val="00466E34"/>
    <w:rsid w:val="004717A9"/>
    <w:rsid w:val="00473548"/>
    <w:rsid w:val="004753D9"/>
    <w:rsid w:val="00477426"/>
    <w:rsid w:val="004775F7"/>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7823"/>
    <w:rsid w:val="00542167"/>
    <w:rsid w:val="0054509D"/>
    <w:rsid w:val="00545BEF"/>
    <w:rsid w:val="00547A8B"/>
    <w:rsid w:val="00553C5C"/>
    <w:rsid w:val="00554DAD"/>
    <w:rsid w:val="00555133"/>
    <w:rsid w:val="00560C65"/>
    <w:rsid w:val="005614F6"/>
    <w:rsid w:val="005633B4"/>
    <w:rsid w:val="005718A1"/>
    <w:rsid w:val="00574F82"/>
    <w:rsid w:val="00575F9B"/>
    <w:rsid w:val="005771A3"/>
    <w:rsid w:val="0057782F"/>
    <w:rsid w:val="005815CC"/>
    <w:rsid w:val="00583141"/>
    <w:rsid w:val="0058633E"/>
    <w:rsid w:val="00590C8C"/>
    <w:rsid w:val="00590D62"/>
    <w:rsid w:val="00591D7C"/>
    <w:rsid w:val="00593191"/>
    <w:rsid w:val="00593340"/>
    <w:rsid w:val="005A2A95"/>
    <w:rsid w:val="005A78BD"/>
    <w:rsid w:val="005B0D58"/>
    <w:rsid w:val="005B1C8B"/>
    <w:rsid w:val="005B28B8"/>
    <w:rsid w:val="005B29FD"/>
    <w:rsid w:val="005B5835"/>
    <w:rsid w:val="005B66FC"/>
    <w:rsid w:val="005C083A"/>
    <w:rsid w:val="005C6264"/>
    <w:rsid w:val="005D3BE6"/>
    <w:rsid w:val="005D572B"/>
    <w:rsid w:val="005D633F"/>
    <w:rsid w:val="005D6FA8"/>
    <w:rsid w:val="005D7328"/>
    <w:rsid w:val="005E2912"/>
    <w:rsid w:val="005E3DA5"/>
    <w:rsid w:val="005E4081"/>
    <w:rsid w:val="005E4B83"/>
    <w:rsid w:val="005E51E1"/>
    <w:rsid w:val="005E5474"/>
    <w:rsid w:val="005E7AFD"/>
    <w:rsid w:val="005F23F2"/>
    <w:rsid w:val="005F3636"/>
    <w:rsid w:val="005F4B8F"/>
    <w:rsid w:val="005F6550"/>
    <w:rsid w:val="005F6894"/>
    <w:rsid w:val="005F6B17"/>
    <w:rsid w:val="006041E5"/>
    <w:rsid w:val="0060474D"/>
    <w:rsid w:val="006140E2"/>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3C33"/>
    <w:rsid w:val="00667CAF"/>
    <w:rsid w:val="00670127"/>
    <w:rsid w:val="00671B96"/>
    <w:rsid w:val="00672840"/>
    <w:rsid w:val="00672A32"/>
    <w:rsid w:val="00672C0A"/>
    <w:rsid w:val="00673355"/>
    <w:rsid w:val="006733BC"/>
    <w:rsid w:val="006851ED"/>
    <w:rsid w:val="006871D2"/>
    <w:rsid w:val="00691155"/>
    <w:rsid w:val="0069505A"/>
    <w:rsid w:val="0069505B"/>
    <w:rsid w:val="006954C3"/>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D6F95"/>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355C"/>
    <w:rsid w:val="0074553A"/>
    <w:rsid w:val="007472FB"/>
    <w:rsid w:val="00753305"/>
    <w:rsid w:val="00753F94"/>
    <w:rsid w:val="00755A6D"/>
    <w:rsid w:val="00761CA4"/>
    <w:rsid w:val="00762E3F"/>
    <w:rsid w:val="00764015"/>
    <w:rsid w:val="00764B72"/>
    <w:rsid w:val="00766B94"/>
    <w:rsid w:val="0077101F"/>
    <w:rsid w:val="00771B16"/>
    <w:rsid w:val="00774F2B"/>
    <w:rsid w:val="007760D0"/>
    <w:rsid w:val="007800C6"/>
    <w:rsid w:val="00780AF7"/>
    <w:rsid w:val="00783489"/>
    <w:rsid w:val="0078614B"/>
    <w:rsid w:val="007862F5"/>
    <w:rsid w:val="0078663F"/>
    <w:rsid w:val="007935B0"/>
    <w:rsid w:val="00793CD3"/>
    <w:rsid w:val="007940A0"/>
    <w:rsid w:val="00794834"/>
    <w:rsid w:val="0079581B"/>
    <w:rsid w:val="00796096"/>
    <w:rsid w:val="00796FCB"/>
    <w:rsid w:val="007977C4"/>
    <w:rsid w:val="007A096C"/>
    <w:rsid w:val="007A4E4C"/>
    <w:rsid w:val="007A522A"/>
    <w:rsid w:val="007A7398"/>
    <w:rsid w:val="007B3431"/>
    <w:rsid w:val="007B40F5"/>
    <w:rsid w:val="007B7733"/>
    <w:rsid w:val="007C11F2"/>
    <w:rsid w:val="007C3855"/>
    <w:rsid w:val="007C7042"/>
    <w:rsid w:val="007D2F0F"/>
    <w:rsid w:val="007D2F42"/>
    <w:rsid w:val="007D7074"/>
    <w:rsid w:val="007E1D1A"/>
    <w:rsid w:val="007F107B"/>
    <w:rsid w:val="007F3AAA"/>
    <w:rsid w:val="007F5562"/>
    <w:rsid w:val="008062A5"/>
    <w:rsid w:val="00807B28"/>
    <w:rsid w:val="00811118"/>
    <w:rsid w:val="00814C73"/>
    <w:rsid w:val="00821E6D"/>
    <w:rsid w:val="0082370D"/>
    <w:rsid w:val="00823B5F"/>
    <w:rsid w:val="00823E8E"/>
    <w:rsid w:val="0083180A"/>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59E"/>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6233"/>
    <w:rsid w:val="008A7171"/>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7506"/>
    <w:rsid w:val="008E182D"/>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A5A"/>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89C"/>
    <w:rsid w:val="009D2D99"/>
    <w:rsid w:val="009D43A1"/>
    <w:rsid w:val="009D4B30"/>
    <w:rsid w:val="009D5964"/>
    <w:rsid w:val="009D66E8"/>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6CC3"/>
    <w:rsid w:val="00AC20C3"/>
    <w:rsid w:val="00AC2669"/>
    <w:rsid w:val="00AC3107"/>
    <w:rsid w:val="00AC362E"/>
    <w:rsid w:val="00AC5105"/>
    <w:rsid w:val="00AC6353"/>
    <w:rsid w:val="00AC6953"/>
    <w:rsid w:val="00AC7AAE"/>
    <w:rsid w:val="00AD0060"/>
    <w:rsid w:val="00AD0A07"/>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A9F"/>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5EA3"/>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69EB"/>
    <w:rsid w:val="00C672A3"/>
    <w:rsid w:val="00C802CE"/>
    <w:rsid w:val="00C81734"/>
    <w:rsid w:val="00C83124"/>
    <w:rsid w:val="00C839F2"/>
    <w:rsid w:val="00C83A77"/>
    <w:rsid w:val="00C8468B"/>
    <w:rsid w:val="00C939FC"/>
    <w:rsid w:val="00C9502D"/>
    <w:rsid w:val="00C97908"/>
    <w:rsid w:val="00CA0B6A"/>
    <w:rsid w:val="00CA0E12"/>
    <w:rsid w:val="00CA1EC3"/>
    <w:rsid w:val="00CA318C"/>
    <w:rsid w:val="00CA454F"/>
    <w:rsid w:val="00CA577E"/>
    <w:rsid w:val="00CA6505"/>
    <w:rsid w:val="00CA7227"/>
    <w:rsid w:val="00CB1B20"/>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6D83"/>
    <w:rsid w:val="00D671C7"/>
    <w:rsid w:val="00D672BA"/>
    <w:rsid w:val="00D6768B"/>
    <w:rsid w:val="00D67CAA"/>
    <w:rsid w:val="00D70D16"/>
    <w:rsid w:val="00D72F49"/>
    <w:rsid w:val="00D73DAF"/>
    <w:rsid w:val="00D80ACE"/>
    <w:rsid w:val="00D816A5"/>
    <w:rsid w:val="00D816D3"/>
    <w:rsid w:val="00D84CB7"/>
    <w:rsid w:val="00D91255"/>
    <w:rsid w:val="00D93DA6"/>
    <w:rsid w:val="00D942F3"/>
    <w:rsid w:val="00D97365"/>
    <w:rsid w:val="00D97E90"/>
    <w:rsid w:val="00DA080F"/>
    <w:rsid w:val="00DA15E2"/>
    <w:rsid w:val="00DA1DE9"/>
    <w:rsid w:val="00DA2BE1"/>
    <w:rsid w:val="00DA3B1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2651"/>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17C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5B24"/>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07"/>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047B"/>
    <w:rsid w:val="00FF4AC9"/>
    <w:rsid w:val="00FF4BD4"/>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8E07"/>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提到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2C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 3"/>
    <w:rsid w:val="007940A0"/>
    <w:pPr>
      <w:pBdr>
        <w:top w:val="nil"/>
        <w:left w:val="nil"/>
        <w:bottom w:val="nil"/>
        <w:right w:val="nil"/>
        <w:between w:val="nil"/>
        <w:bar w:val="nil"/>
      </w:pBdr>
      <w:spacing w:line="288" w:lineRule="auto"/>
    </w:pPr>
    <w:rPr>
      <w:rFonts w:ascii="Arial Unicode MS" w:eastAsia="Helvetica Neue" w:hAnsi="Arial Unicode MS" w:cs="Arial Unicode MS" w:hint="eastAsia"/>
      <w:color w:val="000000"/>
      <w:bdr w:val="nil"/>
      <w:lang w:val="zh-CN" w:eastAsia="zh-CN"/>
    </w:rPr>
  </w:style>
  <w:style w:type="paragraph" w:customStyle="1" w:styleId="a">
    <w:name w:val="页眉与页脚"/>
    <w:rsid w:val="007940A0"/>
    <w:pPr>
      <w:pBdr>
        <w:top w:val="nil"/>
        <w:left w:val="nil"/>
        <w:bottom w:val="nil"/>
        <w:right w:val="nil"/>
        <w:between w:val="nil"/>
        <w:bar w:val="nil"/>
      </w:pBdr>
      <w:tabs>
        <w:tab w:val="right" w:pos="9020"/>
      </w:tabs>
      <w:jc w:val="right"/>
    </w:pPr>
    <w:rPr>
      <w:rFonts w:ascii="Helvetica Neue" w:eastAsia="Arial Unicode MS" w:hAnsi="Helvetica Neue" w:cs="Arial Unicode MS"/>
      <w:color w:val="000000"/>
      <w:bdr w:val="nil"/>
      <w:lang w:eastAsia="zh-CN"/>
    </w:rPr>
  </w:style>
  <w:style w:type="character" w:customStyle="1" w:styleId="apple-converted-space">
    <w:name w:val="apple-converted-space"/>
    <w:basedOn w:val="DefaultParagraphFont"/>
    <w:rsid w:val="006D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uhuiqin@huimei.com" TargetMode="External"/><Relationship Id="rId17" Type="http://schemas.openxmlformats.org/officeDocument/2006/relationships/hyperlink" Target="https://wenku.baidu.com/view/bf65f226dd36a32d737581e4.html" TargetMode="External"/><Relationship Id="rId2" Type="http://schemas.openxmlformats.org/officeDocument/2006/relationships/customXml" Target="../customXml/item2.xml"/><Relationship Id="rId16" Type="http://schemas.openxmlformats.org/officeDocument/2006/relationships/hyperlink" Target="https://wenku.baidu.com/view/bf65f226dd36a32d737581e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chart" Target="charts/chart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a:pPr>
            <a:r>
              <a:rPr lang="en-US"/>
              <a:t>Table</a:t>
            </a:r>
            <a:r>
              <a:rPr lang="zh-CN"/>
              <a:t> </a:t>
            </a:r>
            <a:r>
              <a:rPr lang="en-US"/>
              <a:t>1. Group data compliance rate comparison</a:t>
            </a:r>
            <a:endParaRPr lang="zh-CN"/>
          </a:p>
        </c:rich>
      </c:tx>
      <c:layout>
        <c:manualLayout>
          <c:xMode val="edge"/>
          <c:yMode val="edge"/>
          <c:x val="0.343718253167072"/>
          <c:y val="3.9100684261974598E-2"/>
          <c:w val="0.25434200000000001"/>
          <c:h val="0.12876399999999999"/>
        </c:manualLayout>
      </c:layout>
      <c:overlay val="1"/>
      <c:spPr>
        <a:noFill/>
        <a:effectLst/>
      </c:spPr>
    </c:title>
    <c:autoTitleDeleted val="0"/>
    <c:plotArea>
      <c:layout>
        <c:manualLayout>
          <c:layoutTarget val="inner"/>
          <c:xMode val="edge"/>
          <c:yMode val="edge"/>
          <c:x val="0.113456"/>
          <c:y val="0.12876399999999999"/>
          <c:w val="0.86585599999999996"/>
          <c:h val="0.69278099999999998"/>
        </c:manualLayout>
      </c:layout>
      <c:barChart>
        <c:barDir val="col"/>
        <c:grouping val="clustered"/>
        <c:varyColors val="0"/>
        <c:ser>
          <c:idx val="0"/>
          <c:order val="0"/>
          <c:tx>
            <c:strRef>
              <c:f>Sheet1!$A$2</c:f>
              <c:strCache>
                <c:ptCount val="1"/>
                <c:pt idx="0">
                  <c:v>week 3</c:v>
                </c:pt>
              </c:strCache>
            </c:strRef>
          </c:tx>
          <c:spPr>
            <a:solidFill>
              <a:schemeClr val="accent6">
                <a:alpha val="85000"/>
              </a:schemeClr>
            </a:solidFill>
            <a:ln w="12700" cap="flat">
              <a:noFill/>
              <a:miter lim="400000"/>
            </a:ln>
            <a:effectLst/>
          </c:spPr>
          <c:invertIfNegative val="0"/>
          <c:dLbls>
            <c:numFmt formatCode="0.00%" sourceLinked="0"/>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Average</c:v>
                </c:pt>
                <c:pt idx="1">
                  <c:v>Daily ward</c:v>
                </c:pt>
                <c:pt idx="2">
                  <c:v>Cognitive ward</c:v>
                </c:pt>
                <c:pt idx="3">
                  <c:v>Intravenous ward</c:v>
                </c:pt>
                <c:pt idx="4">
                  <c:v>Cardio-brain ward</c:v>
                </c:pt>
                <c:pt idx="5">
                  <c:v>Thrombolysis ward</c:v>
                </c:pt>
              </c:strCache>
            </c:strRef>
          </c:cat>
          <c:val>
            <c:numRef>
              <c:f>Sheet1!$B$2:$G$2</c:f>
              <c:numCache>
                <c:formatCode>General</c:formatCode>
                <c:ptCount val="6"/>
                <c:pt idx="0">
                  <c:v>0.93854748603352001</c:v>
                </c:pt>
                <c:pt idx="1">
                  <c:v>0.91803278688524603</c:v>
                </c:pt>
                <c:pt idx="2">
                  <c:v>0.88461538461538503</c:v>
                </c:pt>
                <c:pt idx="3">
                  <c:v>0.89473684210526305</c:v>
                </c:pt>
                <c:pt idx="4">
                  <c:v>0.95</c:v>
                </c:pt>
                <c:pt idx="5">
                  <c:v>0.965753424657534</c:v>
                </c:pt>
              </c:numCache>
            </c:numRef>
          </c:val>
          <c:extLst xmlns:c16r2="http://schemas.microsoft.com/office/drawing/2015/06/chart">
            <c:ext xmlns:c16="http://schemas.microsoft.com/office/drawing/2014/chart" uri="{C3380CC4-5D6E-409C-BE32-E72D297353CC}">
              <c16:uniqueId val="{00000000-C9DD-4D9B-9A90-FA7EA4AE86BF}"/>
            </c:ext>
          </c:extLst>
        </c:ser>
        <c:ser>
          <c:idx val="1"/>
          <c:order val="1"/>
          <c:tx>
            <c:strRef>
              <c:f>Sheet1!$A$3</c:f>
              <c:strCache>
                <c:ptCount val="1"/>
                <c:pt idx="0">
                  <c:v>week 2</c:v>
                </c:pt>
              </c:strCache>
            </c:strRef>
          </c:tx>
          <c:spPr>
            <a:solidFill>
              <a:srgbClr val="2EC6FF">
                <a:alpha val="85000"/>
              </a:srgbClr>
            </a:solidFill>
            <a:ln w="12700" cap="flat">
              <a:noFill/>
              <a:miter lim="400000"/>
            </a:ln>
            <a:effectLst/>
          </c:spPr>
          <c:invertIfNegative val="0"/>
          <c:dLbls>
            <c:numFmt formatCode="0.00%" sourceLinked="0"/>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Average</c:v>
                </c:pt>
                <c:pt idx="1">
                  <c:v>Daily ward</c:v>
                </c:pt>
                <c:pt idx="2">
                  <c:v>Cognitive ward</c:v>
                </c:pt>
                <c:pt idx="3">
                  <c:v>Intravenous ward</c:v>
                </c:pt>
                <c:pt idx="4">
                  <c:v>Cardio-brain ward</c:v>
                </c:pt>
                <c:pt idx="5">
                  <c:v>Thrombolysis ward</c:v>
                </c:pt>
              </c:strCache>
            </c:strRef>
          </c:cat>
          <c:val>
            <c:numRef>
              <c:f>Sheet1!$B$3:$G$3</c:f>
              <c:numCache>
                <c:formatCode>General</c:formatCode>
                <c:ptCount val="6"/>
                <c:pt idx="0">
                  <c:v>0.784810126582278</c:v>
                </c:pt>
                <c:pt idx="1">
                  <c:v>0.76</c:v>
                </c:pt>
                <c:pt idx="2">
                  <c:v>0.78749999999999998</c:v>
                </c:pt>
                <c:pt idx="3">
                  <c:v>0.63157894736842102</c:v>
                </c:pt>
                <c:pt idx="4">
                  <c:v>0.83333333333333304</c:v>
                </c:pt>
                <c:pt idx="5">
                  <c:v>0.79439252336448596</c:v>
                </c:pt>
              </c:numCache>
            </c:numRef>
          </c:val>
          <c:extLst xmlns:c16r2="http://schemas.microsoft.com/office/drawing/2015/06/chart">
            <c:ext xmlns:c16="http://schemas.microsoft.com/office/drawing/2014/chart" uri="{C3380CC4-5D6E-409C-BE32-E72D297353CC}">
              <c16:uniqueId val="{00000001-C9DD-4D9B-9A90-FA7EA4AE86BF}"/>
            </c:ext>
          </c:extLst>
        </c:ser>
        <c:ser>
          <c:idx val="2"/>
          <c:order val="2"/>
          <c:tx>
            <c:strRef>
              <c:f>Sheet1!$A$4</c:f>
              <c:strCache>
                <c:ptCount val="1"/>
                <c:pt idx="0">
                  <c:v>week 1</c:v>
                </c:pt>
              </c:strCache>
            </c:strRef>
          </c:tx>
          <c:spPr>
            <a:solidFill>
              <a:srgbClr val="79C850">
                <a:alpha val="85000"/>
              </a:srgbClr>
            </a:solidFill>
            <a:ln w="12700" cap="flat">
              <a:noFill/>
              <a:miter lim="400000"/>
            </a:ln>
            <a:effectLst/>
          </c:spPr>
          <c:invertIfNegative val="0"/>
          <c:dLbls>
            <c:numFmt formatCode="0.00%" sourceLinked="0"/>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Average</c:v>
                </c:pt>
                <c:pt idx="1">
                  <c:v>Daily ward</c:v>
                </c:pt>
                <c:pt idx="2">
                  <c:v>Cognitive ward</c:v>
                </c:pt>
                <c:pt idx="3">
                  <c:v>Intravenous ward</c:v>
                </c:pt>
                <c:pt idx="4">
                  <c:v>Cardio-brain ward</c:v>
                </c:pt>
                <c:pt idx="5">
                  <c:v>Thrombolysis ward</c:v>
                </c:pt>
              </c:strCache>
            </c:strRef>
          </c:cat>
          <c:val>
            <c:numRef>
              <c:f>Sheet1!$B$4:$G$4</c:f>
              <c:numCache>
                <c:formatCode>General</c:formatCode>
                <c:ptCount val="6"/>
                <c:pt idx="0">
                  <c:v>0.70186335403726696</c:v>
                </c:pt>
                <c:pt idx="1">
                  <c:v>0.83333333333333304</c:v>
                </c:pt>
                <c:pt idx="2">
                  <c:v>0.54166666666666696</c:v>
                </c:pt>
                <c:pt idx="4">
                  <c:v>0.83333333333333304</c:v>
                </c:pt>
                <c:pt idx="5">
                  <c:v>0.680851063829787</c:v>
                </c:pt>
              </c:numCache>
            </c:numRef>
          </c:val>
          <c:extLst xmlns:c16r2="http://schemas.microsoft.com/office/drawing/2015/06/chart">
            <c:ext xmlns:c16="http://schemas.microsoft.com/office/drawing/2014/chart" uri="{C3380CC4-5D6E-409C-BE32-E72D297353CC}">
              <c16:uniqueId val="{00000002-C9DD-4D9B-9A90-FA7EA4AE86BF}"/>
            </c:ext>
          </c:extLst>
        </c:ser>
        <c:dLbls>
          <c:showLegendKey val="0"/>
          <c:showVal val="0"/>
          <c:showCatName val="0"/>
          <c:showSerName val="0"/>
          <c:showPercent val="0"/>
          <c:showBubbleSize val="0"/>
        </c:dLbls>
        <c:gapWidth val="40"/>
        <c:overlap val="-10"/>
        <c:axId val="440404848"/>
        <c:axId val="440402104"/>
      </c:barChart>
      <c:catAx>
        <c:axId val="440404848"/>
        <c:scaling>
          <c:orientation val="minMax"/>
        </c:scaling>
        <c:delete val="0"/>
        <c:axPos val="b"/>
        <c:numFmt formatCode="General" sourceLinked="0"/>
        <c:majorTickMark val="none"/>
        <c:minorTickMark val="none"/>
        <c:tickLblPos val="low"/>
        <c:spPr>
          <a:ln w="6350" cap="flat">
            <a:solidFill>
              <a:srgbClr val="A7A7A7"/>
            </a:solidFill>
            <a:prstDash val="solid"/>
            <a:miter lim="400000"/>
          </a:ln>
        </c:spPr>
        <c:txPr>
          <a:bodyPr rot="0"/>
          <a:lstStyle/>
          <a:p>
            <a:pPr>
              <a:defRPr/>
            </a:pPr>
            <a:endParaRPr lang="en-US"/>
          </a:p>
        </c:txPr>
        <c:crossAx val="440402104"/>
        <c:crosses val="autoZero"/>
        <c:auto val="1"/>
        <c:lblAlgn val="ctr"/>
        <c:lblOffset val="100"/>
        <c:noMultiLvlLbl val="1"/>
      </c:catAx>
      <c:valAx>
        <c:axId val="440402104"/>
        <c:scaling>
          <c:orientation val="minMax"/>
          <c:max val="1"/>
        </c:scaling>
        <c:delete val="0"/>
        <c:axPos val="l"/>
        <c:majorGridlines>
          <c:spPr>
            <a:ln w="6350" cap="flat">
              <a:solidFill>
                <a:srgbClr val="A7A7A7"/>
              </a:solidFill>
              <a:custDash>
                <a:ds d="200000" sp="200000"/>
              </a:custDash>
              <a:miter lim="400000"/>
            </a:ln>
          </c:spPr>
        </c:majorGridlines>
        <c:numFmt formatCode="0.00%" sourceLinked="0"/>
        <c:majorTickMark val="none"/>
        <c:minorTickMark val="none"/>
        <c:tickLblPos val="nextTo"/>
        <c:spPr>
          <a:ln w="6350" cap="flat">
            <a:noFill/>
            <a:prstDash val="solid"/>
            <a:miter lim="400000"/>
          </a:ln>
        </c:spPr>
        <c:txPr>
          <a:bodyPr rot="0"/>
          <a:lstStyle/>
          <a:p>
            <a:pPr>
              <a:defRPr/>
            </a:pPr>
            <a:endParaRPr lang="en-US"/>
          </a:p>
        </c:txPr>
        <c:crossAx val="440404848"/>
        <c:crosses val="autoZero"/>
        <c:crossBetween val="between"/>
        <c:majorUnit val="0.25"/>
        <c:minorUnit val="0.125"/>
      </c:valAx>
      <c:spPr>
        <a:noFill/>
        <a:ln w="12700" cap="flat">
          <a:noFill/>
          <a:miter lim="400000"/>
        </a:ln>
        <a:effectLst/>
      </c:spPr>
    </c:plotArea>
    <c:legend>
      <c:legendPos val="b"/>
      <c:layout>
        <c:manualLayout>
          <c:xMode val="edge"/>
          <c:yMode val="edge"/>
          <c:x val="0.33772200000000002"/>
          <c:y val="0.93495399999999995"/>
          <c:w val="0.54491599999999996"/>
          <c:h val="6.5045800000000001E-2"/>
        </c:manualLayout>
      </c:layout>
      <c:overlay val="1"/>
      <c:spPr>
        <a:noFill/>
        <a:ln w="12700" cap="flat">
          <a:noFill/>
          <a:miter lim="400000"/>
        </a:ln>
        <a:effectLst/>
      </c:spPr>
      <c:txPr>
        <a:bodyPr rot="0"/>
        <a:lstStyle/>
        <a:p>
          <a:pPr>
            <a:defRPr/>
          </a:pPr>
          <a:endParaRPr lang="en-US"/>
        </a:p>
      </c:txPr>
    </c:legend>
    <c:plotVisOnly val="1"/>
    <c:dispBlanksAs val="gap"/>
    <c:showDLblsOverMax val="1"/>
  </c:chart>
  <c:spPr>
    <a:noFill/>
    <a:ln>
      <a:noFill/>
    </a:ln>
    <a:effectLst/>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a:pPr>
            <a:r>
              <a:rPr lang="en-US"/>
              <a:t>Table</a:t>
            </a:r>
            <a:r>
              <a:rPr lang="zh-CN"/>
              <a:t> </a:t>
            </a:r>
            <a:r>
              <a:rPr lang="en-US"/>
              <a:t>2. Achievement rate of each </a:t>
            </a:r>
            <a:r>
              <a:rPr lang="en-US" altLang="zh-CN"/>
              <a:t>indicator</a:t>
            </a:r>
            <a:endParaRPr lang="zh-CN"/>
          </a:p>
        </c:rich>
      </c:tx>
      <c:layout>
        <c:manualLayout>
          <c:xMode val="edge"/>
          <c:yMode val="edge"/>
          <c:x val="0.410807578740157"/>
          <c:y val="1.20133904722087E-2"/>
          <c:w val="0.267125"/>
          <c:h val="0.108947"/>
        </c:manualLayout>
      </c:layout>
      <c:overlay val="1"/>
      <c:spPr>
        <a:noFill/>
        <a:effectLst/>
      </c:spPr>
    </c:title>
    <c:autoTitleDeleted val="0"/>
    <c:plotArea>
      <c:layout>
        <c:manualLayout>
          <c:layoutTarget val="inner"/>
          <c:xMode val="edge"/>
          <c:yMode val="edge"/>
          <c:x val="0.25483499999999998"/>
          <c:y val="0.108947"/>
          <c:w val="0.70250599999999996"/>
          <c:h val="0.75895699999999999"/>
        </c:manualLayout>
      </c:layout>
      <c:barChart>
        <c:barDir val="bar"/>
        <c:grouping val="clustered"/>
        <c:varyColors val="0"/>
        <c:ser>
          <c:idx val="0"/>
          <c:order val="0"/>
          <c:tx>
            <c:strRef>
              <c:f>Sheet1!$A$2</c:f>
              <c:strCache>
                <c:ptCount val="1"/>
                <c:pt idx="0">
                  <c:v>Week 1</c:v>
                </c:pt>
              </c:strCache>
            </c:strRef>
          </c:tx>
          <c:spPr>
            <a:solidFill>
              <a:schemeClr val="accent6">
                <a:alpha val="85000"/>
              </a:schemeClr>
            </a:solidFill>
            <a:ln w="12700" cap="flat">
              <a:noFill/>
              <a:miter lim="400000"/>
            </a:ln>
            <a:effectLst/>
          </c:spPr>
          <c:invertIfNegative val="0"/>
          <c:dLbls>
            <c:numFmt formatCode="0.00%" sourceLinked="0"/>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NIHSS Scoring</c:v>
                </c:pt>
                <c:pt idx="1">
                  <c:v>Water Swallen Test</c:v>
                </c:pt>
                <c:pt idx="2">
                  <c:v>Antithrombotic therapy within 48 hours</c:v>
                </c:pt>
                <c:pt idx="3">
                  <c:v>Post-charge statin therapy</c:v>
                </c:pt>
                <c:pt idx="4">
                  <c:v>DVT prophylaxis</c:v>
                </c:pt>
                <c:pt idx="5">
                  <c:v>Post-charge anticoagulant therapy for patients with atrial fibrillation</c:v>
                </c:pt>
                <c:pt idx="6">
                  <c:v>Post-charge glycemic control</c:v>
                </c:pt>
                <c:pt idx="7">
                  <c:v>Post-charge antihypertensive therapy</c:v>
                </c:pt>
                <c:pt idx="8">
                  <c:v>intensive lipid-lowering therapy</c:v>
                </c:pt>
                <c:pt idx="9">
                  <c:v>Post-charge antithrombotic therapy</c:v>
                </c:pt>
              </c:strCache>
            </c:strRef>
          </c:cat>
          <c:val>
            <c:numRef>
              <c:f>Sheet1!$B$2:$K$2</c:f>
              <c:numCache>
                <c:formatCode>General</c:formatCode>
                <c:ptCount val="10"/>
                <c:pt idx="0">
                  <c:v>0.86024844720496896</c:v>
                </c:pt>
                <c:pt idx="1">
                  <c:v>1</c:v>
                </c:pt>
                <c:pt idx="2">
                  <c:v>0.98245614035087703</c:v>
                </c:pt>
                <c:pt idx="3">
                  <c:v>0.92156862745098</c:v>
                </c:pt>
                <c:pt idx="4">
                  <c:v>0.66666666666666696</c:v>
                </c:pt>
                <c:pt idx="5">
                  <c:v>0</c:v>
                </c:pt>
                <c:pt idx="6">
                  <c:v>0.91666666666666696</c:v>
                </c:pt>
                <c:pt idx="7">
                  <c:v>1</c:v>
                </c:pt>
                <c:pt idx="8">
                  <c:v>0.97727272727272696</c:v>
                </c:pt>
                <c:pt idx="9">
                  <c:v>1</c:v>
                </c:pt>
              </c:numCache>
            </c:numRef>
          </c:val>
          <c:extLst xmlns:c16r2="http://schemas.microsoft.com/office/drawing/2015/06/chart">
            <c:ext xmlns:c16="http://schemas.microsoft.com/office/drawing/2014/chart" uri="{C3380CC4-5D6E-409C-BE32-E72D297353CC}">
              <c16:uniqueId val="{00000000-5614-41B4-AFC2-196272D2C3E9}"/>
            </c:ext>
          </c:extLst>
        </c:ser>
        <c:ser>
          <c:idx val="1"/>
          <c:order val="1"/>
          <c:tx>
            <c:strRef>
              <c:f>Sheet1!$A$3</c:f>
              <c:strCache>
                <c:ptCount val="1"/>
                <c:pt idx="0">
                  <c:v>Week 2</c:v>
                </c:pt>
              </c:strCache>
            </c:strRef>
          </c:tx>
          <c:spPr>
            <a:solidFill>
              <a:srgbClr val="2EC6FF">
                <a:alpha val="85000"/>
              </a:srgbClr>
            </a:solidFill>
            <a:ln w="12700" cap="flat">
              <a:noFill/>
              <a:miter lim="400000"/>
            </a:ln>
            <a:effectLst/>
          </c:spPr>
          <c:invertIfNegative val="0"/>
          <c:dLbls>
            <c:numFmt formatCode="0.00%" sourceLinked="0"/>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NIHSS Scoring</c:v>
                </c:pt>
                <c:pt idx="1">
                  <c:v>Water Swallen Test</c:v>
                </c:pt>
                <c:pt idx="2">
                  <c:v>Antithrombotic therapy within 48 hours</c:v>
                </c:pt>
                <c:pt idx="3">
                  <c:v>Post-charge statin therapy</c:v>
                </c:pt>
                <c:pt idx="4">
                  <c:v>DVT prophylaxis</c:v>
                </c:pt>
                <c:pt idx="5">
                  <c:v>Post-charge anticoagulant therapy for patients with atrial fibrillation</c:v>
                </c:pt>
                <c:pt idx="6">
                  <c:v>Post-charge glycemic control</c:v>
                </c:pt>
                <c:pt idx="7">
                  <c:v>Post-charge antihypertensive therapy</c:v>
                </c:pt>
                <c:pt idx="8">
                  <c:v>intensive lipid-lowering therapy</c:v>
                </c:pt>
                <c:pt idx="9">
                  <c:v>Post-charge antithrombotic therapy</c:v>
                </c:pt>
              </c:strCache>
            </c:strRef>
          </c:cat>
          <c:val>
            <c:numRef>
              <c:f>Sheet1!$B$3:$K$3</c:f>
              <c:numCache>
                <c:formatCode>General</c:formatCode>
                <c:ptCount val="10"/>
                <c:pt idx="0">
                  <c:v>0.72693726937269398</c:v>
                </c:pt>
                <c:pt idx="1">
                  <c:v>0.95454545454545503</c:v>
                </c:pt>
                <c:pt idx="2">
                  <c:v>0.76190476190476197</c:v>
                </c:pt>
                <c:pt idx="3">
                  <c:v>0.72727272727272696</c:v>
                </c:pt>
                <c:pt idx="4">
                  <c:v>0.75</c:v>
                </c:pt>
                <c:pt idx="5">
                  <c:v>1</c:v>
                </c:pt>
                <c:pt idx="6">
                  <c:v>0.75</c:v>
                </c:pt>
                <c:pt idx="7">
                  <c:v>0.87878787878787901</c:v>
                </c:pt>
                <c:pt idx="8">
                  <c:v>0.93181818181818199</c:v>
                </c:pt>
                <c:pt idx="9">
                  <c:v>0.86363636363636398</c:v>
                </c:pt>
              </c:numCache>
            </c:numRef>
          </c:val>
          <c:extLst xmlns:c16r2="http://schemas.microsoft.com/office/drawing/2015/06/chart">
            <c:ext xmlns:c16="http://schemas.microsoft.com/office/drawing/2014/chart" uri="{C3380CC4-5D6E-409C-BE32-E72D297353CC}">
              <c16:uniqueId val="{00000001-5614-41B4-AFC2-196272D2C3E9}"/>
            </c:ext>
          </c:extLst>
        </c:ser>
        <c:ser>
          <c:idx val="2"/>
          <c:order val="2"/>
          <c:tx>
            <c:strRef>
              <c:f>Sheet1!$A$4</c:f>
              <c:strCache>
                <c:ptCount val="1"/>
                <c:pt idx="0">
                  <c:v>Week 3</c:v>
                </c:pt>
              </c:strCache>
            </c:strRef>
          </c:tx>
          <c:spPr>
            <a:solidFill>
              <a:srgbClr val="79C850">
                <a:alpha val="85000"/>
              </a:srgbClr>
            </a:solidFill>
            <a:ln w="12700" cap="flat">
              <a:noFill/>
              <a:miter lim="400000"/>
            </a:ln>
            <a:effectLst/>
          </c:spPr>
          <c:invertIfNegative val="0"/>
          <c:dLbls>
            <c:numFmt formatCode="0.00%" sourceLinked="0"/>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NIHSS Scoring</c:v>
                </c:pt>
                <c:pt idx="1">
                  <c:v>Water Swallen Test</c:v>
                </c:pt>
                <c:pt idx="2">
                  <c:v>Antithrombotic therapy within 48 hours</c:v>
                </c:pt>
                <c:pt idx="3">
                  <c:v>Post-charge statin therapy</c:v>
                </c:pt>
                <c:pt idx="4">
                  <c:v>DVT prophylaxis</c:v>
                </c:pt>
                <c:pt idx="5">
                  <c:v>Post-charge anticoagulant therapy for patients with atrial fibrillation</c:v>
                </c:pt>
                <c:pt idx="6">
                  <c:v>Post-charge glycemic control</c:v>
                </c:pt>
                <c:pt idx="7">
                  <c:v>Post-charge antihypertensive therapy</c:v>
                </c:pt>
                <c:pt idx="8">
                  <c:v>intensive lipid-lowering therapy</c:v>
                </c:pt>
                <c:pt idx="9">
                  <c:v>Post-charge antithrombotic therapy</c:v>
                </c:pt>
              </c:strCache>
            </c:strRef>
          </c:cat>
          <c:val>
            <c:numRef>
              <c:f>Sheet1!$B$4:$K$4</c:f>
              <c:numCache>
                <c:formatCode>General</c:formatCode>
                <c:ptCount val="10"/>
                <c:pt idx="0">
                  <c:v>0.80672268907563005</c:v>
                </c:pt>
                <c:pt idx="1">
                  <c:v>1</c:v>
                </c:pt>
                <c:pt idx="2">
                  <c:v>0.9</c:v>
                </c:pt>
                <c:pt idx="3">
                  <c:v>0.8</c:v>
                </c:pt>
                <c:pt idx="4">
                  <c:v>0</c:v>
                </c:pt>
                <c:pt idx="6">
                  <c:v>0.375</c:v>
                </c:pt>
                <c:pt idx="7">
                  <c:v>0.58333333333333304</c:v>
                </c:pt>
                <c:pt idx="8">
                  <c:v>0.7</c:v>
                </c:pt>
                <c:pt idx="9">
                  <c:v>0.65</c:v>
                </c:pt>
              </c:numCache>
            </c:numRef>
          </c:val>
          <c:extLst xmlns:c16r2="http://schemas.microsoft.com/office/drawing/2015/06/chart">
            <c:ext xmlns:c16="http://schemas.microsoft.com/office/drawing/2014/chart" uri="{C3380CC4-5D6E-409C-BE32-E72D297353CC}">
              <c16:uniqueId val="{00000002-5614-41B4-AFC2-196272D2C3E9}"/>
            </c:ext>
          </c:extLst>
        </c:ser>
        <c:dLbls>
          <c:showLegendKey val="0"/>
          <c:showVal val="0"/>
          <c:showCatName val="0"/>
          <c:showSerName val="0"/>
          <c:showPercent val="0"/>
          <c:showBubbleSize val="0"/>
        </c:dLbls>
        <c:gapWidth val="40"/>
        <c:overlap val="-10"/>
        <c:axId val="440401712"/>
        <c:axId val="440404456"/>
      </c:barChart>
      <c:catAx>
        <c:axId val="440401712"/>
        <c:scaling>
          <c:orientation val="maxMin"/>
        </c:scaling>
        <c:delete val="0"/>
        <c:axPos val="l"/>
        <c:numFmt formatCode="General" sourceLinked="0"/>
        <c:majorTickMark val="none"/>
        <c:minorTickMark val="none"/>
        <c:tickLblPos val="nextTo"/>
        <c:spPr>
          <a:ln w="6350" cap="flat">
            <a:solidFill>
              <a:srgbClr val="A7A7A7"/>
            </a:solidFill>
            <a:prstDash val="solid"/>
            <a:miter lim="400000"/>
          </a:ln>
        </c:spPr>
        <c:txPr>
          <a:bodyPr rot="0"/>
          <a:lstStyle/>
          <a:p>
            <a:pPr>
              <a:defRPr/>
            </a:pPr>
            <a:endParaRPr lang="en-US"/>
          </a:p>
        </c:txPr>
        <c:crossAx val="440404456"/>
        <c:crosses val="autoZero"/>
        <c:auto val="1"/>
        <c:lblAlgn val="ctr"/>
        <c:lblOffset val="100"/>
        <c:noMultiLvlLbl val="1"/>
      </c:catAx>
      <c:valAx>
        <c:axId val="440404456"/>
        <c:scaling>
          <c:orientation val="minMax"/>
          <c:max val="1"/>
        </c:scaling>
        <c:delete val="0"/>
        <c:axPos val="t"/>
        <c:majorGridlines>
          <c:spPr>
            <a:ln w="6350" cap="flat">
              <a:solidFill>
                <a:srgbClr val="A7A7A7"/>
              </a:solidFill>
              <a:custDash>
                <a:ds d="200000" sp="200000"/>
              </a:custDash>
              <a:miter lim="400000"/>
            </a:ln>
          </c:spPr>
        </c:majorGridlines>
        <c:numFmt formatCode="0.00%" sourceLinked="0"/>
        <c:majorTickMark val="none"/>
        <c:minorTickMark val="none"/>
        <c:tickLblPos val="high"/>
        <c:spPr>
          <a:ln w="6350" cap="flat">
            <a:noFill/>
            <a:prstDash val="solid"/>
            <a:miter lim="400000"/>
          </a:ln>
        </c:spPr>
        <c:txPr>
          <a:bodyPr rot="0"/>
          <a:lstStyle/>
          <a:p>
            <a:pPr>
              <a:defRPr/>
            </a:pPr>
            <a:endParaRPr lang="en-US"/>
          </a:p>
        </c:txPr>
        <c:crossAx val="440401712"/>
        <c:crosses val="autoZero"/>
        <c:crossBetween val="between"/>
        <c:majorUnit val="0.25"/>
        <c:minorUnit val="0.125"/>
      </c:valAx>
      <c:spPr>
        <a:noFill/>
        <a:ln w="12700" cap="flat">
          <a:noFill/>
          <a:miter lim="400000"/>
        </a:ln>
        <a:effectLst/>
      </c:spPr>
    </c:plotArea>
    <c:legend>
      <c:legendPos val="b"/>
      <c:layout>
        <c:manualLayout>
          <c:xMode val="edge"/>
          <c:yMode val="edge"/>
          <c:x val="0.35526600000000003"/>
          <c:y val="0.93253200000000003"/>
          <c:w val="0.38897100000000001"/>
          <c:h val="6.7468399999999998E-2"/>
        </c:manualLayout>
      </c:layout>
      <c:overlay val="1"/>
      <c:spPr>
        <a:noFill/>
        <a:ln w="12700" cap="flat">
          <a:noFill/>
          <a:miter lim="400000"/>
        </a:ln>
        <a:effectLst/>
      </c:spPr>
      <c:txPr>
        <a:bodyPr rot="0"/>
        <a:lstStyle/>
        <a:p>
          <a:pPr>
            <a:defRPr/>
          </a:pPr>
          <a:endParaRPr lang="en-US"/>
        </a:p>
      </c:txPr>
    </c:legend>
    <c:plotVisOnly val="1"/>
    <c:dispBlanksAs val="gap"/>
    <c:showDLblsOverMax val="1"/>
  </c:chart>
  <c:spPr>
    <a:noFill/>
    <a:ln>
      <a:noFill/>
    </a:ln>
    <a:effectLst/>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04F26-3B96-419D-977B-0A04283EDD6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50192F04-CBAD-4062-9B06-216F4BC31C46}"/>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8920</Characters>
  <Application>Microsoft Office Word</Application>
  <DocSecurity>0</DocSecurity>
  <Lines>159</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based Quality Control in Stroke Treatment Service </dc:title>
  <dc:subject/>
  <dc:creator>Simão Campos-Neto</dc:creator>
  <cp:keywords/>
  <dc:description/>
  <cp:lastModifiedBy>Bastiaan Quast</cp:lastModifiedBy>
  <cp:revision>2</cp:revision>
  <cp:lastPrinted>2011-04-05T14:28:00Z</cp:lastPrinted>
  <dcterms:created xsi:type="dcterms:W3CDTF">2019-03-26T13:31:00Z</dcterms:created>
  <dcterms:modified xsi:type="dcterms:W3CDTF">2019-03-26T13:31:00Z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ies>
</file>