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852AAD" w:rsidRDefault="00BC1D31" w:rsidP="00401AE5">
            <w:pPr>
              <w:pStyle w:val="Docnumber"/>
            </w:pPr>
            <w:r>
              <w:t>FG-AI4H</w:t>
            </w:r>
            <w:r w:rsidR="00E03557">
              <w:t>-</w:t>
            </w:r>
            <w:r w:rsidR="00401AE5">
              <w:t>D</w:t>
            </w:r>
            <w:r>
              <w:t>-</w:t>
            </w:r>
            <w:r w:rsidR="00243D02">
              <w:t>021</w:t>
            </w:r>
          </w:p>
        </w:tc>
      </w:tr>
      <w:bookmarkEnd w:id="0"/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:rsidR="00BC1D31" w:rsidRPr="008F059E" w:rsidRDefault="008E6765" w:rsidP="00404076">
            <w:r>
              <w:t>N/A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123B21" w:rsidRDefault="00401AE5" w:rsidP="00401AE5">
            <w:pPr>
              <w:jc w:val="right"/>
            </w:pPr>
            <w:r>
              <w:t>Shanghai</w:t>
            </w:r>
            <w:r w:rsidR="00BC1D31">
              <w:t xml:space="preserve">, </w:t>
            </w:r>
            <w:r w:rsidR="00243D02">
              <w:t>2-</w:t>
            </w:r>
            <w:r w:rsidRPr="00401AE5">
              <w:t>5 April</w:t>
            </w:r>
            <w:r w:rsidR="00BC1D31" w:rsidRPr="00401AE5">
              <w:t xml:space="preserve"> </w:t>
            </w:r>
            <w:r w:rsidRPr="00401AE5">
              <w:t>2019</w:t>
            </w:r>
          </w:p>
        </w:tc>
      </w:tr>
      <w:tr w:rsidR="00E03557" w:rsidRPr="00E03557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8F059E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8F059E">
              <w:rPr>
                <w:b/>
                <w:bCs/>
              </w:rPr>
              <w:t>DOCUMENT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8F059E" w:rsidRDefault="008F059E" w:rsidP="00404076">
            <w:r w:rsidRPr="008F059E">
              <w:t>Chongqing University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8F059E" w:rsidRDefault="008F059E" w:rsidP="00404076">
            <w:r w:rsidRPr="008F059E">
              <w:t>Proposal to add new contents into</w:t>
            </w:r>
            <w:r w:rsidR="00553761">
              <w:t xml:space="preserve"> </w:t>
            </w:r>
            <w:hyperlink r:id="rId11" w:history="1">
              <w:r w:rsidR="00553761" w:rsidRPr="008F059E">
                <w:rPr>
                  <w:rStyle w:val="Hyperlink"/>
                </w:rPr>
                <w:t>FGAI4H-C-103</w:t>
              </w:r>
            </w:hyperlink>
            <w:r w:rsidRPr="008F059E">
              <w:t>: FG-AI4H Data handling and data acceptance</w:t>
            </w:r>
          </w:p>
        </w:tc>
      </w:tr>
      <w:tr w:rsidR="00E03557" w:rsidRPr="00E0355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E03557" w:rsidRPr="008F059E" w:rsidRDefault="008F059E" w:rsidP="00BC1D31">
            <w:r w:rsidRPr="008F059E">
              <w:rPr>
                <w:lang w:val="en-US"/>
              </w:rPr>
              <w:t>Discussion</w:t>
            </w:r>
          </w:p>
        </w:tc>
      </w:tr>
      <w:bookmarkEnd w:id="2"/>
      <w:bookmarkEnd w:id="10"/>
      <w:tr w:rsidR="008F059E" w:rsidRPr="00E03557" w:rsidTr="00802DC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F059E" w:rsidRPr="00E03557" w:rsidRDefault="008F059E" w:rsidP="008F059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F059E" w:rsidRPr="00896894" w:rsidRDefault="001E00EB" w:rsidP="008F059E">
            <w:sdt>
              <w:sdtPr>
                <w:rPr>
                  <w:rFonts w:hint="eastAsia"/>
                </w:rPr>
                <w:alias w:val="ContactNameOrgCountry"/>
                <w:tag w:val="ContactNameOrgCountry"/>
                <w:id w:val="-130639986"/>
                <w:placeholder>
                  <w:docPart w:val="07692D5896C54E6F9F78F72DA1804747"/>
                </w:placeholder>
                <w:text w:multiLine="1"/>
              </w:sdtPr>
              <w:sdtEndPr/>
              <w:sdtContent>
                <w:r w:rsidR="008F059E" w:rsidRPr="008A4147">
                  <w:rPr>
                    <w:rFonts w:hint="eastAsia"/>
                  </w:rPr>
                  <w:t>Daidi</w:t>
                </w:r>
                <w:r w:rsidR="008F059E" w:rsidRPr="008A4147">
                  <w:t xml:space="preserve"> Zhong</w:t>
                </w:r>
                <w:r w:rsidR="008F059E" w:rsidRPr="008A4147">
                  <w:rPr>
                    <w:rFonts w:hint="eastAsia"/>
                  </w:rPr>
                  <w:br/>
                </w:r>
                <w:r w:rsidR="008F059E" w:rsidRPr="008A4147">
                  <w:t>Chongqing University</w:t>
                </w:r>
                <w:r w:rsidR="008F059E" w:rsidRPr="008A4147">
                  <w:rPr>
                    <w:rFonts w:hint="eastAsia"/>
                  </w:rPr>
                  <w:br/>
                </w:r>
                <w:r w:rsidR="008F059E" w:rsidRPr="008A4147">
                  <w:t>P.R.China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7C226AE4244740DC99208CB295AD1831"/>
            </w:placeholder>
          </w:sdtPr>
          <w:sdtEndPr/>
          <w:sdtContent>
            <w:tc>
              <w:tcPr>
                <w:tcW w:w="358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8F059E" w:rsidRPr="008D1764" w:rsidRDefault="008F059E" w:rsidP="008F059E">
                <w:r w:rsidRPr="008A4147">
                  <w:t>Tel: +86-13696454858</w:t>
                </w:r>
                <w:r w:rsidRPr="008A4147">
                  <w:br/>
                  <w:t xml:space="preserve">E-mail: </w:t>
                </w:r>
                <w:hyperlink r:id="rId12" w:history="1">
                  <w:r w:rsidRPr="008A4147">
                    <w:rPr>
                      <w:rStyle w:val="Hyperlink"/>
                    </w:rPr>
                    <w:t>daidi.zhong@hotmail.com</w:t>
                  </w:r>
                </w:hyperlink>
                <w:r w:rsidRPr="008A4147">
                  <w:t xml:space="preserve"> </w:t>
                </w:r>
              </w:p>
            </w:tc>
          </w:sdtContent>
        </w:sdt>
      </w:tr>
    </w:tbl>
    <w:p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:rsidTr="00E03557">
        <w:trPr>
          <w:cantSplit/>
          <w:jc w:val="center"/>
        </w:trPr>
        <w:tc>
          <w:tcPr>
            <w:tcW w:w="1701" w:type="dxa"/>
          </w:tcPr>
          <w:p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BC1D31" w:rsidRDefault="008F059E" w:rsidP="00BC1D31">
            <w:pPr>
              <w:rPr>
                <w:highlight w:val="yellow"/>
              </w:rPr>
            </w:pPr>
            <w:r w:rsidRPr="008F059E">
              <w:t xml:space="preserve">This document suggests some modifications and additions to the FG-AI4H Data handling and data acceptance </w:t>
            </w:r>
            <w:r>
              <w:t xml:space="preserve">policy </w:t>
            </w:r>
            <w:r w:rsidRPr="008F059E">
              <w:t xml:space="preserve">in document </w:t>
            </w:r>
            <w:hyperlink r:id="rId13" w:history="1">
              <w:r w:rsidRPr="008F059E">
                <w:rPr>
                  <w:rStyle w:val="Hyperlink"/>
                </w:rPr>
                <w:t>FGAI4H-C-103</w:t>
              </w:r>
            </w:hyperlink>
            <w:r w:rsidRPr="008F059E">
              <w:t>. The purpose is to further help the data users and regulators to better understand the nature, origin and quality of the data leveraged by the very AI product.</w:t>
            </w:r>
          </w:p>
        </w:tc>
      </w:tr>
    </w:tbl>
    <w:p w:rsidR="00E03557" w:rsidRDefault="00E03557" w:rsidP="00E03557"/>
    <w:p w:rsidR="004A3BF0" w:rsidRDefault="004A3BF0" w:rsidP="004A3BF0">
      <w:pPr>
        <w:pStyle w:val="Heading1"/>
        <w:numPr>
          <w:ilvl w:val="0"/>
          <w:numId w:val="1"/>
        </w:numPr>
        <w:jc w:val="both"/>
      </w:pPr>
      <w:bookmarkStart w:id="11" w:name="_Ref531168371"/>
      <w:r>
        <w:t>Conformance to health data standards</w:t>
      </w:r>
      <w:bookmarkEnd w:id="11"/>
    </w:p>
    <w:p w:rsidR="008F059E" w:rsidRDefault="004A3BF0" w:rsidP="00BC1D31">
      <w:r>
        <w:t xml:space="preserve">The Clause 3.1 of original </w:t>
      </w:r>
      <w:hyperlink r:id="rId14" w:history="1">
        <w:r w:rsidRPr="008F059E">
          <w:rPr>
            <w:rStyle w:val="Hyperlink"/>
          </w:rPr>
          <w:t>FGAI4H-C-103</w:t>
        </w:r>
      </w:hyperlink>
      <w:r>
        <w:t xml:space="preserve"> document contains the following requirement -- “</w:t>
      </w:r>
      <w:r w:rsidRPr="00FC152F">
        <w:rPr>
          <w:rFonts w:asciiTheme="minorHAnsi" w:hAnsiTheme="minorHAnsi"/>
        </w:rPr>
        <w:t>Output variables are characterised, if they exist</w:t>
      </w:r>
      <w:r>
        <w:t xml:space="preserve">”. This clause aims to provide a </w:t>
      </w:r>
      <w:r w:rsidR="00064D7B" w:rsidRPr="00064D7B">
        <w:rPr>
          <w:b/>
        </w:rPr>
        <w:t>mandatory</w:t>
      </w:r>
      <w:r w:rsidR="00064D7B">
        <w:t xml:space="preserve"> </w:t>
      </w:r>
      <w:r>
        <w:t xml:space="preserve">requirement on the representation of the dataset, but it doesn’t make the reference to existing health data standards sufficiently explicit. </w:t>
      </w:r>
    </w:p>
    <w:p w:rsidR="00064D7B" w:rsidRDefault="00064D7B" w:rsidP="00064D7B">
      <w:r>
        <w:t>Meanwhile, the 6</w:t>
      </w:r>
      <w:r w:rsidRPr="00064D7B">
        <w:rPr>
          <w:vertAlign w:val="superscript"/>
        </w:rPr>
        <w:t>th</w:t>
      </w:r>
      <w:r>
        <w:t xml:space="preserve"> paragraph of Clause </w:t>
      </w:r>
      <w:r w:rsidR="00C4053B">
        <w:t>3.3</w:t>
      </w:r>
      <w:r>
        <w:t xml:space="preserve"> contains the sentence “</w:t>
      </w:r>
      <w:r w:rsidRPr="00C4053B">
        <w:rPr>
          <w:rFonts w:asciiTheme="minorHAnsi" w:hAnsiTheme="minorHAnsi"/>
        </w:rPr>
        <w:t>Do the data conform to any standards for health data?</w:t>
      </w:r>
      <w:r>
        <w:t xml:space="preserve">”. </w:t>
      </w:r>
      <w:r w:rsidR="00C4053B">
        <w:t>This</w:t>
      </w:r>
      <w:r>
        <w:t xml:space="preserve"> is an </w:t>
      </w:r>
      <w:r w:rsidRPr="00064D7B">
        <w:rPr>
          <w:b/>
        </w:rPr>
        <w:t>optional</w:t>
      </w:r>
      <w:r>
        <w:t xml:space="preserve"> requirement to the dataset suppliers.</w:t>
      </w:r>
    </w:p>
    <w:p w:rsidR="00C4053B" w:rsidRDefault="00C4053B" w:rsidP="00064D7B">
      <w:r>
        <w:t>The above two occurrences seem to be conflict to each other.</w:t>
      </w:r>
    </w:p>
    <w:p w:rsidR="004A3BF0" w:rsidRDefault="004A3BF0" w:rsidP="00BC1D31">
      <w:r>
        <w:t xml:space="preserve">The original wording </w:t>
      </w:r>
      <w:r w:rsidR="00C4053B">
        <w:t xml:space="preserve">in Clause 3.1 </w:t>
      </w:r>
      <w:r>
        <w:t>mentioned ICD, which is a well-know</w:t>
      </w:r>
      <w:r w:rsidR="00216542">
        <w:t>n</w:t>
      </w:r>
      <w:r>
        <w:t xml:space="preserve"> example of various health data standards that ha</w:t>
      </w:r>
      <w:r w:rsidR="00216542">
        <w:t>d</w:t>
      </w:r>
      <w:r>
        <w:t xml:space="preserve"> been created by the clinician community or medical device industry. Similar standards include, but are not limited to, SNOMED, LOINC, 11073-10101, etc.</w:t>
      </w:r>
      <w:r w:rsidR="00216542">
        <w:t xml:space="preserve"> These health data standards represent the well-established domain knowledge shared by the professionals; and they also are the common languages used </w:t>
      </w:r>
      <w:r w:rsidR="00E107A6">
        <w:t xml:space="preserve">ultimately </w:t>
      </w:r>
      <w:r w:rsidR="00216542">
        <w:t xml:space="preserve">by our stakeholders.  </w:t>
      </w:r>
      <w:r w:rsidR="00216542">
        <w:rPr>
          <w:lang w:val="en-US"/>
        </w:rPr>
        <w:t xml:space="preserve">Behind </w:t>
      </w:r>
      <w:r w:rsidR="00216542">
        <w:t>these standards, much efforts ha</w:t>
      </w:r>
      <w:r w:rsidR="00E107A6">
        <w:t>d</w:t>
      </w:r>
      <w:r w:rsidR="00216542">
        <w:t xml:space="preserve"> been put </w:t>
      </w:r>
      <w:r w:rsidR="00E107A6">
        <w:t xml:space="preserve">together in order </w:t>
      </w:r>
      <w:r w:rsidR="00216542">
        <w:t xml:space="preserve">to clearly define or distinguish various semantics used in the field. </w:t>
      </w:r>
    </w:p>
    <w:p w:rsidR="008F059E" w:rsidRDefault="00216542" w:rsidP="00BC1D31">
      <w:r>
        <w:t xml:space="preserve">Therefore, it would be wise if FG-AI4H could directly leverage such standardized </w:t>
      </w:r>
      <w:r w:rsidR="00E107A6">
        <w:t xml:space="preserve">data </w:t>
      </w:r>
      <w:r>
        <w:t xml:space="preserve">infrastructure and build our standards on top them. Based on this motivation, </w:t>
      </w:r>
      <w:r w:rsidR="00DA2BEA">
        <w:t>we</w:t>
      </w:r>
      <w:r>
        <w:t xml:space="preserve"> hereby </w:t>
      </w:r>
      <w:r w:rsidRPr="00FC152F">
        <w:rPr>
          <w:b/>
        </w:rPr>
        <w:t>propose to refine the wording in order to make the reference towards health data standard more explicit</w:t>
      </w:r>
      <w:r>
        <w:t xml:space="preserve">. </w:t>
      </w:r>
      <w:r w:rsidR="00C4053B">
        <w:t>And such requirement shall be placed in either Mandatory (Clause 3,1) or Conditional (Clause 3.2), but not Recommended (Clause 3.3).</w:t>
      </w:r>
    </w:p>
    <w:p w:rsidR="00E107A6" w:rsidRDefault="00E107A6" w:rsidP="00BC1D31">
      <w:r>
        <w:t>In addition, the same logic applies to input data as well.</w:t>
      </w:r>
    </w:p>
    <w:p w:rsidR="00E107A6" w:rsidRDefault="00E107A6" w:rsidP="00BC1D31">
      <w:r>
        <w:t>A sample wording, subjected to group discussion, is provided as below: “</w:t>
      </w:r>
      <w:r w:rsidRPr="00FC152F">
        <w:rPr>
          <w:rFonts w:asciiTheme="minorHAnsi" w:eastAsia="仿宋" w:hAnsiTheme="minorHAnsi"/>
        </w:rPr>
        <w:t xml:space="preserve">Input and output variables are characterized (possibly with codes, classifications, triage tags, pixel or voxel labels, annotations, etc.). Whenever applicable, such characterization shall be conformed to existing </w:t>
      </w:r>
      <w:r w:rsidRPr="00FC152F">
        <w:rPr>
          <w:rFonts w:asciiTheme="minorHAnsi" w:eastAsia="仿宋" w:hAnsiTheme="minorHAnsi"/>
        </w:rPr>
        <w:lastRenderedPageBreak/>
        <w:t>health data standards, with the understanding that local or regional extension, restriction, profiling or adaption may be applied.</w:t>
      </w:r>
      <w:r>
        <w:t>”</w:t>
      </w:r>
    </w:p>
    <w:p w:rsidR="00FC152F" w:rsidRDefault="00FC152F" w:rsidP="00BC1D31"/>
    <w:p w:rsidR="00FC152F" w:rsidRDefault="00C4053B" w:rsidP="00FC152F">
      <w:pPr>
        <w:pStyle w:val="Heading1"/>
        <w:numPr>
          <w:ilvl w:val="0"/>
          <w:numId w:val="1"/>
        </w:numPr>
        <w:jc w:val="both"/>
      </w:pPr>
      <w:r>
        <w:t xml:space="preserve">Handling </w:t>
      </w:r>
      <w:r w:rsidRPr="00C4053B">
        <w:t>missing or incomplete data</w:t>
      </w:r>
    </w:p>
    <w:p w:rsidR="008F059E" w:rsidRDefault="00914A95" w:rsidP="00BC1D31">
      <w:r>
        <w:t xml:space="preserve">In the </w:t>
      </w:r>
      <w:r w:rsidR="00802DC8">
        <w:t xml:space="preserve">Clause 3.1 of </w:t>
      </w:r>
      <w:r w:rsidR="00C4053B">
        <w:t xml:space="preserve">original </w:t>
      </w:r>
      <w:hyperlink r:id="rId15" w:history="1">
        <w:r w:rsidR="00C4053B" w:rsidRPr="008F059E">
          <w:rPr>
            <w:rStyle w:val="Hyperlink"/>
          </w:rPr>
          <w:t>FGAI4H-C-103</w:t>
        </w:r>
      </w:hyperlink>
      <w:r w:rsidR="00C4053B">
        <w:t xml:space="preserve"> document, </w:t>
      </w:r>
      <w:r w:rsidR="00802DC8">
        <w:t>after</w:t>
      </w:r>
      <w:r>
        <w:t xml:space="preserve"> the sentence “</w:t>
      </w:r>
      <w:r w:rsidRPr="00C4053B">
        <w:rPr>
          <w:rFonts w:asciiTheme="minorHAnsi" w:hAnsiTheme="minorHAnsi"/>
        </w:rPr>
        <w:t>Any data (pre-)processing methods are explained</w:t>
      </w:r>
      <w:r w:rsidRPr="00802DC8">
        <w:t>”</w:t>
      </w:r>
      <w:r w:rsidR="00802DC8">
        <w:t xml:space="preserve">, a possible </w:t>
      </w:r>
      <w:r w:rsidR="00C4053B">
        <w:t xml:space="preserve">sub-scenario </w:t>
      </w:r>
      <w:r w:rsidR="00802DC8">
        <w:t xml:space="preserve">was listed. </w:t>
      </w:r>
      <w:r w:rsidR="00C4053B">
        <w:t xml:space="preserve">  This is a </w:t>
      </w:r>
      <w:r w:rsidR="00C4053B" w:rsidRPr="00C4053B">
        <w:rPr>
          <w:b/>
        </w:rPr>
        <w:t>Mandatory</w:t>
      </w:r>
      <w:r w:rsidR="00C4053B">
        <w:t xml:space="preserve"> requirement. </w:t>
      </w:r>
    </w:p>
    <w:p w:rsidR="00C4053B" w:rsidRDefault="00C4053B" w:rsidP="003242D6">
      <w:r>
        <w:t xml:space="preserve">Meanwhile, the </w:t>
      </w:r>
      <w:r w:rsidR="0070769E">
        <w:t>5</w:t>
      </w:r>
      <w:r w:rsidRPr="00064D7B">
        <w:rPr>
          <w:vertAlign w:val="superscript"/>
        </w:rPr>
        <w:t>th</w:t>
      </w:r>
      <w:r>
        <w:t xml:space="preserve"> paragraph of Clause 3.3 contains the</w:t>
      </w:r>
      <w:r w:rsidR="00245A34" w:rsidRPr="00245A34">
        <w:t xml:space="preserve"> </w:t>
      </w:r>
      <w:r w:rsidR="00245A34">
        <w:t>following</w:t>
      </w:r>
      <w:r>
        <w:t xml:space="preserve"> sentence -- “</w:t>
      </w:r>
      <w:r w:rsidR="003242D6">
        <w:rPr>
          <w:rFonts w:asciiTheme="minorHAnsi" w:hAnsiTheme="minorHAnsi"/>
        </w:rPr>
        <w:t>how missing or incomplete data have been treated if the case?</w:t>
      </w:r>
      <w:bookmarkStart w:id="12" w:name="_GoBack"/>
      <w:bookmarkEnd w:id="12"/>
      <w:r>
        <w:t xml:space="preserve">”.    This is a </w:t>
      </w:r>
      <w:r w:rsidRPr="00C4053B">
        <w:rPr>
          <w:b/>
        </w:rPr>
        <w:t>Recommended</w:t>
      </w:r>
      <w:r>
        <w:t xml:space="preserve"> requirement. </w:t>
      </w:r>
    </w:p>
    <w:p w:rsidR="00C4053B" w:rsidRDefault="00C4053B" w:rsidP="00BC1D31">
      <w:r>
        <w:t>However,  the 2</w:t>
      </w:r>
      <w:r w:rsidRPr="00C4053B">
        <w:rPr>
          <w:vertAlign w:val="superscript"/>
        </w:rPr>
        <w:t>nd</w:t>
      </w:r>
      <w:r>
        <w:t xml:space="preserve"> sub-scenario mentioned above occur in the field frequently, and it is equally important as the sub-scenario listed in the 1</w:t>
      </w:r>
      <w:r w:rsidRPr="00C4053B">
        <w:rPr>
          <w:vertAlign w:val="superscript"/>
        </w:rPr>
        <w:t>st</w:t>
      </w:r>
      <w:r>
        <w:t xml:space="preserve"> bullet.</w:t>
      </w:r>
    </w:p>
    <w:p w:rsidR="00914A95" w:rsidRDefault="00802DC8" w:rsidP="00BC1D31">
      <w:r>
        <w:t>For example, in certain remote monitoring scenario, a series of data without synchronized timeline basis might still be able to provide some useful hints for diagnosis/prevention purpose. In some other scenarios, the monitoring device</w:t>
      </w:r>
      <w:r w:rsidR="003B44C5">
        <w:t>s</w:t>
      </w:r>
      <w:r>
        <w:t xml:space="preserve"> or data collectors are not able to fully </w:t>
      </w:r>
      <w:r w:rsidR="003B44C5">
        <w:t>interpret or label</w:t>
      </w:r>
      <w:r>
        <w:t xml:space="preserve"> the </w:t>
      </w:r>
      <w:r w:rsidR="003B44C5">
        <w:t>data</w:t>
      </w:r>
      <w:r>
        <w:t xml:space="preserve"> they obtained, but they did annotate </w:t>
      </w:r>
      <w:r w:rsidR="003B44C5">
        <w:t xml:space="preserve">such exceptions with proper tags. Therefore, data that is useless for user A might still be useful or partially useful to user B. Such details can be described when applicable. </w:t>
      </w:r>
    </w:p>
    <w:p w:rsidR="00C4053B" w:rsidRPr="006F37FE" w:rsidRDefault="00C4053B" w:rsidP="00C4053B">
      <w:r w:rsidRPr="006F37FE">
        <w:t xml:space="preserve">Therefore, </w:t>
      </w:r>
      <w:r w:rsidR="00DA2BEA">
        <w:rPr>
          <w:b/>
        </w:rPr>
        <w:t>we</w:t>
      </w:r>
      <w:r w:rsidRPr="006F37FE">
        <w:rPr>
          <w:b/>
        </w:rPr>
        <w:t xml:space="preserve"> propose to move the 2</w:t>
      </w:r>
      <w:r w:rsidRPr="006F37FE">
        <w:rPr>
          <w:b/>
          <w:vertAlign w:val="superscript"/>
        </w:rPr>
        <w:t>nd</w:t>
      </w:r>
      <w:r w:rsidRPr="006F37FE">
        <w:rPr>
          <w:b/>
        </w:rPr>
        <w:t xml:space="preserve"> sub-scenario </w:t>
      </w:r>
      <w:r w:rsidR="006F37FE">
        <w:rPr>
          <w:b/>
        </w:rPr>
        <w:t xml:space="preserve">from Clause 3.3 </w:t>
      </w:r>
      <w:r w:rsidRPr="006F37FE">
        <w:rPr>
          <w:b/>
        </w:rPr>
        <w:t>into Clause 3</w:t>
      </w:r>
      <w:r w:rsidR="006F37FE">
        <w:rPr>
          <w:b/>
        </w:rPr>
        <w:t>.</w:t>
      </w:r>
      <w:r w:rsidRPr="006F37FE">
        <w:rPr>
          <w:b/>
        </w:rPr>
        <w:t>1, in order to make it mandatory.</w:t>
      </w:r>
      <w:r w:rsidRPr="006F37FE">
        <w:t xml:space="preserve"> </w:t>
      </w:r>
      <w:r w:rsidR="006F37FE" w:rsidRPr="006F37FE">
        <w:t>In addition, I propose to change the wording to</w:t>
      </w:r>
      <w:r w:rsidRPr="006F37FE">
        <w:t xml:space="preserve"> -- “</w:t>
      </w:r>
      <w:r w:rsidRPr="0070769E">
        <w:rPr>
          <w:rFonts w:asciiTheme="minorHAnsi" w:hAnsiTheme="minorHAnsi"/>
        </w:rPr>
        <w:t xml:space="preserve">How the </w:t>
      </w:r>
      <w:r w:rsidR="006F37FE" w:rsidRPr="0070769E">
        <w:rPr>
          <w:rFonts w:asciiTheme="minorHAnsi" w:hAnsiTheme="minorHAnsi"/>
        </w:rPr>
        <w:t xml:space="preserve">missing, </w:t>
      </w:r>
      <w:r w:rsidRPr="0070769E">
        <w:rPr>
          <w:rFonts w:asciiTheme="minorHAnsi" w:hAnsiTheme="minorHAnsi"/>
        </w:rPr>
        <w:t>doubtable, incomplete or NULL but partially-useful data are treated?</w:t>
      </w:r>
      <w:r w:rsidRPr="006F37FE">
        <w:t xml:space="preserve">”  </w:t>
      </w:r>
    </w:p>
    <w:p w:rsidR="00C4053B" w:rsidRDefault="00C4053B" w:rsidP="00BC1D31"/>
    <w:p w:rsidR="00245A34" w:rsidRDefault="00245A34" w:rsidP="00245A34">
      <w:pPr>
        <w:pStyle w:val="Heading1"/>
        <w:numPr>
          <w:ilvl w:val="0"/>
          <w:numId w:val="1"/>
        </w:numPr>
        <w:jc w:val="both"/>
      </w:pPr>
      <w:r>
        <w:t>Data creation and validation</w:t>
      </w:r>
    </w:p>
    <w:p w:rsidR="00245A34" w:rsidRDefault="00245A34" w:rsidP="00245A34">
      <w:r>
        <w:t xml:space="preserve">The Clause 3.1 of original </w:t>
      </w:r>
      <w:hyperlink r:id="rId16" w:history="1">
        <w:r w:rsidRPr="008F059E">
          <w:rPr>
            <w:rStyle w:val="Hyperlink"/>
          </w:rPr>
          <w:t>FGAI4H-C-103</w:t>
        </w:r>
      </w:hyperlink>
      <w:r>
        <w:t xml:space="preserve"> document contains following content – “</w:t>
      </w:r>
      <w:r w:rsidRPr="00245A34">
        <w:rPr>
          <w:rFonts w:asciiTheme="minorHAnsi" w:hAnsiTheme="minorHAnsi"/>
        </w:rPr>
        <w:t>Who has created the labels/ground truths? Who has assessed the data, e.g. with respect to quality?</w:t>
      </w:r>
      <w:r>
        <w:t xml:space="preserve">”. This is a </w:t>
      </w:r>
      <w:r w:rsidRPr="00C4053B">
        <w:rPr>
          <w:b/>
        </w:rPr>
        <w:t>Mandatory</w:t>
      </w:r>
      <w:r>
        <w:t xml:space="preserve"> requirement. </w:t>
      </w:r>
    </w:p>
    <w:p w:rsidR="00245A34" w:rsidRDefault="00245A34" w:rsidP="00245A34">
      <w:r>
        <w:t xml:space="preserve">The </w:t>
      </w:r>
      <w:r w:rsidR="00966632">
        <w:t>1</w:t>
      </w:r>
      <w:r w:rsidR="00966632" w:rsidRPr="00966632">
        <w:rPr>
          <w:vertAlign w:val="superscript"/>
        </w:rPr>
        <w:t>st</w:t>
      </w:r>
      <w:r w:rsidR="00966632">
        <w:t xml:space="preserve"> </w:t>
      </w:r>
      <w:r>
        <w:t>paragraph of Clause 3.3 contains the following sentence – “</w:t>
      </w:r>
      <w:r w:rsidRPr="00D32E98">
        <w:t>Data and annotations/labels/</w:t>
      </w:r>
      <w:r>
        <w:t xml:space="preserve"> </w:t>
      </w:r>
      <w:r w:rsidRPr="00D32E98">
        <w:t xml:space="preserve">output variables </w:t>
      </w:r>
      <w:r>
        <w:t>have been</w:t>
      </w:r>
      <w:r w:rsidRPr="00D32E98">
        <w:t xml:space="preserve"> validated by </w:t>
      </w:r>
      <w:r w:rsidRPr="00245A34">
        <w:t>an independent domain</w:t>
      </w:r>
      <w:r w:rsidRPr="00D32E98">
        <w:t xml:space="preserve"> expert/specialist in terms of quality and suitability</w:t>
      </w:r>
      <w:r>
        <w:t xml:space="preserve">”. This is a </w:t>
      </w:r>
      <w:r w:rsidRPr="00C4053B">
        <w:rPr>
          <w:b/>
        </w:rPr>
        <w:t>Recommended</w:t>
      </w:r>
      <w:r>
        <w:t xml:space="preserve"> requirement. </w:t>
      </w:r>
    </w:p>
    <w:p w:rsidR="00245A34" w:rsidRDefault="00245A34" w:rsidP="00245A34">
      <w:r>
        <w:t>The above two occurrences seem to be conflict to each other. The concept of the 2</w:t>
      </w:r>
      <w:r w:rsidRPr="00245A34">
        <w:rPr>
          <w:vertAlign w:val="superscript"/>
        </w:rPr>
        <w:t>nd</w:t>
      </w:r>
      <w:r>
        <w:t xml:space="preserve"> requirement has already been included by the 1</w:t>
      </w:r>
      <w:r w:rsidRPr="00245A34">
        <w:rPr>
          <w:vertAlign w:val="superscript"/>
        </w:rPr>
        <w:t>st</w:t>
      </w:r>
      <w:r>
        <w:t xml:space="preserve"> requirement. </w:t>
      </w:r>
    </w:p>
    <w:p w:rsidR="00245A34" w:rsidRDefault="00966632" w:rsidP="00245A34">
      <w:pPr>
        <w:rPr>
          <w:b/>
        </w:rPr>
      </w:pPr>
      <w:r w:rsidRPr="006F37FE">
        <w:t xml:space="preserve">Therefore, </w:t>
      </w:r>
      <w:r w:rsidR="00DA2BEA">
        <w:rPr>
          <w:b/>
        </w:rPr>
        <w:t>we</w:t>
      </w:r>
      <w:r w:rsidRPr="006F37FE">
        <w:rPr>
          <w:b/>
        </w:rPr>
        <w:t xml:space="preserve"> propose to move the 2</w:t>
      </w:r>
      <w:r w:rsidRPr="006F37FE">
        <w:rPr>
          <w:b/>
          <w:vertAlign w:val="superscript"/>
        </w:rPr>
        <w:t>nd</w:t>
      </w:r>
      <w:r w:rsidRPr="006F37FE">
        <w:rPr>
          <w:b/>
        </w:rPr>
        <w:t xml:space="preserve"> </w:t>
      </w:r>
      <w:r>
        <w:rPr>
          <w:b/>
        </w:rPr>
        <w:t>requirement</w:t>
      </w:r>
      <w:r w:rsidRPr="006F37FE">
        <w:rPr>
          <w:b/>
        </w:rPr>
        <w:t xml:space="preserve"> </w:t>
      </w:r>
      <w:r>
        <w:rPr>
          <w:b/>
        </w:rPr>
        <w:t xml:space="preserve">from Clause 3.3 </w:t>
      </w:r>
      <w:r w:rsidRPr="006F37FE">
        <w:rPr>
          <w:b/>
        </w:rPr>
        <w:t>into Clause 3</w:t>
      </w:r>
      <w:r>
        <w:rPr>
          <w:b/>
        </w:rPr>
        <w:t>.</w:t>
      </w:r>
      <w:r w:rsidRPr="006F37FE">
        <w:rPr>
          <w:b/>
        </w:rPr>
        <w:t>1, in order to make it mandatory.</w:t>
      </w:r>
    </w:p>
    <w:p w:rsidR="0010570A" w:rsidRDefault="0010570A" w:rsidP="00245A34"/>
    <w:p w:rsidR="0010570A" w:rsidRDefault="0010570A" w:rsidP="0010570A">
      <w:pPr>
        <w:pStyle w:val="Heading1"/>
        <w:numPr>
          <w:ilvl w:val="0"/>
          <w:numId w:val="1"/>
        </w:numPr>
        <w:jc w:val="both"/>
      </w:pPr>
      <w:r>
        <w:t>Checklist as Appendix</w:t>
      </w:r>
    </w:p>
    <w:p w:rsidR="0010570A" w:rsidRDefault="0010570A" w:rsidP="0010570A">
      <w:r>
        <w:t>The</w:t>
      </w:r>
      <w:r w:rsidRPr="00FC152F">
        <w:t xml:space="preserve"> </w:t>
      </w:r>
      <w:r>
        <w:t xml:space="preserve">original </w:t>
      </w:r>
      <w:hyperlink r:id="rId17" w:history="1">
        <w:r w:rsidRPr="008F059E">
          <w:rPr>
            <w:rStyle w:val="Hyperlink"/>
          </w:rPr>
          <w:t>FGAI4H-C-103</w:t>
        </w:r>
      </w:hyperlink>
      <w:r>
        <w:t xml:space="preserve"> document contains multiple mandatory and optional requirements on how to describe a dataset when submitting it to ITU. However, the current layout of </w:t>
      </w:r>
      <w:hyperlink r:id="rId18" w:history="1">
        <w:r w:rsidRPr="008F059E">
          <w:rPr>
            <w:rStyle w:val="Hyperlink"/>
          </w:rPr>
          <w:t>FGAI4H-C-103</w:t>
        </w:r>
      </w:hyperlink>
      <w:r>
        <w:t xml:space="preserve"> is not sufficiently intuitive for data suppliers to act on.  </w:t>
      </w:r>
    </w:p>
    <w:p w:rsidR="0010570A" w:rsidRDefault="0010570A" w:rsidP="0010570A">
      <w:r>
        <w:t xml:space="preserve">To make it easier to use and implement, </w:t>
      </w:r>
      <w:r w:rsidR="00DA2BEA">
        <w:rPr>
          <w:b/>
        </w:rPr>
        <w:t>we</w:t>
      </w:r>
      <w:r w:rsidRPr="00FC152F">
        <w:rPr>
          <w:b/>
        </w:rPr>
        <w:t xml:space="preserve"> propose to define a checklist based on current contents, with corresponding identifiers</w:t>
      </w:r>
      <w:r>
        <w:t xml:space="preserve"> (Mandatory, Optional, Conditional, etc.). Such checklist can be added as an Appendix of </w:t>
      </w:r>
      <w:hyperlink r:id="rId19" w:history="1">
        <w:r w:rsidRPr="008F059E">
          <w:rPr>
            <w:rStyle w:val="Hyperlink"/>
          </w:rPr>
          <w:t>FGAI4H-C-103</w:t>
        </w:r>
      </w:hyperlink>
      <w:r>
        <w:t>.  This may also help us to identify potential issues like the above three items.</w:t>
      </w:r>
    </w:p>
    <w:p w:rsidR="003429F2" w:rsidRDefault="00BC1D31" w:rsidP="00404076">
      <w:pPr>
        <w:spacing w:after="20"/>
        <w:jc w:val="center"/>
      </w:pPr>
      <w:r>
        <w:t>____________________________</w:t>
      </w:r>
    </w:p>
    <w:p w:rsidR="00BC1D31" w:rsidRPr="00AB258E" w:rsidRDefault="00BC1D31" w:rsidP="00BC1D31"/>
    <w:sectPr w:rsidR="00BC1D31" w:rsidRPr="00AB258E" w:rsidSect="007B7733">
      <w:headerReference w:type="default" r:id="rId20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EB" w:rsidRDefault="001E00EB" w:rsidP="007B7733">
      <w:pPr>
        <w:spacing w:before="0"/>
      </w:pPr>
      <w:r>
        <w:separator/>
      </w:r>
    </w:p>
  </w:endnote>
  <w:endnote w:type="continuationSeparator" w:id="0">
    <w:p w:rsidR="001E00EB" w:rsidRDefault="001E00E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EB" w:rsidRDefault="001E00EB" w:rsidP="007B7733">
      <w:pPr>
        <w:spacing w:before="0"/>
      </w:pPr>
      <w:r>
        <w:separator/>
      </w:r>
    </w:p>
  </w:footnote>
  <w:footnote w:type="continuationSeparator" w:id="0">
    <w:p w:rsidR="001E00EB" w:rsidRDefault="001E00E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32" w:rsidRDefault="00966632" w:rsidP="00802DC8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B6C16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966632" w:rsidRPr="007336C4" w:rsidRDefault="00966632" w:rsidP="00802DC8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B6C16">
      <w:rPr>
        <w:noProof/>
      </w:rPr>
      <w:t>FG-AI4H-D-021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5D06C34"/>
    <w:multiLevelType w:val="hybridMultilevel"/>
    <w:tmpl w:val="F588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4D7B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570A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0EB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16542"/>
    <w:rsid w:val="0022194A"/>
    <w:rsid w:val="00222121"/>
    <w:rsid w:val="00223009"/>
    <w:rsid w:val="00226A0F"/>
    <w:rsid w:val="00230922"/>
    <w:rsid w:val="002313E5"/>
    <w:rsid w:val="002341B0"/>
    <w:rsid w:val="00242B8D"/>
    <w:rsid w:val="00243D02"/>
    <w:rsid w:val="00245A34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066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42D6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44C5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3BF0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761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37FE"/>
    <w:rsid w:val="006F6A15"/>
    <w:rsid w:val="0070068E"/>
    <w:rsid w:val="0070769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2DC8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6765"/>
    <w:rsid w:val="008E7D3D"/>
    <w:rsid w:val="008F059E"/>
    <w:rsid w:val="008F24C6"/>
    <w:rsid w:val="008F55EA"/>
    <w:rsid w:val="008F6E82"/>
    <w:rsid w:val="008F7D58"/>
    <w:rsid w:val="00900222"/>
    <w:rsid w:val="0090354F"/>
    <w:rsid w:val="00906CD8"/>
    <w:rsid w:val="009142BB"/>
    <w:rsid w:val="00914A95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6632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1DE2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0E13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53B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2BEA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07A6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C16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52F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1">
    <w:name w:val="井号标签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10">
    <w:name w:val="@他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11">
    <w:name w:val="智能超链接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12">
    <w:name w:val="未处理的提及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focusgroups/ai4h/Documents/FGAI4H-C-103.pdf" TargetMode="External"/><Relationship Id="rId18" Type="http://schemas.openxmlformats.org/officeDocument/2006/relationships/hyperlink" Target="https://www.itu.int/en/ITU-T/focusgroups/ai4h/Documents/FGAI4H-C-103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aidi.zhong@hotmail.com" TargetMode="External"/><Relationship Id="rId17" Type="http://schemas.openxmlformats.org/officeDocument/2006/relationships/hyperlink" Target="https://www.itu.int/en/ITU-T/focusgroups/ai4h/Documents/FGAI4H-C-10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h/Documents/FGAI4H-C-10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focusgroups/ai4h/Documents/FGAI4H-C-10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focusgroups/ai4h/Documents/FGAI4H-C-103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www.itu.int/en/ITU-T/focusgroups/ai4h/Documents/FGAI4H-C-10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focusgroups/ai4h/Documents/FGAI4H-C-103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692D5896C54E6F9F78F72DA18047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0DC6DF-ED94-4075-B6A6-EBF4A1DDFCCC}"/>
      </w:docPartPr>
      <w:docPartBody>
        <w:p w:rsidR="00417AA8" w:rsidRDefault="00417AA8" w:rsidP="00417AA8">
          <w:pPr>
            <w:pStyle w:val="07692D5896C54E6F9F78F72DA180474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C226AE4244740DC99208CB295AD18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181337-1FAB-4478-B54F-36F27A6E62CF}"/>
      </w:docPartPr>
      <w:docPartBody>
        <w:p w:rsidR="00417AA8" w:rsidRDefault="00417AA8" w:rsidP="00417AA8">
          <w:pPr>
            <w:pStyle w:val="7C226AE4244740DC99208CB295AD183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A8"/>
    <w:rsid w:val="0009370A"/>
    <w:rsid w:val="00417AA8"/>
    <w:rsid w:val="00D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AA8"/>
    <w:rPr>
      <w:rFonts w:ascii="Times New Roman" w:hAnsi="Times New Roman"/>
      <w:color w:val="808080"/>
    </w:rPr>
  </w:style>
  <w:style w:type="paragraph" w:customStyle="1" w:styleId="07692D5896C54E6F9F78F72DA1804747">
    <w:name w:val="07692D5896C54E6F9F78F72DA1804747"/>
    <w:rsid w:val="00417AA8"/>
  </w:style>
  <w:style w:type="paragraph" w:customStyle="1" w:styleId="7C226AE4244740DC99208CB295AD1831">
    <w:name w:val="7C226AE4244740DC99208CB295AD1831"/>
    <w:rsid w:val="00417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A6035-1670-4BBE-BC93-B3E457E0F78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add new contents into FGAI4H-C-103: FG-AI4H Data handling and data acceptance</vt:lpstr>
    </vt:vector>
  </TitlesOfParts>
  <Manager>ITU-T</Manager>
  <Company>International Telecommunication Union (ITU)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add new contents into FGAI4H-C-103: FG-AI4H Data handling and data acceptance</dc:title>
  <dc:subject/>
  <dc:creator>Chongqing University</dc:creator>
  <cp:keywords/>
  <dc:description>FG-AI4H-D-021  For: Shanghai, 2-5 April 2019_x000d_Document date: ITU-T Focus Group on AI for Health_x000d_Saved by ITU51012719 at 03:24:59 on 01/04/2019</dc:description>
  <cp:lastModifiedBy>Bastiaan Quast</cp:lastModifiedBy>
  <cp:revision>2</cp:revision>
  <cp:lastPrinted>2011-04-05T14:28:00Z</cp:lastPrinted>
  <dcterms:created xsi:type="dcterms:W3CDTF">2019-04-04T05:18:00Z</dcterms:created>
  <dcterms:modified xsi:type="dcterms:W3CDTF">2019-04-04T05:18:00Z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FG-AI4H-D-021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Shanghai, 2-5 April 2019</vt:lpwstr>
  </property>
  <property fmtid="{D5CDD505-2E9C-101B-9397-08002B2CF9AE}" pid="8" name="Docauthor">
    <vt:lpwstr>Chongqing University</vt:lpwstr>
  </property>
</Properties>
</file>