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978"/>
        <w:gridCol w:w="3700"/>
      </w:tblGrid>
      <w:tr w:rsidRPr="00E03557" w:rsidR="00E03557" w:rsidTr="67C69537" w14:paraId="2052D453" w14:textId="77777777">
        <w:trPr>
          <w:cantSplit/>
          <w:jc w:val="center"/>
        </w:trPr>
        <w:tc>
          <w:tcPr>
            <w:tcW w:w="1133" w:type="dxa"/>
            <w:vMerge w:val="restart"/>
            <w:tcMar/>
            <w:vAlign w:val="center"/>
          </w:tcPr>
          <w:p w:rsidRPr="00E03557" w:rsidR="00E03557" w:rsidP="00E03557" w:rsidRDefault="00BC1D31" w14:paraId="12B633EA" w14:textId="77777777">
            <w:pPr>
              <w:jc w:val="center"/>
              <w:rPr>
                <w:sz w:val="20"/>
                <w:szCs w:val="20"/>
              </w:rPr>
            </w:pPr>
            <w:bookmarkStart w:name="dtableau" w:id="0"/>
            <w:bookmarkStart w:name="dsg" w:colFirst="1" w:colLast="1" w:id="1"/>
            <w:bookmarkStart w:name="dnum" w:colFirst="2" w:colLast="2" w:id="2"/>
            <w:r w:rsidRPr="00E03557">
              <w:rPr>
                <w:noProof/>
                <w:sz w:val="20"/>
                <w:szCs w:val="20"/>
                <w:lang w:eastAsia="en-GB"/>
              </w:rPr>
              <w:drawing>
                <wp:inline distT="0" distB="0" distL="0" distR="0" wp14:anchorId="0DB58348" wp14:editId="077A0B5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67C69537" w:rsidRDefault="00E03557" w14:paraId="72F25CDD" w14:textId="77777777" w14:noSpellErr="1">
            <w:pPr>
              <w:rPr>
                <w:sz w:val="16"/>
                <w:szCs w:val="16"/>
              </w:rPr>
            </w:pPr>
            <w:r w:rsidRPr="67C69537" w:rsidR="67C69537">
              <w:rPr>
                <w:sz w:val="16"/>
                <w:szCs w:val="16"/>
              </w:rPr>
              <w:t>INTERNATIONAL TELECOMMUNICATION UNION</w:t>
            </w:r>
          </w:p>
          <w:p w:rsidRPr="00E03557" w:rsidR="00E03557" w:rsidP="67C69537" w:rsidRDefault="00E03557" w14:paraId="56E187B7" w14:textId="77777777" w14:noSpellErr="1">
            <w:pPr>
              <w:rPr>
                <w:b w:val="1"/>
                <w:bCs w:val="1"/>
                <w:sz w:val="26"/>
                <w:szCs w:val="26"/>
              </w:rPr>
            </w:pPr>
            <w:r w:rsidRPr="67C69537" w:rsidR="67C69537">
              <w:rPr>
                <w:b w:val="1"/>
                <w:bCs w:val="1"/>
                <w:sz w:val="26"/>
                <w:szCs w:val="26"/>
              </w:rPr>
              <w:t>TELECOMMUNICATION</w:t>
            </w:r>
            <w:r>
              <w:br/>
            </w:r>
            <w:r w:rsidRPr="67C69537" w:rsidR="67C69537">
              <w:rPr>
                <w:b w:val="1"/>
                <w:bCs w:val="1"/>
                <w:sz w:val="26"/>
                <w:szCs w:val="26"/>
              </w:rPr>
              <w:t>STANDARDIZATION SECTOR</w:t>
            </w:r>
          </w:p>
          <w:p w:rsidRPr="00E03557" w:rsidR="00E03557" w:rsidP="67C69537" w:rsidRDefault="00E03557" w14:paraId="25205405" w14:textId="77777777" w14:noSpellErr="1">
            <w:pPr>
              <w:rPr>
                <w:sz w:val="20"/>
                <w:szCs w:val="20"/>
              </w:rPr>
            </w:pPr>
            <w:r w:rsidRPr="67C69537" w:rsidR="67C69537">
              <w:rPr>
                <w:sz w:val="20"/>
                <w:szCs w:val="20"/>
              </w:rPr>
              <w:t>STUDY PERIOD 2017-2020</w:t>
            </w:r>
          </w:p>
        </w:tc>
        <w:tc>
          <w:tcPr>
            <w:tcW w:w="4678" w:type="dxa"/>
            <w:gridSpan w:val="2"/>
            <w:tcMar/>
            <w:vAlign w:val="center"/>
          </w:tcPr>
          <w:p w:rsidRPr="00852AAD" w:rsidR="00E03557" w:rsidP="00401AE5" w:rsidRDefault="00BC1D31" w14:paraId="644403CE" w14:textId="7432FF3E" w14:noSpellErr="1">
            <w:pPr>
              <w:pStyle w:val="Docnumber"/>
            </w:pPr>
            <w:r w:rsidR="67C69537">
              <w:rPr/>
              <w:t>FG-AI4H</w:t>
            </w:r>
            <w:r w:rsidR="67C69537">
              <w:rPr/>
              <w:t>-</w:t>
            </w:r>
            <w:r w:rsidR="67C69537">
              <w:rPr/>
              <w:t>E</w:t>
            </w:r>
            <w:r w:rsidR="67C69537">
              <w:rPr/>
              <w:t>-</w:t>
            </w:r>
            <w:r w:rsidR="67C69537">
              <w:rPr/>
              <w:t>024</w:t>
            </w:r>
          </w:p>
        </w:tc>
      </w:tr>
      <w:bookmarkEnd w:id="2"/>
      <w:tr w:rsidRPr="00E03557" w:rsidR="00E03557" w:rsidTr="67C69537" w14:paraId="74929ED0" w14:textId="77777777">
        <w:trPr>
          <w:cantSplit/>
          <w:jc w:val="center"/>
        </w:trPr>
        <w:tc>
          <w:tcPr>
            <w:tcW w:w="1133" w:type="dxa"/>
            <w:vMerge/>
          </w:tcPr>
          <w:p w:rsidRPr="00E03557" w:rsidR="00E03557" w:rsidP="00E03557" w:rsidRDefault="00E03557" w14:paraId="24A82981" w14:textId="77777777">
            <w:pPr>
              <w:rPr>
                <w:smallCaps/>
                <w:sz w:val="20"/>
              </w:rPr>
            </w:pPr>
          </w:p>
        </w:tc>
        <w:tc>
          <w:tcPr>
            <w:tcW w:w="3829" w:type="dxa"/>
            <w:gridSpan w:val="2"/>
            <w:vMerge/>
          </w:tcPr>
          <w:p w:rsidRPr="00E03557" w:rsidR="00E03557" w:rsidP="00E03557" w:rsidRDefault="00E03557" w14:paraId="624CF9ED" w14:textId="77777777">
            <w:pPr>
              <w:rPr>
                <w:smallCaps/>
                <w:sz w:val="20"/>
              </w:rPr>
            </w:pPr>
            <w:bookmarkStart w:name="ddate" w:colFirst="2" w:colLast="2" w:id="3"/>
          </w:p>
        </w:tc>
        <w:tc>
          <w:tcPr>
            <w:tcW w:w="4678" w:type="dxa"/>
            <w:gridSpan w:val="2"/>
            <w:tcMar/>
          </w:tcPr>
          <w:p w:rsidRPr="00E03557" w:rsidR="00E03557" w:rsidP="67C69537" w:rsidRDefault="00BA5199" w14:paraId="3E1CDE8D" w14:textId="77777777" w14:noSpellErr="1">
            <w:pPr>
              <w:jc w:val="right"/>
              <w:rPr>
                <w:b w:val="1"/>
                <w:bCs w:val="1"/>
                <w:sz w:val="28"/>
                <w:szCs w:val="28"/>
              </w:rPr>
            </w:pPr>
            <w:r w:rsidRPr="67C69537" w:rsidR="67C69537">
              <w:rPr>
                <w:b w:val="1"/>
                <w:bCs w:val="1"/>
                <w:sz w:val="28"/>
                <w:szCs w:val="28"/>
              </w:rPr>
              <w:t xml:space="preserve">ITU-T </w:t>
            </w:r>
            <w:r w:rsidRPr="67C69537" w:rsidR="67C69537">
              <w:rPr>
                <w:b w:val="1"/>
                <w:bCs w:val="1"/>
                <w:sz w:val="28"/>
                <w:szCs w:val="28"/>
              </w:rPr>
              <w:t>Focus Group on AI for Health</w:t>
            </w:r>
          </w:p>
        </w:tc>
      </w:tr>
      <w:tr w:rsidRPr="00E03557" w:rsidR="00E03557" w:rsidTr="67C69537" w14:paraId="2DFDFFB1" w14:textId="77777777">
        <w:trPr>
          <w:cantSplit/>
          <w:jc w:val="center"/>
        </w:trPr>
        <w:tc>
          <w:tcPr>
            <w:tcW w:w="1133" w:type="dxa"/>
            <w:vMerge/>
            <w:tcBorders>
              <w:bottom w:val="single" w:color="auto" w:sz="12" w:space="0"/>
            </w:tcBorders>
          </w:tcPr>
          <w:p w:rsidRPr="00E03557" w:rsidR="00E03557" w:rsidP="00E03557" w:rsidRDefault="00E03557" w14:paraId="37E3785D" w14:textId="77777777">
            <w:pPr>
              <w:rPr>
                <w:b/>
                <w:bCs/>
                <w:sz w:val="26"/>
              </w:rPr>
            </w:pPr>
          </w:p>
        </w:tc>
        <w:tc>
          <w:tcPr>
            <w:tcW w:w="3829" w:type="dxa"/>
            <w:gridSpan w:val="2"/>
            <w:vMerge/>
            <w:tcBorders>
              <w:bottom w:val="single" w:color="auto" w:sz="12" w:space="0"/>
            </w:tcBorders>
          </w:tcPr>
          <w:p w:rsidRPr="00E03557" w:rsidR="00E03557" w:rsidP="00E03557" w:rsidRDefault="00E03557" w14:paraId="2C8D69B8" w14:textId="77777777">
            <w:pPr>
              <w:rPr>
                <w:b/>
                <w:bCs/>
                <w:sz w:val="26"/>
              </w:rPr>
            </w:pPr>
            <w:bookmarkStart w:name="dorlang" w:colFirst="2" w:colLast="2" w:id="4"/>
            <w:bookmarkEnd w:id="3"/>
          </w:p>
        </w:tc>
        <w:tc>
          <w:tcPr>
            <w:tcW w:w="4678" w:type="dxa"/>
            <w:gridSpan w:val="2"/>
            <w:tcBorders>
              <w:bottom w:val="single" w:color="auto" w:sz="12" w:space="0"/>
            </w:tcBorders>
            <w:tcMar/>
            <w:vAlign w:val="center"/>
          </w:tcPr>
          <w:p w:rsidRPr="00E03557" w:rsidR="00E03557" w:rsidP="67C69537" w:rsidRDefault="00E03557" w14:paraId="481D7AD4" w14:textId="77777777" w14:noSpellErr="1">
            <w:pPr>
              <w:jc w:val="right"/>
              <w:rPr>
                <w:b w:val="1"/>
                <w:bCs w:val="1"/>
                <w:sz w:val="28"/>
                <w:szCs w:val="28"/>
              </w:rPr>
            </w:pPr>
            <w:r w:rsidRPr="67C69537" w:rsidR="67C69537">
              <w:rPr>
                <w:b w:val="1"/>
                <w:bCs w:val="1"/>
                <w:sz w:val="28"/>
                <w:szCs w:val="28"/>
              </w:rPr>
              <w:t>Original: English</w:t>
            </w:r>
          </w:p>
        </w:tc>
      </w:tr>
      <w:tr w:rsidRPr="00E03557" w:rsidR="00BC1D31" w:rsidTr="67C69537" w14:paraId="09D4A18E" w14:textId="77777777">
        <w:trPr>
          <w:cantSplit/>
          <w:jc w:val="center"/>
        </w:trPr>
        <w:tc>
          <w:tcPr>
            <w:tcW w:w="1700" w:type="dxa"/>
            <w:gridSpan w:val="2"/>
            <w:tcMar/>
          </w:tcPr>
          <w:p w:rsidRPr="00E03557" w:rsidR="00BC1D31" w:rsidP="67C69537" w:rsidRDefault="00BC1D31" w14:paraId="0446F9A1" w14:textId="77777777" w14:noSpellErr="1">
            <w:pPr>
              <w:rPr>
                <w:b w:val="1"/>
                <w:bCs w:val="1"/>
              </w:rPr>
            </w:pPr>
            <w:bookmarkStart w:name="dbluepink" w:colFirst="1" w:colLast="1" w:id="5"/>
            <w:bookmarkStart w:name="dmeeting" w:colFirst="2" w:colLast="2" w:id="6"/>
            <w:bookmarkEnd w:id="4"/>
            <w:bookmarkEnd w:id="1"/>
            <w:r>
              <w:rPr>
                <w:b w:val="1"/>
                <w:bCs w:val="1"/>
              </w:rPr>
              <w:t>WG</w:t>
            </w:r>
            <w:r w:rsidRPr="00E03557">
              <w:rPr>
                <w:b w:val="1"/>
                <w:bCs w:val="1"/>
              </w:rPr>
              <w:t>(s):</w:t>
            </w:r>
          </w:p>
        </w:tc>
        <w:tc>
          <w:tcPr>
            <w:tcW w:w="3262" w:type="dxa"/>
            <w:tcMar/>
            <w:vAlign w:val="center"/>
          </w:tcPr>
          <w:p w:rsidRPr="00123B21" w:rsidR="00BC1D31" w:rsidP="00404076" w:rsidRDefault="003B0B7C" w14:paraId="31E33E2D" w14:textId="3CCE24A5">
            <w:proofErr w:type="spellStart"/>
            <w:r w:rsidR="67C69537">
              <w:rPr/>
              <w:t>Plen</w:t>
            </w:r>
            <w:proofErr w:type="spellEnd"/>
          </w:p>
        </w:tc>
        <w:tc>
          <w:tcPr>
            <w:tcW w:w="4678" w:type="dxa"/>
            <w:gridSpan w:val="2"/>
            <w:tcMar/>
            <w:vAlign w:val="center"/>
          </w:tcPr>
          <w:p w:rsidRPr="00123B21" w:rsidR="00BC1D31" w:rsidP="00401AE5" w:rsidRDefault="00115910" w14:paraId="75D51006" w14:textId="169A7100" w14:noSpellErr="1">
            <w:pPr>
              <w:jc w:val="right"/>
            </w:pPr>
            <w:r w:rsidR="67C69537">
              <w:rPr/>
              <w:t>Geneva</w:t>
            </w:r>
            <w:r w:rsidR="67C69537">
              <w:rPr/>
              <w:t xml:space="preserve">, </w:t>
            </w:r>
            <w:r w:rsidR="67C69537">
              <w:rPr/>
              <w:t>30 May-</w:t>
            </w:r>
            <w:r w:rsidR="67C69537">
              <w:rPr/>
              <w:t>1 June</w:t>
            </w:r>
            <w:r w:rsidR="67C69537">
              <w:rPr/>
              <w:t xml:space="preserve"> </w:t>
            </w:r>
            <w:r w:rsidR="67C69537">
              <w:rPr/>
              <w:t>2019</w:t>
            </w:r>
          </w:p>
        </w:tc>
      </w:tr>
      <w:tr w:rsidRPr="00E03557" w:rsidR="00E03557" w:rsidTr="67C69537" w14:paraId="5527FC16" w14:textId="77777777">
        <w:trPr>
          <w:cantSplit/>
          <w:jc w:val="center"/>
        </w:trPr>
        <w:tc>
          <w:tcPr>
            <w:tcW w:w="9640" w:type="dxa"/>
            <w:gridSpan w:val="5"/>
            <w:tcMar/>
          </w:tcPr>
          <w:p w:rsidRPr="00E03557" w:rsidR="00E03557" w:rsidP="67C69537" w:rsidRDefault="00BC1D31" w14:paraId="3D46834D" w14:textId="77777777" w14:noSpellErr="1">
            <w:pPr>
              <w:jc w:val="center"/>
              <w:rPr>
                <w:b w:val="1"/>
                <w:bCs w:val="1"/>
              </w:rPr>
            </w:pPr>
            <w:bookmarkStart w:name="dtitle" w:colFirst="0" w:colLast="0" w:id="7"/>
            <w:bookmarkEnd w:id="5"/>
            <w:bookmarkEnd w:id="6"/>
            <w:r w:rsidRPr="00123B21">
              <w:rPr>
                <w:b w:val="1"/>
                <w:bCs w:val="1"/>
              </w:rPr>
              <w:t>DOCUMENT</w:t>
            </w:r>
          </w:p>
        </w:tc>
      </w:tr>
      <w:tr w:rsidRPr="00E03557" w:rsidR="00BC1D31" w:rsidTr="67C69537" w14:paraId="6D68F542" w14:textId="77777777">
        <w:trPr>
          <w:cantSplit/>
          <w:jc w:val="center"/>
        </w:trPr>
        <w:tc>
          <w:tcPr>
            <w:tcW w:w="1700" w:type="dxa"/>
            <w:gridSpan w:val="2"/>
            <w:tcMar/>
          </w:tcPr>
          <w:p w:rsidRPr="00E03557" w:rsidR="00BC1D31" w:rsidP="67C69537" w:rsidRDefault="00BC1D31" w14:paraId="79FEAD08" w14:textId="77777777" w14:noSpellErr="1">
            <w:pPr>
              <w:rPr>
                <w:b w:val="1"/>
                <w:bCs w:val="1"/>
              </w:rPr>
            </w:pPr>
            <w:bookmarkStart w:name="dsource" w:colFirst="1" w:colLast="1" w:id="8"/>
            <w:bookmarkEnd w:id="7"/>
            <w:r w:rsidRPr="00E03557">
              <w:rPr>
                <w:b w:val="1"/>
                <w:bCs w:val="1"/>
              </w:rPr>
              <w:t>Source:</w:t>
            </w:r>
          </w:p>
        </w:tc>
        <w:tc>
          <w:tcPr>
            <w:tcW w:w="7940" w:type="dxa"/>
            <w:gridSpan w:val="3"/>
            <w:tcMar/>
            <w:vAlign w:val="center"/>
          </w:tcPr>
          <w:p w:rsidRPr="00123B21" w:rsidR="00BC1D31" w:rsidP="00404076" w:rsidRDefault="000176AA" w14:paraId="3A411254" w14:textId="37747100" w14:noSpellErr="1">
            <w:r w:rsidR="67C69537">
              <w:rPr/>
              <w:t>University of Bologna</w:t>
            </w:r>
          </w:p>
        </w:tc>
      </w:tr>
      <w:tr w:rsidRPr="00E03557" w:rsidR="00BC1D31" w:rsidTr="67C69537" w14:paraId="3992A968" w14:textId="77777777">
        <w:trPr>
          <w:cantSplit/>
          <w:jc w:val="center"/>
        </w:trPr>
        <w:tc>
          <w:tcPr>
            <w:tcW w:w="1700" w:type="dxa"/>
            <w:gridSpan w:val="2"/>
            <w:tcMar/>
          </w:tcPr>
          <w:p w:rsidRPr="00E03557" w:rsidR="00BC1D31" w:rsidP="00BC1D31" w:rsidRDefault="00BC1D31" w14:paraId="6E95CF86" w14:textId="77777777" w14:noSpellErr="1">
            <w:bookmarkStart w:name="dtitle1" w:colFirst="1" w:colLast="1" w:id="9"/>
            <w:bookmarkEnd w:id="8"/>
            <w:r w:rsidRPr="00E03557">
              <w:rPr>
                <w:b w:val="1"/>
                <w:bCs w:val="1"/>
              </w:rPr>
              <w:t>Title:</w:t>
            </w:r>
          </w:p>
        </w:tc>
        <w:tc>
          <w:tcPr>
            <w:tcW w:w="7940" w:type="dxa"/>
            <w:gridSpan w:val="3"/>
            <w:tcMar/>
            <w:vAlign w:val="center"/>
          </w:tcPr>
          <w:p w:rsidRPr="00123B21" w:rsidR="00BC1D31" w:rsidP="00404076" w:rsidRDefault="003B0B7C" w14:paraId="04472CE9" w14:textId="7AF9B3B1" w14:noSpellErr="1">
            <w:r w:rsidR="67C69537">
              <w:rPr/>
              <w:t xml:space="preserve">TG-Falls: </w:t>
            </w:r>
            <w:r w:rsidR="67C69537">
              <w:rPr/>
              <w:t>Benchmarking fall prediction AI algorithms: general thoughts and experience</w:t>
            </w:r>
          </w:p>
        </w:tc>
      </w:tr>
      <w:tr w:rsidRPr="00E03557" w:rsidR="00E03557" w:rsidTr="67C69537" w14:paraId="1ACF5F93" w14:textId="77777777">
        <w:trPr>
          <w:cantSplit/>
          <w:jc w:val="center"/>
        </w:trPr>
        <w:tc>
          <w:tcPr>
            <w:tcW w:w="1700" w:type="dxa"/>
            <w:gridSpan w:val="2"/>
            <w:tcBorders>
              <w:bottom w:val="single" w:color="auto" w:sz="6" w:space="0"/>
            </w:tcBorders>
            <w:tcMar/>
          </w:tcPr>
          <w:p w:rsidRPr="00E03557" w:rsidR="00E03557" w:rsidP="67C69537" w:rsidRDefault="00E03557" w14:paraId="4A79CE8D" w14:textId="77777777" w14:noSpellErr="1">
            <w:pPr>
              <w:rPr>
                <w:b w:val="1"/>
                <w:bCs w:val="1"/>
              </w:rPr>
            </w:pPr>
            <w:bookmarkStart w:name="dpurpose" w:colFirst="1" w:colLast="1" w:id="10"/>
            <w:bookmarkEnd w:id="9"/>
            <w:r w:rsidRPr="00E03557">
              <w:rPr>
                <w:b w:val="1"/>
                <w:bCs w:val="1"/>
              </w:rPr>
              <w:t>Purpose:</w:t>
            </w:r>
          </w:p>
        </w:tc>
        <w:tc>
          <w:tcPr>
            <w:tcW w:w="7940" w:type="dxa"/>
            <w:gridSpan w:val="3"/>
            <w:tcBorders>
              <w:bottom w:val="single" w:color="auto" w:sz="6" w:space="0"/>
            </w:tcBorders>
            <w:tcMar/>
          </w:tcPr>
          <w:p w:rsidRPr="00BC1D31" w:rsidR="00E03557" w:rsidP="67C69537" w:rsidRDefault="00BC2ADE" w14:paraId="3DF5D3E9" w14:textId="13E92F7A" w14:noSpellErr="1">
            <w:pPr>
              <w:rPr>
                <w:highlight w:val="yellow"/>
              </w:rPr>
            </w:pPr>
            <w:r w:rsidRPr="67C69537" w:rsidR="67C69537">
              <w:rPr>
                <w:lang w:val="en-US"/>
              </w:rPr>
              <w:t>Discussion</w:t>
            </w:r>
          </w:p>
        </w:tc>
      </w:tr>
      <w:bookmarkEnd w:id="0"/>
      <w:bookmarkEnd w:id="10"/>
      <w:tr w:rsidRPr="00E03557" w:rsidR="00BC1D31" w:rsidTr="67C69537" w14:paraId="27842F44" w14:textId="77777777">
        <w:trPr>
          <w:cantSplit/>
          <w:jc w:val="center"/>
        </w:trPr>
        <w:tc>
          <w:tcPr>
            <w:tcW w:w="1700" w:type="dxa"/>
            <w:gridSpan w:val="2"/>
            <w:tcBorders>
              <w:top w:val="single" w:color="auto" w:sz="6" w:space="0"/>
              <w:bottom w:val="single" w:color="auto" w:sz="6" w:space="0"/>
            </w:tcBorders>
            <w:tcMar/>
          </w:tcPr>
          <w:p w:rsidRPr="00FA75A5" w:rsidR="00BC1D31" w:rsidP="67C69537" w:rsidRDefault="00BC1D31" w14:paraId="20923A49" w14:textId="77777777" w14:noSpellErr="1">
            <w:pPr>
              <w:rPr>
                <w:b w:val="1"/>
                <w:bCs w:val="1"/>
              </w:rPr>
            </w:pPr>
            <w:r w:rsidRPr="67C69537" w:rsidR="67C69537">
              <w:rPr>
                <w:b w:val="1"/>
                <w:bCs w:val="1"/>
              </w:rPr>
              <w:t>Contact:</w:t>
            </w:r>
          </w:p>
        </w:tc>
        <w:tc>
          <w:tcPr>
            <w:tcW w:w="4240" w:type="dxa"/>
            <w:gridSpan w:val="2"/>
            <w:tcBorders>
              <w:top w:val="single" w:color="auto" w:sz="6" w:space="0"/>
              <w:bottom w:val="single" w:color="auto" w:sz="6" w:space="0"/>
            </w:tcBorders>
            <w:tcMar/>
            <w:vAlign w:val="center"/>
          </w:tcPr>
          <w:p w:rsidRPr="00FA75A5" w:rsidR="00BC1D31" w:rsidP="00BC1D31" w:rsidRDefault="00A254FE" w14:paraId="24D2B89F" w14:textId="61EEF962">
            <w:proofErr w:type="spellStart"/>
            <w:r w:rsidR="67C69537">
              <w:rPr/>
              <w:t>Pierpaolo</w:t>
            </w:r>
            <w:proofErr w:type="spellEnd"/>
            <w:r w:rsidR="67C69537">
              <w:rPr/>
              <w:t xml:space="preserve"> Palumbo</w:t>
            </w:r>
            <w:r>
              <w:br/>
            </w:r>
            <w:r w:rsidR="67C69537">
              <w:rPr/>
              <w:t>University of Bologna</w:t>
            </w:r>
            <w:r w:rsidR="67C69537">
              <w:rPr/>
              <w:t xml:space="preserve">, </w:t>
            </w:r>
            <w:r w:rsidR="67C69537">
              <w:rPr/>
              <w:t>Italy</w:t>
            </w:r>
          </w:p>
        </w:tc>
        <w:tc>
          <w:tcPr>
            <w:tcW w:w="3700" w:type="dxa"/>
            <w:tcBorders>
              <w:top w:val="single" w:color="auto" w:sz="6" w:space="0"/>
              <w:bottom w:val="single" w:color="auto" w:sz="6" w:space="0"/>
            </w:tcBorders>
            <w:tcMar/>
            <w:vAlign w:val="center"/>
          </w:tcPr>
          <w:p w:rsidRPr="00FA75A5" w:rsidR="00BC1D31" w:rsidP="00BC1D31" w:rsidRDefault="00BC1D31" w14:paraId="430164C8" w14:textId="70C10235" w14:noSpellErr="1">
            <w:r w:rsidRPr="00FA75A5">
              <w:rPr/>
              <w:t xml:space="preserve">Tel: </w:t>
            </w:r>
            <w:r w:rsidRPr="00FA75A5">
              <w:tab/>
            </w:r>
            <w:r w:rsidRPr="00FA75A5">
              <w:rPr/>
              <w:t>+</w:t>
            </w:r>
            <w:r w:rsidRPr="00FA75A5" w:rsidR="00A254FE">
              <w:rPr/>
              <w:t>39 051</w:t>
            </w:r>
            <w:r w:rsidRPr="00FA75A5" w:rsidR="003E3245">
              <w:rPr/>
              <w:t xml:space="preserve"> </w:t>
            </w:r>
            <w:r w:rsidRPr="00FA75A5" w:rsidR="00A254FE">
              <w:rPr/>
              <w:t>20</w:t>
            </w:r>
            <w:r w:rsidRPr="00FA75A5" w:rsidR="00FA75A5">
              <w:rPr/>
              <w:t xml:space="preserve"> </w:t>
            </w:r>
            <w:r w:rsidRPr="00FA75A5" w:rsidR="00A254FE">
              <w:rPr/>
              <w:t>93188</w:t>
            </w:r>
            <w:r w:rsidRPr="00FA75A5">
              <w:br/>
            </w:r>
            <w:r w:rsidRPr="00FA75A5">
              <w:rPr/>
              <w:t xml:space="preserve">Email: </w:t>
            </w:r>
            <w:r w:rsidRPr="00FA75A5">
              <w:tab/>
            </w:r>
            <w:hyperlink w:history="1" r:id="R50f943d0adf248d8">
              <w:r w:rsidRPr="00B046FA" w:rsidR="003B0B7C">
                <w:rPr>
                  <w:rStyle w:val="Hyperlink"/>
                </w:rPr>
                <w:t>pierpaolo.palumbo@unibo.it</w:t>
              </w:r>
            </w:hyperlink>
            <w:r w:rsidR="003B0B7C">
              <w:rPr/>
              <w:t xml:space="preserve"> </w:t>
            </w:r>
          </w:p>
        </w:tc>
      </w:tr>
      <w:tr w:rsidRPr="00E03557" w:rsidR="00BC1D31" w:rsidTr="67C69537" w14:paraId="0D97438F" w14:textId="77777777">
        <w:trPr>
          <w:cantSplit/>
          <w:jc w:val="center"/>
        </w:trPr>
        <w:tc>
          <w:tcPr>
            <w:tcW w:w="1700" w:type="dxa"/>
            <w:gridSpan w:val="2"/>
            <w:tcBorders>
              <w:top w:val="single" w:color="auto" w:sz="6" w:space="0"/>
              <w:bottom w:val="single" w:color="auto" w:sz="6" w:space="0"/>
            </w:tcBorders>
            <w:tcMar/>
          </w:tcPr>
          <w:p w:rsidRPr="00FA75A5" w:rsidR="00BC1D31" w:rsidP="67C69537" w:rsidRDefault="00BC1D31" w14:paraId="1515F8AE" w14:textId="77777777" w14:noSpellErr="1">
            <w:pPr>
              <w:rPr>
                <w:b w:val="1"/>
                <w:bCs w:val="1"/>
              </w:rPr>
            </w:pPr>
            <w:r w:rsidRPr="67C69537" w:rsidR="67C69537">
              <w:rPr>
                <w:b w:val="1"/>
                <w:bCs w:val="1"/>
              </w:rPr>
              <w:t>Contact:</w:t>
            </w:r>
          </w:p>
        </w:tc>
        <w:tc>
          <w:tcPr>
            <w:tcW w:w="4240" w:type="dxa"/>
            <w:gridSpan w:val="2"/>
            <w:tcBorders>
              <w:top w:val="single" w:color="auto" w:sz="6" w:space="0"/>
              <w:bottom w:val="single" w:color="auto" w:sz="6" w:space="0"/>
            </w:tcBorders>
            <w:tcMar/>
            <w:vAlign w:val="center"/>
          </w:tcPr>
          <w:p w:rsidRPr="00FA75A5" w:rsidR="00BC1D31" w:rsidP="00BC1D31" w:rsidRDefault="00A254FE" w14:paraId="06F1EECD" w14:textId="0E2925B1" w14:noSpellErr="1">
            <w:r w:rsidR="67C69537">
              <w:rPr/>
              <w:t>Lorenzo Chiari</w:t>
            </w:r>
            <w:r>
              <w:br/>
            </w:r>
            <w:r w:rsidR="67C69537">
              <w:rPr/>
              <w:t>University of Bologna</w:t>
            </w:r>
            <w:r w:rsidR="67C69537">
              <w:rPr/>
              <w:t xml:space="preserve">, </w:t>
            </w:r>
            <w:r w:rsidR="67C69537">
              <w:rPr/>
              <w:t>Italy</w:t>
            </w:r>
          </w:p>
        </w:tc>
        <w:tc>
          <w:tcPr>
            <w:tcW w:w="3700" w:type="dxa"/>
            <w:tcBorders>
              <w:top w:val="single" w:color="auto" w:sz="6" w:space="0"/>
              <w:bottom w:val="single" w:color="auto" w:sz="6" w:space="0"/>
            </w:tcBorders>
            <w:tcMar/>
            <w:vAlign w:val="center"/>
          </w:tcPr>
          <w:p w:rsidRPr="00FA75A5" w:rsidR="00BC1D31" w:rsidP="00BC1D31" w:rsidRDefault="00BC1D31" w14:paraId="0A62DBCF" w14:textId="18A48A4E" w14:noSpellErr="1">
            <w:r w:rsidRPr="00FA75A5">
              <w:rPr/>
              <w:t xml:space="preserve">Tel: </w:t>
            </w:r>
            <w:r w:rsidRPr="00FA75A5">
              <w:tab/>
            </w:r>
            <w:r w:rsidRPr="00FA75A5">
              <w:rPr/>
              <w:t>+</w:t>
            </w:r>
            <w:r w:rsidRPr="00FA75A5" w:rsidR="00FA75A5">
              <w:rPr/>
              <w:t>39 051 20 93095</w:t>
            </w:r>
            <w:r w:rsidRPr="00FA75A5">
              <w:br/>
            </w:r>
            <w:r w:rsidRPr="00FA75A5">
              <w:rPr/>
              <w:t xml:space="preserve">Email: </w:t>
            </w:r>
            <w:r w:rsidRPr="00FA75A5">
              <w:tab/>
            </w:r>
            <w:hyperlink w:history="1" r:id="R340409d867764080">
              <w:r w:rsidRPr="00B046FA" w:rsidR="003B0B7C">
                <w:rPr>
                  <w:rStyle w:val="Hyperlink"/>
                </w:rPr>
                <w:t>lorenzo.chiari@unibo.it</w:t>
              </w:r>
            </w:hyperlink>
            <w:r w:rsidR="003B0B7C">
              <w:rPr/>
              <w:t xml:space="preserve"> </w:t>
            </w:r>
          </w:p>
        </w:tc>
      </w:tr>
    </w:tbl>
    <w:p w:rsidRPr="00852AAD" w:rsidR="00E03557" w:rsidP="00E03557" w:rsidRDefault="00E03557" w14:paraId="7F0770A1"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67C69537" w14:paraId="2E43E862" w14:textId="77777777">
        <w:trPr>
          <w:cantSplit/>
          <w:jc w:val="center"/>
        </w:trPr>
        <w:tc>
          <w:tcPr>
            <w:tcW w:w="1701" w:type="dxa"/>
            <w:tcMar/>
          </w:tcPr>
          <w:p w:rsidRPr="00E03557" w:rsidR="00E03557" w:rsidP="67C69537" w:rsidRDefault="00E03557" w14:paraId="5B78CCB8" w14:textId="77777777" w14:noSpellErr="1">
            <w:pPr>
              <w:rPr>
                <w:b w:val="1"/>
                <w:bCs w:val="1"/>
              </w:rPr>
            </w:pPr>
            <w:r w:rsidRPr="67C69537" w:rsidR="67C69537">
              <w:rPr>
                <w:b w:val="1"/>
                <w:bCs w:val="1"/>
              </w:rPr>
              <w:t>Abstract:</w:t>
            </w:r>
          </w:p>
        </w:tc>
        <w:tc>
          <w:tcPr>
            <w:tcW w:w="7939" w:type="dxa"/>
            <w:tcMar/>
          </w:tcPr>
          <w:p w:rsidRPr="00BC1D31" w:rsidR="00252D58" w:rsidP="67C69537" w:rsidRDefault="003B0B7C" w14:paraId="44528EFA" w14:noSpellErr="1" w14:textId="19A6FC50">
            <w:pPr>
              <w:pStyle w:val="Normal"/>
              <w:rPr>
                <w:highlight w:val="yellow"/>
              </w:rPr>
            </w:pPr>
            <w:r w:rsidR="67C69537">
              <w:rPr/>
              <w:t>This document</w:t>
            </w:r>
            <w:r w:rsidR="67C69537">
              <w:rPr/>
              <w:t xml:space="preserve"> briefly discuss</w:t>
            </w:r>
            <w:r w:rsidR="67C69537">
              <w:rPr/>
              <w:t>es</w:t>
            </w:r>
            <w:r w:rsidR="67C69537">
              <w:rPr/>
              <w:t xml:space="preserve"> some points that </w:t>
            </w:r>
            <w:r w:rsidR="67C69537">
              <w:rPr/>
              <w:t>the authors</w:t>
            </w:r>
            <w:r w:rsidR="67C69537">
              <w:rPr/>
              <w:t xml:space="preserve"> think are important for the definition of a procedure for benchmarking fall prediction AI algorithms and present some of </w:t>
            </w:r>
            <w:r w:rsidR="67C69537">
              <w:rPr/>
              <w:t xml:space="preserve">the </w:t>
            </w:r>
            <w:r w:rsidRPr="67C69537" w:rsidR="67C69537">
              <w:rPr>
                <w:rFonts w:ascii="Times New Roman" w:hAnsi="Times New Roman" w:eastAsia="Times New Roman" w:cs="Times New Roman"/>
                <w:noProof w:val="0"/>
                <w:sz w:val="24"/>
                <w:szCs w:val="24"/>
                <w:lang w:val="en-GB"/>
              </w:rPr>
              <w:t xml:space="preserve">author's </w:t>
            </w:r>
            <w:r w:rsidR="67C69537">
              <w:rPr/>
              <w:t xml:space="preserve">research experience. The discussed points are: target of prediction, predictors, populations, semantics of prediction, </w:t>
            </w:r>
            <w:r w:rsidR="67C69537">
              <w:rPr/>
              <w:t xml:space="preserve">and </w:t>
            </w:r>
            <w:r w:rsidR="67C69537">
              <w:rPr/>
              <w:t>performance metrics.</w:t>
            </w:r>
          </w:p>
        </w:tc>
      </w:tr>
    </w:tbl>
    <w:p w:rsidR="00E03557" w:rsidP="00E03557" w:rsidRDefault="00E03557" w14:paraId="7E36D017" w14:textId="77777777"/>
    <w:p w:rsidR="00D55817" w:rsidP="00BC1D31" w:rsidRDefault="004B71E1" w14:paraId="3222C295" w14:textId="3CAA2A75" w14:noSpellErr="1">
      <w:r w:rsidR="67C69537">
        <w:rPr/>
        <w:t xml:space="preserve">Here we </w:t>
      </w:r>
      <w:r w:rsidR="67C69537">
        <w:rPr/>
        <w:t xml:space="preserve">briefly </w:t>
      </w:r>
      <w:r w:rsidR="67C69537">
        <w:rPr/>
        <w:t xml:space="preserve">discuss some topics that we think are important for the definition of a procedure for benchmarking fall prediction AI algorithms. </w:t>
      </w:r>
      <w:r w:rsidR="67C69537">
        <w:rPr/>
        <w:t xml:space="preserve">Alongside this discussion, we present some of our </w:t>
      </w:r>
      <w:r w:rsidR="67C69537">
        <w:rPr/>
        <w:t>research experience</w:t>
      </w:r>
      <w:r w:rsidR="67C69537">
        <w:rPr/>
        <w:t>.</w:t>
      </w:r>
    </w:p>
    <w:p w:rsidR="00537918" w:rsidP="00BC1D31" w:rsidRDefault="00537918" w14:paraId="68AFB853" w14:textId="5F19208E"/>
    <w:p w:rsidRPr="00A70D58" w:rsidR="00711073" w:rsidP="000176AA" w:rsidRDefault="00711073" w14:paraId="6DA67CDB" w14:textId="7E9CED21" w14:noSpellErr="1">
      <w:pPr>
        <w:pStyle w:val="Heading1"/>
        <w:rPr/>
      </w:pPr>
      <w:r w:rsidR="67C69537">
        <w:rPr/>
        <w:t>Target of prediction</w:t>
      </w:r>
    </w:p>
    <w:p w:rsidR="00877A09" w:rsidP="00C638EE" w:rsidRDefault="00F861D2" w14:paraId="3C6C7973" w14:textId="19FB6C52">
      <w:r>
        <w:rPr/>
        <w:t>In 2005</w:t>
      </w:r>
      <w:r w:rsidR="00C638EE">
        <w:rPr/>
        <w:t xml:space="preserve"> the </w:t>
      </w:r>
      <w:r w:rsidRPr="000A034D" w:rsidR="000A034D">
        <w:rPr/>
        <w:t>Prevention of Falls Network Europe</w:t>
      </w:r>
      <w:r w:rsidR="000A034D">
        <w:rPr/>
        <w:t xml:space="preserve"> (</w:t>
      </w:r>
      <w:proofErr w:type="spellStart"/>
      <w:r w:rsidR="000A034D">
        <w:rPr/>
        <w:t xml:space="preserve">ProFaNE</w:t>
      </w:r>
      <w:proofErr w:type="spellEnd"/>
      <w:r w:rsidR="000A034D">
        <w:rPr/>
        <w:t xml:space="preserve">) </w:t>
      </w:r>
      <w:r>
        <w:rPr/>
        <w:t xml:space="preserve">issued a set of recommendations on </w:t>
      </w:r>
      <w:r w:rsidR="00B7057C">
        <w:rPr/>
        <w:t xml:space="preserve">outcome measures </w:t>
      </w:r>
      <w:r w:rsidR="008B3AE6">
        <w:rPr/>
        <w:t>for fall injury prevention trials</w:t>
      </w:r>
      <w:r w:rsidR="002B195A">
        <w:rPr/>
        <w:t xml:space="preserve"> </w:t>
      </w:r>
      <w:r w:rsidR="002B195A">
        <w:fldChar w:fldCharType="begin" w:fldLock="1"/>
      </w:r>
      <w:r w:rsidR="00810A9D">
        <w:instrText>ADDIN CSL_CITATION {"citationItems":[{"id":"ITEM-1","itemData":{"DOI":"10.1111/j.1532-5415.2005.53455.x","ISSN":"0002-8614","PMID":"16137297","abstract":"The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E","non-dropping-particle":"","parse-names":false,"suffix":""},{"dropping-particle":"","family":"Jørstad-Stein","given":"Ellen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Society","id":"ITEM-1","issue":"9","issued":{"date-parts":[["2005","9"]]},"page":"1618-22","title":"Development of a common outcome data set for fall injury prevention trials: the Prevention of Falls Network Europe consensus.","type":"article-journal","volume":"53"},"uris":["http://www.mendeley.com/documents/?uuid=e5556308-34a8-45c9-9a76-0ab5cd629663"]}],"mendeley":{"formattedCitation":"[1]","plainTextFormattedCitation":"[1]","previouslyFormattedCitation":"[1]"},"properties":{"noteIndex":0},"schema":"https://github.com/citation-style-language/schema/raw/master/csl-citation.json"}</w:instrText>
      </w:r>
      <w:r w:rsidR="002B195A">
        <w:fldChar w:fldCharType="separate"/>
      </w:r>
      <w:r w:rsidRPr="00624DAC" w:rsidR="00624DAC">
        <w:rPr>
          <w:noProof/>
        </w:rPr>
        <w:t>[1]</w:t>
      </w:r>
      <w:r w:rsidR="002B195A">
        <w:fldChar w:fldCharType="end"/>
      </w:r>
      <w:r w:rsidR="00B7057C">
        <w:rPr/>
        <w:t xml:space="preserve">. </w:t>
      </w:r>
      <w:r w:rsidR="00C638EE">
        <w:rPr/>
        <w:t xml:space="preserve">These recommendations were </w:t>
      </w:r>
      <w:r w:rsidR="008B3AE6">
        <w:rPr/>
        <w:t>established</w:t>
      </w:r>
      <w:r w:rsidR="00C638EE">
        <w:rPr/>
        <w:t xml:space="preserve"> </w:t>
      </w:r>
      <w:r w:rsidR="008B3AE6">
        <w:rPr/>
        <w:t>after</w:t>
      </w:r>
      <w:r w:rsidR="00C638EE">
        <w:rPr/>
        <w:t xml:space="preserve"> an international expert consensus process</w:t>
      </w:r>
      <w:r w:rsidR="008B3AE6">
        <w:rPr/>
        <w:t xml:space="preserve"> and</w:t>
      </w:r>
      <w:r w:rsidR="00B7057C">
        <w:rPr/>
        <w:t xml:space="preserve"> still represent a cornerstone about standardization of fall measures also in the field of fall risk assessment. </w:t>
      </w:r>
    </w:p>
    <w:p w:rsidR="0023303B" w:rsidP="00C638EE" w:rsidRDefault="000B20FF" w14:paraId="34EEC3F7" w14:textId="5494CF7A" w14:noSpellErr="1">
      <w:r>
        <w:rPr/>
        <w:t>Choosing d</w:t>
      </w:r>
      <w:r w:rsidR="0023303B">
        <w:rPr/>
        <w:t xml:space="preserve">ifferent outcome measures (e.g. single or multiple falls, or duration of the follow-up period) </w:t>
      </w:r>
      <w:r>
        <w:rPr/>
        <w:t xml:space="preserve">as targets </w:t>
      </w:r>
      <w:r w:rsidR="006928BD">
        <w:rPr/>
        <w:t>of</w:t>
      </w:r>
      <w:r>
        <w:rPr/>
        <w:t xml:space="preserve"> predict</w:t>
      </w:r>
      <w:r w:rsidR="006928BD">
        <w:rPr/>
        <w:t>ion</w:t>
      </w:r>
      <w:r>
        <w:rPr/>
        <w:t xml:space="preserve">, </w:t>
      </w:r>
      <w:r w:rsidR="0023303B">
        <w:rPr/>
        <w:t>clearly lead</w:t>
      </w:r>
      <w:r>
        <w:rPr/>
        <w:t>s</w:t>
      </w:r>
      <w:r w:rsidR="0023303B">
        <w:rPr/>
        <w:t xml:space="preserve"> to different values of performance metrics</w:t>
      </w:r>
      <w:r>
        <w:rPr/>
        <w:t xml:space="preserve"> for the same predictive algorithm</w:t>
      </w:r>
      <w:r w:rsidR="0023303B">
        <w:rPr/>
        <w:t xml:space="preserve">. Simple probabilistic models </w:t>
      </w:r>
      <w:r>
        <w:rPr/>
        <w:t xml:space="preserve">can </w:t>
      </w:r>
      <w:r w:rsidR="0023303B">
        <w:rPr/>
        <w:t xml:space="preserve">explain these differences and are potentially useful for adjustments </w:t>
      </w:r>
      <w:r w:rsidR="0023303B">
        <w:fldChar w:fldCharType="begin" w:fldLock="1"/>
      </w:r>
      <w:r w:rsidR="00810A9D">
        <w:instrText>ADDIN CSL_CITATION {"citationItems":[{"id":"ITEM-1","itemData":{"DOI":"10.3414/ME13-01-0127","author":[{"dropping-particle":"","family":"Palumbo","given":"Pierpaolo","non-dropping-particle":"","parse-names":false,"suffix":""},{"dropping-particle":"","family":"Palmerini","given":"Luca","non-dropping-particle":"","parse-names":false,"suffix":""},{"dropping-particle":"","family":"Chiari","given":"Lorenzo","non-dropping-particle":"","parse-names":false,"suffix":""}],"container-title":"Methods of information in medicine","id":"ITEM-1","issue":"2","issued":{"date-parts":[["2015"]]},"page":"189-197","title":"A probabilistic model to investigate the properties of prognostic tools for falls","type":"article-journal","volume":"54"},"uris":["http://www.mendeley.com/documents/?uuid=bb85e0e3-22ac-4ef2-8c69-1a7e10d75ea2"]}],"mendeley":{"formattedCitation":"[2]","plainTextFormattedCitation":"[2]","previouslyFormattedCitation":"[2]"},"properties":{"noteIndex":0},"schema":"https://github.com/citation-style-language/schema/raw/master/csl-citation.json"}</w:instrText>
      </w:r>
      <w:r w:rsidR="0023303B">
        <w:fldChar w:fldCharType="separate"/>
      </w:r>
      <w:r w:rsidRPr="00624DAC" w:rsidR="00624DAC">
        <w:rPr>
          <w:noProof/>
        </w:rPr>
        <w:t>[2]</w:t>
      </w:r>
      <w:r w:rsidR="0023303B">
        <w:fldChar w:fldCharType="end"/>
      </w:r>
      <w:r w:rsidR="0023303B">
        <w:rPr/>
        <w:t>.</w:t>
      </w:r>
    </w:p>
    <w:p w:rsidR="0054116E" w:rsidP="00C638EE" w:rsidRDefault="0054116E" w14:paraId="4D2D30A9" w14:textId="77777777"/>
    <w:p w:rsidRPr="000176AA" w:rsidR="00C41D6E" w:rsidP="000176AA" w:rsidRDefault="00D55817" w14:paraId="1DDBE4C4" w14:textId="1FC4ED6B" w14:noSpellErr="1">
      <w:pPr>
        <w:pStyle w:val="Heading1"/>
        <w:rPr/>
      </w:pPr>
      <w:r w:rsidR="67C69537">
        <w:rPr/>
        <w:t>Predictors</w:t>
      </w:r>
    </w:p>
    <w:p w:rsidR="00C41D6E" w:rsidP="002B739B" w:rsidRDefault="00C204B0" w14:paraId="4656C41B" w14:textId="4536CF0F">
      <w:r>
        <w:rPr/>
        <w:t>Besides outcome measures, w</w:t>
      </w:r>
      <w:r w:rsidR="00624DAC">
        <w:rPr/>
        <w:t xml:space="preserve">e think that datasets for training and validating AI algorithms for fall prediction should ideally contain: </w:t>
      </w:r>
      <w:proofErr w:type="spellStart"/>
      <w:r w:rsidR="00624DAC">
        <w:rPr/>
        <w:t xml:space="preserve">i</w:t>
      </w:r>
      <w:proofErr w:type="spellEnd"/>
      <w:r w:rsidR="00624DAC">
        <w:rPr/>
        <w:t xml:space="preserve">) the principal acknowledged risk factors for falls (see e.g. </w:t>
      </w:r>
      <w:r w:rsidR="00624DAC">
        <w:fldChar w:fldCharType="begin" w:fldLock="1"/>
      </w:r>
      <w:r w:rsidR="00810A9D">
        <w:instrText>ADDIN CSL_CITATION {"citationItems":[{"id":"ITEM-1","itemData":{"author":[{"dropping-particle":"","family":"Deandrea","given":"Silvia","non-dropping-particle":"","parse-names":false,"suffix":""},{"dropping-particle":"","family":"Lucenteforte","given":"Ersilia","non-dropping-particle":"","parse-names":false,"suffix":""},{"dropping-particle":"","family":"Bravi","given":"Francecsa","non-dropping-particle":"","parse-names":false,"suffix":""},{"dropping-particle":"","family":"Foschi","given":"Roberto","non-dropping-particle":"","parse-names":false,"suffix":""},{"dropping-particle":"","family":"Vecchia","given":"Carlo","non-dropping-particle":"La","parse-names":false,"suffix":""},{"dropping-particle":"","family":"Negri","given":"Eva","non-dropping-particle":"","parse-names":false,"suffix":""}],"container-title":"Epidemiology","id":"ITEM-1","issue":"5","issued":{"date-parts":[["2010"]]},"page":"658-668","title":"Risk Factors for Falls in Community-dwelling Older People: A Systematic Review and Meta-analysis","type":"article-journal","volume":"21"},"uris":["http://www.mendeley.com/documents/?uuid=a5f0b2f5-e510-44ab-a91b-bff7b58708c3"]}],"mendeley":{"formattedCitation":"[3]","plainTextFormattedCitation":"[3]","previouslyFormattedCitation":"[3]"},"properties":{"noteIndex":0},"schema":"https://github.com/citation-style-language/schema/raw/master/csl-citation.json"}</w:instrText>
      </w:r>
      <w:r w:rsidR="00624DAC">
        <w:fldChar w:fldCharType="separate"/>
      </w:r>
      <w:r w:rsidRPr="00624DAC" w:rsidR="00624DAC">
        <w:rPr>
          <w:noProof/>
        </w:rPr>
        <w:t>[3]</w:t>
      </w:r>
      <w:r w:rsidR="00624DAC">
        <w:fldChar w:fldCharType="end"/>
      </w:r>
      <w:r w:rsidR="00624DAC">
        <w:rPr/>
        <w:t>)</w:t>
      </w:r>
      <w:r>
        <w:rPr/>
        <w:t>;</w:t>
      </w:r>
      <w:r w:rsidR="00624DAC">
        <w:rPr/>
        <w:t xml:space="preserve"> </w:t>
      </w:r>
      <w:r>
        <w:rPr/>
        <w:t xml:space="preserve">ii) new/putative biomarkers for falls (e.g. digital biomarkers from wearable motion sensors); iii) </w:t>
      </w:r>
      <w:r w:rsidR="00D55817">
        <w:rPr/>
        <w:t xml:space="preserve">measures from </w:t>
      </w:r>
      <w:r>
        <w:rPr/>
        <w:t>established clinical tools for fall risk assessment (e.g. the Timed Up and Go test</w:t>
      </w:r>
      <w:r w:rsidR="00BB14FA">
        <w:rPr/>
        <w:t xml:space="preserve"> or results of screening algorithms recommended by </w:t>
      </w:r>
      <w:r w:rsidR="006928BD">
        <w:rPr/>
        <w:t>scientific associations and public health institutes</w:t>
      </w:r>
      <w:r>
        <w:rPr/>
        <w:t xml:space="preserve">). </w:t>
      </w:r>
    </w:p>
    <w:p w:rsidR="00810A9D" w:rsidP="00810A9D" w:rsidRDefault="00D55817" w14:paraId="075C3808" w14:textId="67269585" w14:noSpellErr="1">
      <w:r>
        <w:rPr/>
        <w:lastRenderedPageBreak/>
        <w:t xml:space="preserve">From acknowledged fall risk factors, we </w:t>
      </w:r>
      <w:r w:rsidR="00810A9D">
        <w:rPr/>
        <w:t xml:space="preserve">have </w:t>
      </w:r>
      <w:r>
        <w:rPr/>
        <w:t xml:space="preserve">developed </w:t>
      </w:r>
      <w:r w:rsidRPr="00D55817">
        <w:rPr/>
        <w:t>FRAT-up</w:t>
      </w:r>
      <w:r>
        <w:rPr/>
        <w:t xml:space="preserve">, a web-based fall risk assessment tool for community-dwelling older adults </w:t>
      </w:r>
      <w:r w:rsidRPr="00D55817" w:rsidR="00810A9D">
        <w:rPr/>
        <w:t>(</w:t>
      </w:r>
      <w:hyperlink w:history="1" r:id="Rbd6d406333b149ca">
        <w:r w:rsidRPr="00784828" w:rsidR="00810A9D">
          <w:rPr>
            <w:rStyle w:val="Hyperlink"/>
          </w:rPr>
          <w:t>http://ffrat.farseeingresearch.eu/</w:t>
        </w:r>
      </w:hyperlink>
      <w:r w:rsidRPr="00D55817" w:rsidR="00810A9D">
        <w:rPr/>
        <w:t xml:space="preserve">) </w:t>
      </w:r>
      <w:r w:rsidRPr="00D55817">
        <w:rPr/>
        <w:t>[4]</w:t>
      </w:r>
      <w:r>
        <w:rPr/>
        <w:t xml:space="preserve">. </w:t>
      </w:r>
      <w:r w:rsidR="00810A9D">
        <w:rPr/>
        <w:t xml:space="preserve">Regarding the search for new biomarkers, we focused on quantity, quality, and variability of turn measures, </w:t>
      </w:r>
      <w:r w:rsidR="006928BD">
        <w:rPr/>
        <w:t>recorded with</w:t>
      </w:r>
      <w:r w:rsidR="00810A9D">
        <w:rPr/>
        <w:t xml:space="preserve"> wearable inertial sensors during ambulatory monitoring. We have identified turn duration (DUR), mean and peak turn velocity (MV, PV), number of steps to turn (NSTEP), number of turns per hour (TPH), and day-to-day variability of turn angle (CV-ANG) as digital biomarkers having prognostic information on future falls </w:t>
      </w:r>
      <w:r w:rsidR="00810A9D">
        <w:fldChar w:fldCharType="begin" w:fldLock="1"/>
      </w:r>
      <w:r w:rsidR="001224D5">
        <w:instrText>ADDIN CSL_CITATION {"citationItems":[{"id":"ITEM-1","itemData":{"DOI":"10.1038/s41598-018-22492-6","ISSN":"2045-2322","abstract":"Although turning has been reported as one of the leading activities performed during a fall, and falls during turning result in 8-times more hip fractures than falls during linear gait, the quantity and quality of turns resulting in falls remain unknown since turns are rarely assessed during activities of daily living. 160 community-dwelling older adults were monitored for one week using smartphone technology. Turn measures and activity rates were quantified. Fall incidence within 12 months from continuous monitoring defined fall status, with 7/153 prospective fallers/non-fallers. Based on the analysis of 718,582 turns, prospective fallers turned less frequently, took longer to turn, and were less consistent in turn angle (p = 0.007, 0.025, and 0.038, respectively). Prospective fallers also walked slower and spent less time walking and turning and more time engaged in sedentary behavior (p = 0.043, 0.012, and 0.015, respectively). Individuals experiencing decline in the control of gait and/or turning may attempt to reduce their risk of falling by limiting their exposure and implementing cautionary movement strategies while turning. Since there was no difference in the overall active rate between prospective fallers and non-fallers, impaired gait and turning ability, specifically, may attribute to elevated fall risk within this cohort.","author":[{"dropping-particle":"","family":"Leach","given":"Julia M.","non-dropping-particle":"","parse-names":false,"suffix":""},{"dropping-particle":"","family":"Mellone","given":"Sabato","non-dropping-particle":"","parse-names":false,"suffix":""},{"dropping-particle":"","family":"Palumbo","given":"Pierpaolo","non-dropping-particle":"","parse-names":false,"suffix":""},{"dropping-particle":"","family":"Bandinelli","given":"Stefania","non-dropping-particle":"","parse-names":false,"suffix":""},{"dropping-particle":"","family":"Chiari","given":"Lorenzo","non-dropping-particle":"","parse-names":false,"suffix":""}],"container-title":"Scientific Reports","id":"ITEM-1","issue":"1","issued":{"date-parts":[["2018","12","12"]]},"page":"4316","publisher":"Nature Publishing Group","title":"Natural turn measures predict recurrent falls in community-dwelling older adults: a longitudinal cohort study","type":"article-journal","volume":"8"},"uris":["http://www.mendeley.com/documents/?uuid=66b2bd96-4a60-34a4-a953-d9e4843b399a"]}],"mendeley":{"formattedCitation":"[4]","plainTextFormattedCitation":"[4]","previouslyFormattedCitation":"[4]"},"properties":{"noteIndex":0},"schema":"https://github.com/citation-style-language/schema/raw/master/csl-citation.json"}</w:instrText>
      </w:r>
      <w:r w:rsidR="00810A9D">
        <w:fldChar w:fldCharType="separate"/>
      </w:r>
      <w:r w:rsidRPr="00A70D58" w:rsidR="00A70D58">
        <w:rPr>
          <w:noProof/>
        </w:rPr>
        <w:t>[4]</w:t>
      </w:r>
      <w:r w:rsidR="00810A9D">
        <w:fldChar w:fldCharType="end"/>
      </w:r>
      <w:r w:rsidR="00810A9D">
        <w:rPr/>
        <w:t>.</w:t>
      </w:r>
      <w:r w:rsidR="000E03A1">
        <w:rPr/>
        <w:t xml:space="preserve"> Regarding established screening algorithms, we validate</w:t>
      </w:r>
      <w:r w:rsidR="006928BD">
        <w:rPr/>
        <w:t>d</w:t>
      </w:r>
      <w:r w:rsidR="000E03A1">
        <w:rPr/>
        <w:t xml:space="preserve"> the </w:t>
      </w:r>
      <w:r w:rsidR="006928BD">
        <w:rPr/>
        <w:t>algorithm</w:t>
      </w:r>
      <w:r w:rsidR="000E03A1">
        <w:rPr/>
        <w:t xml:space="preserve"> indicated in the guidelines for fall prevention issued by the American Geriatrics Society and British Geriatrics Society </w:t>
      </w:r>
      <w:r w:rsidR="000E03A1">
        <w:fldChar w:fldCharType="begin" w:fldLock="1"/>
      </w:r>
      <w:r w:rsidR="006928BD">
        <w:instrText>ADDIN CSL_CITATION {"citationItems":[{"id":"ITEM-1","itemData":{"DOI":"10.1007/s40520-018-1051-5","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Research","id":"ITEM-1","issued":{"date-parts":[["2018","10","19"]]},"page":"1-8","publisher":"Springer International Publishing","title":"Simulating the effects of a clinical guidelines screening algorithm for fall risk in community dwelling older adults","type":"article-journal"},"uris":["http://www.mendeley.com/documents/?uuid=f0fe693b-967a-30f0-ac4f-9f3f356b85cb"]}],"mendeley":{"formattedCitation":"[5]","plainTextFormattedCitation":"[5]","previouslyFormattedCitation":"[5]"},"properties":{"noteIndex":0},"schema":"https://github.com/citation-style-language/schema/raw/master/csl-citation.json"}</w:instrText>
      </w:r>
      <w:r w:rsidR="000E03A1">
        <w:fldChar w:fldCharType="separate"/>
      </w:r>
      <w:r w:rsidRPr="000E03A1" w:rsidR="000E03A1">
        <w:rPr>
          <w:noProof/>
        </w:rPr>
        <w:t>[5]</w:t>
      </w:r>
      <w:r w:rsidR="000E03A1">
        <w:fldChar w:fldCharType="end"/>
      </w:r>
      <w:r w:rsidR="000E03A1">
        <w:rPr/>
        <w:t>.</w:t>
      </w:r>
    </w:p>
    <w:p w:rsidR="0054116E" w:rsidP="00810A9D" w:rsidRDefault="0054116E" w14:paraId="44456FA1" w14:textId="77777777"/>
    <w:p w:rsidRPr="000176AA" w:rsidR="00D55817" w:rsidP="000176AA" w:rsidRDefault="003C30E4" w14:paraId="1A2C1519" w14:textId="30BF6FA5" w14:noSpellErr="1">
      <w:pPr>
        <w:pStyle w:val="Heading1"/>
        <w:rPr/>
      </w:pPr>
      <w:r w:rsidR="67C69537">
        <w:rPr/>
        <w:t>Populations</w:t>
      </w:r>
    </w:p>
    <w:p w:rsidR="00A70D58" w:rsidP="003C30E4" w:rsidRDefault="00A70D58" w14:paraId="79CCE0E9" w14:textId="0B16218D" w14:noSpellErr="1">
      <w:r>
        <w:rPr/>
        <w:t xml:space="preserve">Fall incidence and fall risk factors prevalence rates vary greatly in different datasets, the reason being yet to fully </w:t>
      </w:r>
      <w:r w:rsidR="001D0EA9">
        <w:rPr/>
        <w:t xml:space="preserve">uncover </w:t>
      </w:r>
      <w:r w:rsidR="001224D5">
        <w:fldChar w:fldCharType="begin" w:fldLock="1"/>
      </w:r>
      <w:r w:rsidR="006928BD">
        <w:instrText>ADDIN CSL_CITATION {"citationItems":[{"id":"ITEM-1","itemData":{"DOI":"10.1186/1471-2318-14-105","ISSN":"1471-2318","PMID":"25241278","abstract":"BACKGROUND: Fall incidence differs considerably between studies and countries. Reasons may be differences between study samples or different assessment methods. The aim was to derive estimates of fall incidence from two population-based studies among older community-living people in Germany and compare retrospective and prospective falls data collection methods. METHODS: Data were derived from the 2008-11 wave of the German health interview and examination survey for adults (DEGS1), and the Activity and Function of the Elderly in Ulm study (ActiFE-Ulm). Data collection took place in community facilities (DEGS1) or participants' homes (ActiFE-Ulm). Participation rates were 42% (newly recruited) and 64% (panel component) in DEGS1 and 19.8% in ActiFE-Ulm. Self-report retrospective fall data covering the previous 12 month period in DEGS1 and ActiFE-Ulm were collected, but only ActiFE-Ulm used prospective 12 month fall calendars. The incidence of 'any fall' and 'recurrent falls' were calculated for both methods. RESULTS: Fall rates increased with age in men but not women. The ActiFE-Ulm prospectively assessed incidence (95% confidence interval) in women and men aged 65- &lt; 90 years were 38.7 (36.9-40.5) and 29.7 (28.1-31.3) fallers/year and 13.7 (12.5-14.9) and 10.9 (9.9-12.0) recurrent fallers/year, respectively. Retrospective and prospective fall incidence in ActiFE-Ulm did not differ.The retrospectively assessed incidence of 'any fall' among persons 65- &lt; 80 years were significantly lower in DEGS1 than ActiFE-Ulm (women: 25.7% (22.4-29.2) versus 37.4% (34.8-39.9); men: 16.3% (13.6-19.3) versus 28.9% (26.6-31.1). Retrospective incidence estimates of recurrent falls were similar in both studies for women (10.4% (8.3-12.9) versus 10.2% (8.5-11.8)) and men (6.1% (4.3-8.5) versus 8.4% (7.1-9.8)). CONCLUSION: Both studies were population-based, but retrospective self-reported fall incidence differed between studies. Study design influences retrospective reported fall incidence considerably. Costly collection of prospective data gives similar rates to the cheaper retrospective report method.","author":[{"dropping-particle":"","family":"Rapp","given":"Kilian","non-dropping-particle":"","parse-names":false,"suffix":""},{"dropping-particle":"","family":"Freiberger","given":"Ellen","non-dropping-particle":"","parse-names":false,"suffix":""},{"dropping-particle":"","family":"Todd","given":"Chris","non-dropping-particle":"","parse-names":false,"suffix":""},{"dropping-particle":"","family":"Klenk","given":"Jochen","non-dropping-particle":"","parse-names":false,"suffix":""},{"dropping-particle":"","family":"Becker","given":"Clemens","non-dropping-particle":"","parse-names":false,"suffix":""},{"dropping-particle":"","family":"Denkinger","given":"Michael","non-dropping-particle":"","parse-names":false,"suffix":""},{"dropping-particle":"","family":"Scheidt-Nave","given":"Christa","non-dropping-particle":"","parse-names":false,"suffix":""},{"dropping-particle":"","family":"Fuchs","given":"Judith","non-dropping-particle":"","parse-names":false,"suffix":""}],"container-title":"BMC geriatrics","id":"ITEM-1","issued":{"date-parts":[["2014","1"]]},"page":"105","title":"Fall incidence in Germany: results of two population-based studies, and comparison of retrospective and prospective falls data collection methods.","type":"article-journal","volume":"14"},"uris":["http://www.mendeley.com/documents/?uuid=7bc6bc4b-5e4f-4677-ad49-bfb41ada0111"]}],"mendeley":{"formattedCitation":"[6]","plainTextFormattedCitation":"[6]","previouslyFormattedCitation":"[6]"},"properties":{"noteIndex":0},"schema":"https://github.com/citation-style-language/schema/raw/master/csl-citation.json"}</w:instrText>
      </w:r>
      <w:r w:rsidR="001224D5">
        <w:fldChar w:fldCharType="separate"/>
      </w:r>
      <w:r w:rsidRPr="000E03A1" w:rsidR="000E03A1">
        <w:rPr>
          <w:noProof/>
        </w:rPr>
        <w:t>[6]</w:t>
      </w:r>
      <w:r w:rsidR="001224D5">
        <w:fldChar w:fldCharType="end"/>
      </w:r>
      <w:r w:rsidR="001224D5">
        <w:rPr/>
        <w:t xml:space="preserve">. </w:t>
      </w:r>
      <w:r w:rsidR="003C30E4">
        <w:rPr/>
        <w:t>As expected, w</w:t>
      </w:r>
      <w:r>
        <w:rPr/>
        <w:t xml:space="preserve">hile validating FRAT-up we found much heterogeneity in its performance across different populations </w:t>
      </w:r>
      <w:r>
        <w:fldChar w:fldCharType="begin" w:fldLock="1"/>
      </w:r>
      <w:r w:rsidR="006928BD">
        <w:instrText>ADDIN CSL_CITATION {"citationItems":[{"id":"ITEM-1","itemData":{"DOI":"10.1016/J.JAMDA.2016.07.015","ISSN":"1525-8610","PMID":"27594522","author":[{"dropping-particle":"","family":"Palumbo","given":"Pierpaolo","non-dropping-particle":"","parse-names":false,"suffix":""},{"dropping-particle":"","family":"Klenk","given":"Jochen","non-dropping-particle":"","parse-names":false,"suffix":""},{"dropping-particle":"","family":"Cattelani","given":"Luca","non-dropping-particle":"","parse-names":false,"suffix":""},{"dropping-particle":"","family":"Bandinelli","given":"Stefania","non-dropping-particle":"","parse-names":false,"suffix":""},{"dropping-particle":"","family":"Ferrucci","given":"Luigi","non-dropping-particle":"","parse-names":false,"suffix":""},{"dropping-particle":"","family":"Rapp","given":"Kilian","non-dropping-particle":"","parse-names":false,"suffix":""},{"dropping-particle":"","family":"Chiari","given":"Lorenzo","non-dropping-particle":"","parse-names":false,"suffix":""},{"dropping-particle":"","family":"Rothenbacher","given":"Dietrich","non-dropping-particle":"","parse-names":false,"suffix":""},{"dropping-particle":"","family":"Berger","given":"J.S.","non-dropping-particle":"","parse-names":false,"suffix":""},{"dropping-particle":"","family":"Jordan","given":"C.O.","non-dropping-particle":"","parse-names":false,"suffix":""},{"dropping-particle":"","family":"Lloyd-Jones","given":"D.","non-dropping-particle":"","parse-names":false,"suffix":""},{"dropping-particle":"","family":"Al.","given":"Et","non-dropping-particle":"","parse-names":false,"suffix":""},{"dropping-particle":"","family":"Stephan","given":"B.C.","non-dropping-particle":"","parse-names":false,"suffix":""},{"dropping-particle":"","family":"Kurth","given":"T.","non-dropping-particle":"","parse-names":false,"suffix":""},{"dropping-particle":"","family":"Matthews","given":"F.E.","non-dropping-particle":"","parse-names":false,"suffix":""},{"dropping-particle":"","family":"Al.","given":"Et","non-dropping-particle":"","parse-names":false,"suffix":""},{"dropping-particle":"","family":"Noble","given":"D.","non-dropping-particle":"","parse-names":false,"suffix":""},{"dropping-particle":"","family":"Mathur","given":"R.","non-dropping-particle":"","parse-names":false,"suffix":""},{"dropping-particle":"","family":"Dent","given":"T.","non-dropping-particle":"","parse-names":false,"suffix":""},{"dropping-particle":"","family":"Al.","given":"Et","non-dropping-particle":"","parse-names":false,"suffix":""},{"dropping-particle":"","family":"Meads","given":"C.","non-dropping-particle":"","parse-names":false,"suffix":""},{"dropping-particle":"","family":"Ahmed","given":"I.","non-dropping-particle":"","parse-names":false,"suffix":""},{"dropping-particle":"","family":"Riley","given":"R.D.","non-dropping-particle":"","parse-names":false,"suffix":""},{"dropping-particle":"","family":"Win","given":"A.K.","non-dropping-particle":"","parse-names":false,"suffix":""},{"dropping-particle":"","family":"Macinnis","given":"R.J.","non-dropping-particle":"","parse-names":false,"suffix":""},{"dropping-particle":"","family":"Hopper","given":"J.L.","non-dropping-particle":"","parse-names":false,"suffix":""},{"dropping-particle":"","family":"Al.","given":"Et","non-dropping-particle":"","parse-names":false,"suffix":""},{"dropping-particle":"","family":"Gates","given":"S.","non-dropping-particle":"","parse-names":false,"suffix":""},{"dropping-particle":"","family":"Smith","given":"L.A.","non-dropping-particle":"","parse-names":false,"suffix":""},{"dropping-particle":"","family":"Fisher","given":"J.D.","non-dropping-particle":"","parse-names":false,"suffix":""},{"dropping-particle":"","family":"Al.","given":"Et","non-dropping-particle":"","parse-names":false,"suffix":""},{"dropping-particle":"","family":"Leslie","given":"W.D.","non-dropping-particle":"","parse-names":false,"suffix":""},{"dropping-particle":"","family":"Lix","given":"L.M.","non-dropping-particle":"","parse-names":false,"suffix":""},{"dropping-particle":"","family":"Rubin","given":"K.H.","non-dropping-particle":"","parse-names":false,"suffix":""},{"dropping-particle":"","family":"Abrahamsen","given":"B.","non-dropping-particle":"","parse-names":false,"suffix":""},{"dropping-particle":"","family":"Friis-Holmberg","given":"T.","non-dropping-particle":"","parse-names":false,"suffix":""},{"dropping-particle":"","family":"Al.","given":"Et","non-dropping-particle":"","parse-names":false,"suffix":""},{"dropping-particle":"","family":"Moons","given":"K.G.","non-dropping-particle":"","parse-names":false,"suffix":""},{"dropping-particle":"","family":"Royston","given":"P.","non-dropping-particle":"","parse-names":false,"suffix":""},{"dropping-particle":"","family":"Vergouwe","given":"Y.","non-dropping-particle":"","parse-names":false,"suffix":""},{"dropping-particle":"","family":"Al.","given":"Et","non-dropping-particle":"","parse-names":false,"suffix":""},{"dropping-particle":"","family":"Steyerberg","given":"E.W.","non-dropping-particle":"","parse-names":false,"suffix":""},{"dropping-particle":"","family":"Wyatt","given":"J.J.","non-dropping-particle":"","parse-names":false,"suffix":""},{"dropping-particle":"","family":"Altman","given":"D.G.","non-dropping-particle":"","parse-names":false,"suffix":""},{"dropping-particle":"","family":"Rubenstein","given":"L.Z.","non-dropping-particle":"","parse-names":false,"suffix":""},{"dropping-particle":"","family":"Gillespie","given":"L.D.","non-dropping-particle":"","parse-names":false,"suffix":""},{"dropping-particle":"","family":"Robertson","given":"M.C.","non-dropping-particle":"","parse-names":false,"suffix":""},{"dropping-particle":"","family":"Gillespie","given":"W.J.","non-dropping-particle":"","parse-names":false,"suffix":""},{"dropping-particle":"","family":"Al.","given":"Et","non-dropping-particle":"","parse-names":false,"suffix":""},{"dropping-particle":"","family":"Close","given":"J.C.","non-dropping-particle":"","parse-names":false,"suffix":""},{"dropping-particle":"","family":"Lord","given":"S.R.","non-dropping-particle":"","parse-names":false,"suffix":""},{"dropping-particle":"","family":"Schoene","given":"D.","non-dropping-particle":"","parse-names":false,"suffix":""},{"dropping-particle":"","family":"Wu","given":"S.M.","non-dropping-particle":"","parse-names":false,"suffix":""},{"dropping-particle":"","family":"Mikolaizak","given":"A.S.","non-dropping-particle":"","parse-names":false,"suffix":""},{"dropping-particle":"","family":"Al.","given":"Et","non-dropping-particle":"","parse-names":false,"suffix":""},{"dropping-particle":"","family":"Barry","given":"E.","non-dropping-particle":"","parse-names":false,"suffix":""},{"dropping-particle":"","family":"Galvin","given":"R.","non-dropping-particle":"","parse-names":false,"suffix":""},{"dropping-particle":"","family":"Keogh","given":"C.","non-dropping-particle":"","parse-names":false,"suffix":""},{"dropping-particle":"","family":"Al.","given":"Et","non-dropping-particle":"","parse-names":false,"suffix":""},{"dropping-particle":"","family":"Oliver","given":"D.","non-dropping-particle":"","parse-names":false,"suffix":""},{"dropping-particle":"","family":"Daly","given":"F.","non-dropping-particle":"","parse-names":false,"suffix":""},{"dropping-particle":"","family":"Martin","given":"F.C.","non-dropping-particle":"","parse-names":false,"suffix":""},{"dropping-particle":"","family":"Al.","given":"Et","non-dropping-particle":"","parse-names":false,"suffix":""},{"dropping-particle":"","family":"Billington","given":"J.","non-dropping-particle":"","parse-names":false,"suffix":""},{"dropping-particle":"","family":"Fahey","given":"T.","non-dropping-particle":"","parse-names":false,"suffix":""},{"dropping-particle":"","family":"Galvin","given":"R.","non-dropping-particle":"","parse-names":false,"suffix":""},{"dropping-particle":"da","family":"Costa","given":"B.R.","non-dropping-particle":"","parse-names":false,"suffix":""},{"dropping-particle":"","family":"Rutjes","given":"A.W.","non-dropping-particle":"","parse-names":false,"suffix":""},{"dropping-particle":"","family":"Mendy","given":"A.","non-dropping-particle":"","parse-names":false,"suffix":""},{"dropping-particle":"","family":"Al.","given":"Et","non-dropping-particle":"","parse-names":false,"suffix":""},{"dropping-particle":"","family":"Howcroft","given":"J.","non-dropping-particle":"","parse-names":false,"suffix":""},{"dropping-particle":"","family":"Kofman","given":"J.","non-dropping-particle":"","parse-names":false,"suffix":""},{"dropping-particle":"","family":"Lemaire","given":"E.D.","non-dropping-particle":"","parse-names":false,"suffix":""},{"dropping-particle":"","family":"Shany","given":"T.","non-dropping-particle":"","parse-names":false,"suffix":""},{"dropping-particle":"","family":"Wang","given":"K.","non-dropping-particle":"","parse-names":false,"suffix":""},{"dropping-particle":"","family":"Liu","given":"Y.","non-dropping-particle":"","parse-names":false,"suffix":""},{"dropping-particle":"","family":"Al.","given":"Et","non-dropping-particle":"","parse-names":false,"suffix":""},{"dropping-particle":"","family":"Cattelani","given":"L.","non-dropping-particle":"","parse-names":false,"suffix":""},{"dropping-particle":"","family":"Palumbo","given":"P.","non-dropping-particle":"","parse-names":false,"suffix":""},{"dropping-particle":"","family":"Palmerini","given":"L.","non-dropping-particle":"","parse-names":false,"suffix":""},{"dropping-particle":"","family":"Al.","given":"Et","non-dropping-particle":"","parse-names":false,"suffix":""},{"dropping-particle":"","family":"Deandrea","given":"S.","non-dropping-particle":"","parse-names":false,"suffix":""},{"dropping-particle":"","family":"Lucenteforte","given":"E.","non-dropping-particle":"","parse-names":false,"suffix":""},{"dropping-particle":"","family":"Bravi","given":"F.","non-dropping-particle":"","parse-names":false,"suffix":""},{"dropping-particle":"","family":"Al.","given":"Et","non-dropping-particle":"","parse-names":false,"suffix":""},{"dropping-particle":"","family":"Collins","given":"G.S.","non-dropping-particle":"","parse-names":false,"suffix":""},{"dropping-particle":"","family":"Reitsma","given":"J.B.","non-dropping-particle":"","parse-names":false,"suffix":""},{"dropping-particle":"","family":"Altman","given":"D.G.","non-dropping-particle":"","parse-names":false,"suffix":""},{"dropping-particle":"","family":"Al.","given":"Et","non-dropping-particle":"","parse-names":false,"suffix":""},{"dropping-particle":"","family":"Moons","given":"K.G.","non-dropping-particle":"","parse-names":false,"suffix":""},{"dropping-particle":"","family":"Altman","given":"D.G.","non-dropping-particle":"","parse-names":false,"suffix":""},{"dropping-particle":"","family":"Reitsma","given":"J.B.","non-dropping-particle":"","parse-names":false,"suffix":""},{"dropping-particle":"","family":"Al.","given":"Et","non-dropping-particle":"","parse-names":false,"suffix":""},{"dropping-particle":"","family":"R Core Team","given":"R Foundation for Statistical Computing","non-dropping-particle":"","parse-names":false,"suffix":""},{"dropping-particle":"","family":"Denkinger","given":"M.D.","non-dropping-particle":"","parse-names":false,"suffix":""},{"dropping-particle":"","family":"Franke","given":"S.","non-dropping-particle":"","parse-names":false,"suffix":""},{"dropping-particle":"","family":"Rapp","given":"K.","non-dropping-particle":"","parse-names":false,"suffix":""},{"dropping-particle":"","family":"Al.","given":"Et","non-dropping-particle":"","parse-names":false,"suffix":""},{"dropping-particle":"","family":"Klenk","given":"J.","non-dropping-particle":"","parse-names":false,"suffix":""},{"dropping-particle":"","family":"Kerse","given":"N.","non-dropping-particle":"","parse-names":false,"suffix":""},{"dropping-particle":"","family":"Rapp","given":"K.","non-dropping-particle":"","parse-names":false,"suffix":""},{"dropping-particle":"","family":"Al.","given":"Et","non-dropping-particle":"","parse-names":false,"suffix":""},{"dropping-particle":"","family":"Lamb","given":"S.E.","non-dropping-particle":"","parse-names":false,"suffix":""},{"dropping-particle":"","family":"Jørstad-Stein","given":"E.C.","non-dropping-particle":"","parse-names":false,"suffix":""},{"dropping-particle":"","family":"Hauer","given":"K.","non-dropping-particle":"","parse-names":false,"suffix":""},{"dropping-particle":"","family":"Al.","given":"Et","non-dropping-particle":"","parse-names":false,"suffix":""},{"dropping-particle":"","family":"Steptoe","given":"A.","non-dropping-particle":"","parse-names":false,"suffix":""},{"dropping-particle":"","family":"Breeze","given":"E.","non-dropping-particle":"","parse-names":false,"suffix":""},{"dropping-particle":"","family":"Banks","given":"J.","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Ferrucci","given":"L.","non-dropping-particle":"","parse-names":false,"suffix":""},{"dropping-particle":"","family":"Bandinelli","given":"S.","non-dropping-particle":"","parse-names":false,"suffix":""},{"dropping-particle":"","family":"Benvenuti","given":"E.","non-dropping-particle":"","parse-names":false,"suffix":""},{"dropping-particle":"","family":"Al.","given":"Et","non-dropping-particle":"","parse-names":false,"suffix":""},{"dropping-particle":"","family":"Kearney","given":"P.M.","non-dropping-particle":"","parse-names":false,"suffix":""},{"dropping-particle":"","family":"Cronin","given":"H.","non-dropping-particle":"","parse-names":false,"suffix":""},{"dropping-particle":"","family":"O'Regan","given":"C.","non-dropping-particle":"","parse-names":false,"suffix":""},{"dropping-particle":"","family":"Al.","given":"Et","non-dropping-particle":"","parse-names":false,"suffix":""},{"dropping-particle":"","family":"Cronin","given":"H.","non-dropping-particle":"","parse-names":false,"suffix":""},{"dropping-particle":"","family":"O'Regan","given":"C.","non-dropping-particle":"","parse-names":false,"suffix":""},{"dropping-particle":"","family":"Finucane","given":"C.","non-dropping-particle":"","parse-names":false,"suffix":""},{"dropping-particle":"","family":"Al.","given":"Et","non-dropping-particle":"","parse-names":false,"suffix":""},{"dropping-particle":"","family":"Whelan","given":"B.J.","non-dropping-particle":"","parse-names":false,"suffix":""},{"dropping-particle":"","family":"Savva","given":"G.M.","non-dropping-particle":"","parse-names":false,"suffix":""},{"dropping-particle":"","family":"Sonnega","given":"A.","non-dropping-particle":"","parse-names":false,"suffix":""},{"dropping-particle":"","family":"Weir","given":"D.R.","non-dropping-particle":"","parse-names":false,"suffix":""},{"dropping-particle":"","family":"Fortier","given":"I.","non-dropping-particle":"","parse-names":false,"suffix":""},{"dropping-particle":"","family":"Doiron","given":"D.","non-dropping-particle":"","parse-names":false,"suffix":""},{"dropping-particle":"","family":"Little","given":"J.","non-dropping-particle":"","parse-names":false,"suffix":""},{"dropping-particle":"","family":"Al.","given":"Et","non-dropping-particle":"","parse-names":false,"suffix":""},{"dropping-particle":"","family":"Korn","given":"E.L.","non-dropping-particle":"","parse-names":false,"suffix":""},{"dropping-particle":"","family":"Graubard","given":"B.I.","non-dropping-particle":"","parse-names":false,"suffix":""},{"dropping-particle":"van","family":"Buuren","given":"S.","non-dropping-particle":"","parse-names":false,"suffix":""},{"dropping-particle":"","family":"Groothuis-oudshoorn","given":"K.","non-dropping-particle":"","parse-names":false,"suffix":""},{"dropping-particle":"","family":"Venables","given":"V.N.","non-dropping-particle":"","parse-names":false,"suffix":""},{"dropping-particle":"","family":"Ripley","given":"B.D.","non-dropping-particle":"","parse-names":false,"suffix":""},{"dropping-particle":"","family":"Efron","given":"B.","non-dropping-particle":"","parse-names":false,"suffix":""},{"dropping-particle":"","family":"Efron","given":"B.","non-dropping-particle":"","parse-names":false,"suffix":""},{"dropping-particle":"","family":"Tibshirani","given":"R.","non-dropping-particle":"","parse-names":false,"suffix":""},{"dropping-particle":"","family":"Schwarzer","given":"G.","non-dropping-particle":"","parse-names":false,"suffix":""},{"dropping-particle":"","family":"Higgins","given":"J.P.","non-dropping-particle":"","parse-names":false,"suffix":""},{"dropping-particle":"","family":"Thompson","given":"S.G.","non-dropping-particle":"","parse-names":false,"suffix":""},{"dropping-particle":"","family":"DerSimonian","given":"R.","non-dropping-particle":"","parse-names":false,"suffix":""},{"dropping-particle":"","family":"Laird","given":"N.","non-dropping-particle":"","parse-names":false,"suffix":""},{"dropping-particle":"","family":"Hsu","given":"W.","non-dropping-particle":"","parse-names":false,"suffix":""},{"dropping-particle":"","family":"Murphy","given":"A.H.","non-dropping-particle":"","parse-names":false,"suffix":""},{"dropping-particle":"","family":"Palumbo","given":"P.","non-dropping-particle":"","parse-names":false,"suffix":""},{"dropping-particle":"","family":"Palmerini","given":"L.","non-dropping-particle":"","parse-names":false,"suffix":""},{"dropping-particle":"","family":"Bandinelli","given":"S.","non-dropping-particle":"","parse-names":false,"suffix":""},{"dropping-particle":"","family":"Al.","given":"Et","non-dropping-particle":"","parse-names":false,"suffix":""},{"dropping-particle":"","family":"Guralnik","given":"J.M.","non-dropping-particle":"","parse-names":false,"suffix":""},{"dropping-particle":"","family":"Simonsick","given":"E.M.","non-dropping-particle":"","parse-names":false,"suffix":""},{"dropping-particle":"","family":"Ferrucci","given":"L.","non-dropping-particle":"","parse-names":false,"suffix":""},{"dropping-particle":"","family":"Al.","given":"Et","non-dropping-particle":"","parse-names":false,"suffix":""},{"dropping-particle":"","family":"Viccaro","given":"L.J.","non-dropping-particle":"","parse-names":false,"suffix":""},{"dropping-particle":"","family":"Perera","given":"S.","non-dropping-particle":"","parse-names":false,"suffix":""},{"dropping-particle":"","family":"Studenski","given":"S.A.","non-dropping-particle":"","parse-names":false,"suffix":""},{"dropping-particle":"","family":"Lin","given":"M.R.","non-dropping-particle":"","parse-names":false,"suffix":""},{"dropping-particle":"","family":"Hwang","given":"H.F.","non-dropping-particle":"","parse-names":false,"suffix":""},{"dropping-particle":"","family":"Hu","given":"M.H.","non-dropping-particle":"","parse-names":false,"suffix":""},{"dropping-particle":"","family":"Al.","given":"Et","non-dropping-particle":"","parse-names":false,"suffix":""},{"dropping-particle":"","family":"Sai","given":"A.J.","non-dropping-particle":"","parse-names":false,"suffix":""},{"dropping-particle":"","family":"Gallagher","given":"J.C.","non-dropping-particle":"","parse-names":false,"suffix":""},{"dropping-particle":"","family":"Smith","given":"L.M.","non-dropping-particle":"","parse-names":false,"suffix":""},{"dropping-particle":"","family":"Al.","given":"Et","non-dropping-particle":"","parse-names":false,"suffix":""},{"dropping-particle":"","family":"Tinetti","given":"M.E.","non-dropping-particle":"","parse-names":false,"suffix":""},{"dropping-particle":"","family":"Raîche","given":"M.","non-dropping-particle":"","parse-names":false,"suffix":""},{"dropping-particle":"","family":"Hébert","given":"R.","non-dropping-particle":"","parse-names":false,"suffix":""},{"dropping-particle":"","family":"Prince","given":"F.","non-dropping-particle":"","parse-names":false,"suffix":""},{"dropping-particle":"","family":"Al.","given":"Et","non-dropping-particle":"","parse-names":false,"suffix":""},{"dropping-particle":"","family":"Moons","given":"K.G.","non-dropping-particle":"","parse-names":false,"suffix":""},{"dropping-particle":"","family":"Kengne","given":"A.P.","non-dropping-particle":"","parse-names":false,"suffix":""},{"dropping-particle":"","family":"Woodward","given":"M.","non-dropping-particle":"","parse-names":false,"suffix":""},{"dropping-particle":"","family":"Al.","given":"Et","non-dropping-particle":"","parse-names":false,"suffix":""},{"dropping-particle":"","family":"Palumbo","given":"P.","non-dropping-particle":"","parse-names":false,"suffix":""},{"dropping-particle":"","family":"Palmerini","given":"L.","non-dropping-particle":"","parse-names":false,"suffix":""},{"dropping-particle":"","family":"Chiari","given":"L.","non-dropping-particle":"","parse-names":false,"suffix":""},{"dropping-particle":"","family":"Rapp","given":"K.","non-dropping-particle":"","parse-names":false,"suffix":""},{"dropping-particle":"","family":"Freiberger","given":"E.","non-dropping-particle":"","parse-names":false,"suffix":""},{"dropping-particle":"","family":"Todd","given":"C.","non-dropping-particle":"","parse-names":false,"suffix":""},{"dropping-particle":"","family":"Al.","given":"Et","non-dropping-particle":"","parse-names":false,"suffix":""},{"dropping-particle":"","family":"Majdan","given":"M.","non-dropping-particle":"","parse-names":false,"suffix":""},{"dropping-particle":"","family":"Mauritz","given":"W.","non-dropping-particle":"","parse-names":false,"suffix":""},{"dropping-particle":"","family":"Moons","given":"K.G.","non-dropping-particle":"","parse-names":false,"suffix":""},{"dropping-particle":"","family":"Kengne","given":"A.P.","non-dropping-particle":"","parse-names":false,"suffix":""},{"dropping-particle":"","family":"Grobbee","given":"D.E.","non-dropping-particle":"","parse-names":false,"suffix":""},{"dropping-particle":"","family":"Al.","given":"Et","non-dropping-particle":"","parse-names":false,"suffix":""},{"dropping-particle":"","family":"Siontis","given":"G.C.","non-dropping-particle":"","parse-names":false,"suffix":""},{"dropping-particle":"","family":"Tzoulaki","given":"I.","non-dropping-particle":"","parse-names":false,"suffix":""},{"dropping-particle":"","family":"Castaldi","given":"P.J.","non-dropping-particle":"","parse-names":false,"suffix":""},{"dropping-particle":"","family":"Al.","given":"Et","non-dropping-particle":"","parse-names":false,"suffix":""}],"container-title":"Journal of the American Medical Directors Association","id":"ITEM-1","issued":{"date-parts":[["2016"]]},"page":"1106-1113","publisher":"Elsevier","title":"Predictive Performance of a Fall Risk Assessment Tool for Community-Dwelling Older People (FRAT-up) in 4 European Cohorts","type":"article-journal","volume":"17"},"uris":["http://www.mendeley.com/documents/?uuid=ba231e27-0fdf-39c0-bad2-d9f3d7b2106c"]}],"mendeley":{"formattedCitation":"[7]","plainTextFormattedCitation":"[7]","previouslyFormattedCitation":"[7]"},"properties":{"noteIndex":0},"schema":"https://github.com/citation-style-language/schema/raw/master/csl-citation.json"}</w:instrText>
      </w:r>
      <w:r>
        <w:fldChar w:fldCharType="separate"/>
      </w:r>
      <w:r w:rsidRPr="000E03A1" w:rsidR="000E03A1">
        <w:rPr>
          <w:noProof/>
        </w:rPr>
        <w:t>[7]</w:t>
      </w:r>
      <w:r>
        <w:fldChar w:fldCharType="end"/>
      </w:r>
      <w:r w:rsidR="003C30E4">
        <w:rPr/>
        <w:t>. Benchmarking fall prediction algorithms on different datasets/populations may provide more robust estimates of their performance.</w:t>
      </w:r>
      <w:r w:rsidR="00590D4F">
        <w:rPr/>
        <w:t xml:space="preserve"> </w:t>
      </w:r>
    </w:p>
    <w:p w:rsidR="0054116E" w:rsidP="003C30E4" w:rsidRDefault="0054116E" w14:paraId="06B6D568" w14:textId="77777777"/>
    <w:p w:rsidRPr="000176AA" w:rsidR="00711073" w:rsidP="000176AA" w:rsidRDefault="0023303B" w14:paraId="6E92BB58" w14:textId="67B48948" w14:noSpellErr="1">
      <w:pPr>
        <w:pStyle w:val="Heading1"/>
        <w:rPr/>
      </w:pPr>
      <w:r w:rsidR="67C69537">
        <w:rPr/>
        <w:t>Semantic</w:t>
      </w:r>
      <w:r w:rsidR="67C69537">
        <w:rPr/>
        <w:t>s</w:t>
      </w:r>
      <w:r w:rsidR="67C69537">
        <w:rPr/>
        <w:t xml:space="preserve"> of prediction</w:t>
      </w:r>
    </w:p>
    <w:p w:rsidR="0023303B" w:rsidP="002B739B" w:rsidRDefault="0023303B" w14:paraId="26AC4C0C" w14:textId="7C950D5D" w14:noSpellErr="1">
      <w:r>
        <w:rPr/>
        <w:t>Algorithms for fall prediction can deliver their prediction according to different semantics. Namely, the prediction can be deterministic (e.g. no fall vs at least one fall), probabilistic (probability distribution over the possible outcome events, e.g. probability of falling at least once in 12 months, probability of experiencing 3 falls</w:t>
      </w:r>
      <w:r w:rsidR="0083475D">
        <w:rPr/>
        <w:t xml:space="preserve"> in 12 months</w:t>
      </w:r>
      <w:r>
        <w:rPr/>
        <w:t xml:space="preserve">, etc.), or fuzzy (dichotomic or with multiple levels, e.g. high vs intermediate vs low risk). In our </w:t>
      </w:r>
      <w:r w:rsidR="004B71E1">
        <w:rPr/>
        <w:t xml:space="preserve">works we have chosen probabilistic predictions, over dichotomic events (probability </w:t>
      </w:r>
      <w:r w:rsidR="0083475D">
        <w:rPr/>
        <w:t>of</w:t>
      </w:r>
      <w:r w:rsidR="004B71E1">
        <w:rPr/>
        <w:t xml:space="preserve"> no fall vs at least one fall in 12 months) or counts (probability distribution over the number of falls in 12 months) </w:t>
      </w:r>
      <w:r w:rsidR="004B71E1">
        <w:fldChar w:fldCharType="begin" w:fldLock="1"/>
      </w:r>
      <w:r w:rsidR="006928BD">
        <w:instrText>ADDIN CSL_CITATION {"citationItems":[{"id":"ITEM-1","itemData":{"DOI":"10.2196/jmir.4064","author":[{"dropping-particle":"","family":"Cattelani","given":"Luca","non-dropping-particle":"","parse-names":false,"suffix":""},{"dropping-particle":"","family":"Palumbo","given":"Pierpaolo","non-dropping-particle":"","parse-names":false,"suffix":""},{"dropping-particle":"","family":"Palmerini","given":"Luca","non-dropping-particle":"","parse-names":false,"suffix":""},{"dropping-particle":"","family":"Bandinelli","given":"Stefania","non-dropping-particle":"","parse-names":false,"suffix":""},{"dropping-particle":"","family":"Becker","given":"Clemens","non-dropping-particle":"","parse-names":false,"suffix":""},{"dropping-particle":"","family":"Chesani","given":"Federico","non-dropping-particle":"","parse-names":false,"suffix":""},{"dropping-particle":"","family":"Chiari","given":"Lorenzo","non-dropping-particle":"","parse-names":false,"suffix":""}],"container-title":"Journal of Medical Internet Research","id":"ITEM-1","issue":"2","issued":{"date-parts":[["2015"]]},"page":"e41","title":"FRAT-up, a web-based fall risk assessment tool for elderly people living in the community","type":"article-journal","volume":"17"},"uris":["http://www.mendeley.com/documents/?uuid=97bcc0a4-d3c0-48e9-8b80-3da546652d2e"]},{"id":"ITEM-2","itemData":{"DOI":"10.1371/journal.pone.0146247","ISSN":"1932-6203","author":[{"dropping-particle":"","family":"Palumbo","given":"Pierpaolo","non-dropping-particle":"","parse-names":false,"suffix":""},{"dropping-particle":"","family":"Palmerini","given":"Luca","non-dropping-particle":"","parse-names":false,"suffix":""},{"dropping-particle":"","family":"Bandinelli","given":"Stefania","non-dropping-particle":"","parse-names":false,"suffix":""},{"dropping-particle":"","family":"Chiari","given":"Lorenzo","non-dropping-particle":"","parse-names":false,"suffix":""}],"container-title":"PLOS ONE","editor":[{"dropping-particle":"","family":"Wang","given":"Yue","non-dropping-particle":"","parse-names":false,"suffix":""}],"id":"ITEM-2","issue":"12","issued":{"date-parts":[["2015","12","30"]]},"page":"e0146247","publisher":"Public Library of Science","title":"Fall Risk Assessment Tools for Elderly Living in the Community: Can We Do Better?","type":"article-journal","volume":"10"},"uris":["http://www.mendeley.com/documents/?uuid=313a0011-4c55-4046-a81f-f711436efc04"]}],"mendeley":{"formattedCitation":"[8], [9]","plainTextFormattedCitation":"[8], [9]","previouslyFormattedCitation":"[8], [9]"},"properties":{"noteIndex":0},"schema":"https://github.com/citation-style-language/schema/raw/master/csl-citation.json"}</w:instrText>
      </w:r>
      <w:r w:rsidR="004B71E1">
        <w:fldChar w:fldCharType="separate"/>
      </w:r>
      <w:r w:rsidRPr="000E03A1" w:rsidR="000E03A1">
        <w:rPr>
          <w:noProof/>
        </w:rPr>
        <w:t>[8], [9]</w:t>
      </w:r>
      <w:r w:rsidR="004B71E1">
        <w:fldChar w:fldCharType="end"/>
      </w:r>
      <w:r w:rsidR="004B71E1">
        <w:rPr/>
        <w:t xml:space="preserve">. </w:t>
      </w:r>
    </w:p>
    <w:p w:rsidR="0054116E" w:rsidP="002B739B" w:rsidRDefault="0054116E" w14:paraId="1E2A6FDA" w14:textId="77777777"/>
    <w:p w:rsidRPr="000176AA" w:rsidR="00711073" w:rsidP="000176AA" w:rsidRDefault="004B71E1" w14:paraId="45E43FE0" w14:textId="0C890239" w14:noSpellErr="1">
      <w:pPr>
        <w:pStyle w:val="Heading1"/>
        <w:rPr/>
      </w:pPr>
      <w:r w:rsidR="67C69537">
        <w:rPr/>
        <w:t>Performance metrics</w:t>
      </w:r>
    </w:p>
    <w:p w:rsidR="00BB14FA" w:rsidP="002B739B" w:rsidRDefault="006928BD" w14:paraId="249AF627" w14:textId="77E7CC1A">
      <w:r w:rsidR="67C69537">
        <w:rPr/>
        <w:t>Biostatistical</w:t>
      </w:r>
      <w:r w:rsidR="67C69537">
        <w:rPr/>
        <w:t xml:space="preserve"> literature on prognostic models indicates </w:t>
      </w:r>
      <w:r w:rsidR="67C69537">
        <w:rPr/>
        <w:t>classical</w:t>
      </w:r>
      <w:r w:rsidR="67C69537">
        <w:rPr/>
        <w:t xml:space="preserve"> performance metrics to use </w:t>
      </w:r>
      <w:r w:rsidR="67C69537">
        <w:rPr/>
        <w:t>for</w:t>
      </w:r>
      <w:r w:rsidR="67C69537">
        <w:rPr/>
        <w:t xml:space="preserve"> continuous or dichotomic risk indicators (e.g. sensitivity, specificity, positive/negative predictive value, area under the ROC curve</w:t>
      </w:r>
      <w:r w:rsidR="67C69537">
        <w:rPr/>
        <w:t xml:space="preserve"> (AUC)</w:t>
      </w:r>
      <w:r w:rsidR="67C69537">
        <w:rPr/>
        <w:t xml:space="preserve">, etc.). Performance </w:t>
      </w:r>
      <w:r w:rsidR="67C69537">
        <w:rPr/>
        <w:t>is generally thought of as made of two components: discriminative ability (</w:t>
      </w:r>
      <w:r w:rsidR="67C69537">
        <w:rPr/>
        <w:t xml:space="preserve">i.e. </w:t>
      </w:r>
      <w:r w:rsidR="67C69537">
        <w:rPr/>
        <w:t>ability to discriminate between classes, e.g. fallers and non-fallers) and calibration (</w:t>
      </w:r>
      <w:r w:rsidR="67C69537">
        <w:rPr/>
        <w:t xml:space="preserve">i.e. </w:t>
      </w:r>
      <w:r w:rsidR="67C69537">
        <w:rPr/>
        <w:t xml:space="preserve">accordance between </w:t>
      </w:r>
      <w:r w:rsidR="67C69537">
        <w:rPr/>
        <w:t>prediction</w:t>
      </w:r>
      <w:r w:rsidR="67C69537">
        <w:rPr/>
        <w:t>s</w:t>
      </w:r>
      <w:r w:rsidR="67C69537">
        <w:rPr/>
        <w:t xml:space="preserve"> and observed frequencies</w:t>
      </w:r>
      <w:r w:rsidR="67C69537">
        <w:rPr/>
        <w:t>)</w:t>
      </w:r>
      <w:r w:rsidR="67C69537">
        <w:rPr/>
        <w:t xml:space="preserve">. </w:t>
      </w:r>
      <w:r w:rsidR="67C69537">
        <w:rPr/>
        <w:t>For dichotomic events, d</w:t>
      </w:r>
      <w:r w:rsidR="67C69537">
        <w:rPr/>
        <w:t xml:space="preserve">iscriminative ability is generally assessed with AUC, while calibration with calibration plots and </w:t>
      </w:r>
      <w:r w:rsidR="67C69537">
        <w:rPr/>
        <w:t xml:space="preserve">the </w:t>
      </w:r>
      <w:r w:rsidR="67C69537">
        <w:rPr/>
        <w:t>Hosmer-</w:t>
      </w:r>
      <w:proofErr w:type="spellStart"/>
      <w:r w:rsidR="67C69537">
        <w:rPr/>
        <w:t>Leme</w:t>
      </w:r>
      <w:r w:rsidR="67C69537">
        <w:rPr/>
        <w:t>show</w:t>
      </w:r>
      <w:proofErr w:type="spellEnd"/>
      <w:r w:rsidR="67C69537">
        <w:rPr/>
        <w:t xml:space="preserve"> test.</w:t>
      </w:r>
      <w:r w:rsidR="67C69537">
        <w:rPr/>
        <w:t xml:space="preserve"> </w:t>
      </w:r>
    </w:p>
    <w:p w:rsidR="001C2398" w:rsidP="002B739B" w:rsidRDefault="001C2398" w14:paraId="09BDA2CA" w14:textId="199785FB" w14:noSpellErr="1">
      <w:r>
        <w:rPr/>
        <w:t xml:space="preserve">We also think that algorithms should be assessed for their robustness with respect to missing data, since they often occur in clinical research and real-world scenarios. We employed a very simple procedure to </w:t>
      </w:r>
      <w:r w:rsidR="0025752C">
        <w:rPr/>
        <w:t xml:space="preserve">assess performance degradation with increasing percentage of missing values on a model for prediction of depression in older adults </w:t>
      </w:r>
      <w:r w:rsidR="0025752C">
        <w:fldChar w:fldCharType="begin" w:fldLock="1"/>
      </w:r>
      <w:r w:rsidR="006928BD">
        <w:instrText>ADDIN CSL_CITATION {"citationItems":[{"id":"ITEM-1","itemData":{"DOI":"10.1109/JBHI.2018.2884079","ISSN":"2168-2194","author":[{"dropping-particle":"","family":"Cattelani","given":"Luca","non-dropping-particle":"","parse-names":false,"suffix":""},{"dropping-particle":"","family":"Belvederi Murri","given":"Martino","non-dropping-particle":"","parse-names":false,"suffix":""},{"dropping-particle":"","family":"Chesani","given":"Federico","non-dropping-particle":"","parse-names":false,"suffix":""},{"dropping-particle":"","family":"Chiari","given":"Lorenzo","non-dropping-particle":"","parse-names":false,"suffix":""},{"dropping-particle":"","family":"Bandinelli","given":"Stefania","non-dropping-particle":"","parse-names":false,"suffix":""},{"dropping-particle":"","family":"Palumbo","given":"Pierpaolo","non-dropping-particle":"","parse-names":false,"suffix":""}],"container-title":"IEEE Journal of Biomedical and Health Informatics","id":"ITEM-1","issued":{"date-parts":[["2018"]]},"page":"1-1","title":"Risk Prediction Model for Late Life Depression: Development and Validation on Three Large European Datasets","type":"article-journal"},"uris":["http://www.mendeley.com/documents/?uuid=f440a7fb-e327-3754-882e-dc7ada1b9300"]}],"mendeley":{"formattedCitation":"[10]","plainTextFormattedCitation":"[10]","previouslyFormattedCitation":"[10]"},"properties":{"noteIndex":0},"schema":"https://github.com/citation-style-language/schema/raw/master/csl-citation.json"}</w:instrText>
      </w:r>
      <w:r w:rsidR="0025752C">
        <w:fldChar w:fldCharType="separate"/>
      </w:r>
      <w:r w:rsidRPr="000E03A1" w:rsidR="000E03A1">
        <w:rPr>
          <w:noProof/>
        </w:rPr>
        <w:t>[10]</w:t>
      </w:r>
      <w:r w:rsidR="0025752C">
        <w:fldChar w:fldCharType="end"/>
      </w:r>
      <w:r w:rsidR="0025752C">
        <w:rPr/>
        <w:t>.</w:t>
      </w:r>
    </w:p>
    <w:p w:rsidR="009672A4" w:rsidP="002B739B" w:rsidRDefault="00FE5758" w14:paraId="02151C22" w14:textId="173F475E" w14:noSpellErr="1">
      <w:r>
        <w:rPr/>
        <w:t xml:space="preserve">Finally, besides the statistical predictive accuracy, fall predictive algorithms should be evaluated on the basis of the impact they would have once coupled with </w:t>
      </w:r>
      <w:r w:rsidR="00D91719">
        <w:rPr/>
        <w:t>appropriate preventive interventions, as measured in terms of prevented falls and/or improved allocation of resources available for prevention</w:t>
      </w:r>
      <w:r w:rsidR="006928BD">
        <w:rPr/>
        <w:t xml:space="preserve"> (e.g. </w:t>
      </w:r>
      <w:r w:rsidR="006928BD">
        <w:fldChar w:fldCharType="begin" w:fldLock="1"/>
      </w:r>
      <w:r w:rsidR="006928BD">
        <w:instrText>ADDIN CSL_CITATION {"citationItems":[{"id":"ITEM-1","itemData":{"DOI":"10.1007/s40520-018-1051-5","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Research","id":"ITEM-1","issued":{"date-parts":[["2018","10","19"]]},"page":"1-8","publisher":"Springer International Publishing","title":"Simulating the effects of a clinical guidelines screening algorithm for fall risk in community dwelling older adults","type":"article-journal"},"uris":["http://www.mendeley.com/documents/?uuid=f0fe693b-967a-30f0-ac4f-9f3f356b85cb"]}],"mendeley":{"formattedCitation":"[5]","plainTextFormattedCitation":"[5]"},"properties":{"noteIndex":0},"schema":"https://github.com/citation-style-language/schema/raw/master/csl-citation.json"}</w:instrText>
      </w:r>
      <w:r w:rsidR="006928BD">
        <w:fldChar w:fldCharType="separate"/>
      </w:r>
      <w:r w:rsidRPr="006928BD" w:rsidR="006928BD">
        <w:rPr>
          <w:noProof/>
        </w:rPr>
        <w:t>[5]</w:t>
      </w:r>
      <w:r w:rsidR="006928BD">
        <w:fldChar w:fldCharType="end"/>
      </w:r>
      <w:r w:rsidR="006928BD">
        <w:rPr/>
        <w:t>)</w:t>
      </w:r>
      <w:r w:rsidR="00D91719">
        <w:rPr/>
        <w:t>.</w:t>
      </w:r>
    </w:p>
    <w:p w:rsidR="0025752C" w:rsidP="00BC60B3" w:rsidRDefault="009672A4" w14:paraId="722BD961" w14:textId="4C8544D2">
      <w:pPr>
        <w:spacing w:before="0"/>
      </w:pPr>
      <w:r>
        <w:br w:type="page"/>
      </w:r>
    </w:p>
    <w:p w:rsidR="00C41D6E" w:rsidP="00FA2836" w:rsidRDefault="00C41D6E" w14:paraId="6A4FF913" w14:textId="6FFD3989"/>
    <w:p w:rsidRPr="00443E7B" w:rsidR="00427220" w:rsidP="000176AA" w:rsidRDefault="00427220" w14:paraId="797D4406" w14:textId="01C15808" w14:noSpellErr="1">
      <w:pPr>
        <w:pStyle w:val="Headingib"/>
        <w:jc w:val="center"/>
      </w:pPr>
      <w:r w:rsidR="67C69537">
        <w:rPr/>
        <w:t>References</w:t>
      </w:r>
    </w:p>
    <w:p w:rsidRPr="006928BD" w:rsidR="006928BD" w:rsidP="006928BD" w:rsidRDefault="00766698" w14:paraId="4E70663D" w14:textId="0CFF86BA">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6928BD" w:rsidR="006928BD">
        <w:rPr>
          <w:noProof/>
        </w:rPr>
        <w:t>[1]</w:t>
      </w:r>
      <w:r w:rsidRPr="006928BD" w:rsidR="006928BD">
        <w:rPr>
          <w:noProof/>
        </w:rPr>
        <w:tab/>
      </w:r>
      <w:r w:rsidRPr="006928BD" w:rsidR="006928BD">
        <w:rPr>
          <w:noProof/>
        </w:rPr>
        <w:t xml:space="preserve">S. E. Lamb, E. C. Jørstad-Stein, K. Hauer, and C. Becker, “Development of a common outcome data set for fall injury prevention trials: the Prevention of Falls Network Europe consensus.,” </w:t>
      </w:r>
      <w:r w:rsidRPr="006928BD" w:rsidR="006928BD">
        <w:rPr>
          <w:i/>
          <w:iCs/>
          <w:noProof/>
        </w:rPr>
        <w:t>J. Am. Geriatr. Soc.</w:t>
      </w:r>
      <w:r w:rsidRPr="006928BD" w:rsidR="006928BD">
        <w:rPr>
          <w:noProof/>
        </w:rPr>
        <w:t>, vol. 53, no. 9, pp. 1618–22, Sep. 2005.</w:t>
      </w:r>
    </w:p>
    <w:p w:rsidRPr="006928BD" w:rsidR="006928BD" w:rsidP="006928BD" w:rsidRDefault="006928BD" w14:paraId="490F12F8" w14:textId="77777777">
      <w:pPr>
        <w:widowControl w:val="0"/>
        <w:autoSpaceDE w:val="0"/>
        <w:autoSpaceDN w:val="0"/>
        <w:adjustRightInd w:val="0"/>
        <w:ind w:left="640" w:hanging="640"/>
        <w:rPr>
          <w:noProof/>
        </w:rPr>
      </w:pPr>
      <w:r w:rsidRPr="006928BD">
        <w:rPr>
          <w:noProof/>
        </w:rPr>
        <w:t>[2]</w:t>
      </w:r>
      <w:r w:rsidRPr="006928BD">
        <w:rPr>
          <w:noProof/>
        </w:rPr>
        <w:tab/>
      </w:r>
      <w:r w:rsidRPr="006928BD">
        <w:rPr>
          <w:noProof/>
        </w:rPr>
        <w:t xml:space="preserve">P. Palumbo, L. Palmerini, and L. Chiari, “A probabilistic model to investigate the properties of prognostic tools for falls,” </w:t>
      </w:r>
      <w:r w:rsidRPr="006928BD">
        <w:rPr>
          <w:i/>
          <w:iCs/>
          <w:noProof/>
        </w:rPr>
        <w:t>Methods Inf. Med.</w:t>
      </w:r>
      <w:r w:rsidRPr="006928BD">
        <w:rPr>
          <w:noProof/>
        </w:rPr>
        <w:t>, vol. 54, no. 2, pp. 189–197, 2015.</w:t>
      </w:r>
    </w:p>
    <w:p w:rsidRPr="006928BD" w:rsidR="006928BD" w:rsidP="006928BD" w:rsidRDefault="006928BD" w14:paraId="625781A5" w14:textId="77777777">
      <w:pPr>
        <w:widowControl w:val="0"/>
        <w:autoSpaceDE w:val="0"/>
        <w:autoSpaceDN w:val="0"/>
        <w:adjustRightInd w:val="0"/>
        <w:ind w:left="640" w:hanging="640"/>
        <w:rPr>
          <w:noProof/>
        </w:rPr>
      </w:pPr>
      <w:r w:rsidRPr="006928BD">
        <w:rPr>
          <w:noProof/>
        </w:rPr>
        <w:t>[3]</w:t>
      </w:r>
      <w:r w:rsidRPr="006928BD">
        <w:rPr>
          <w:noProof/>
        </w:rPr>
        <w:tab/>
      </w:r>
      <w:r w:rsidRPr="006928BD">
        <w:rPr>
          <w:noProof/>
        </w:rPr>
        <w:t xml:space="preserve">S. Deandrea, E. Lucenteforte, F. Bravi, R. Foschi, C. La Vecchia, and E. Negri, “Risk Factors for Falls in Community-dwelling Older People: A Systematic Review and Meta-analysis,” </w:t>
      </w:r>
      <w:r w:rsidRPr="006928BD">
        <w:rPr>
          <w:i/>
          <w:iCs/>
          <w:noProof/>
        </w:rPr>
        <w:t>Epidemiology</w:t>
      </w:r>
      <w:r w:rsidRPr="006928BD">
        <w:rPr>
          <w:noProof/>
        </w:rPr>
        <w:t>, vol. 21, no. 5, pp. 658–668, 2010.</w:t>
      </w:r>
    </w:p>
    <w:p w:rsidRPr="006928BD" w:rsidR="006928BD" w:rsidP="006928BD" w:rsidRDefault="006928BD" w14:paraId="521570B4" w14:textId="77777777">
      <w:pPr>
        <w:widowControl w:val="0"/>
        <w:autoSpaceDE w:val="0"/>
        <w:autoSpaceDN w:val="0"/>
        <w:adjustRightInd w:val="0"/>
        <w:ind w:left="640" w:hanging="640"/>
        <w:rPr>
          <w:noProof/>
        </w:rPr>
      </w:pPr>
      <w:r w:rsidRPr="006928BD">
        <w:rPr>
          <w:noProof/>
        </w:rPr>
        <w:t>[4]</w:t>
      </w:r>
      <w:r w:rsidRPr="006928BD">
        <w:rPr>
          <w:noProof/>
        </w:rPr>
        <w:tab/>
      </w:r>
      <w:r w:rsidRPr="006928BD">
        <w:rPr>
          <w:noProof/>
        </w:rPr>
        <w:t xml:space="preserve">J. M. Leach, S. Mellone, P. Palumbo, S. Bandinelli, and L. Chiari, “Natural turn measures predict recurrent falls in community-dwelling older adults: a longitudinal cohort study,” </w:t>
      </w:r>
      <w:r w:rsidRPr="006928BD">
        <w:rPr>
          <w:i/>
          <w:iCs/>
          <w:noProof/>
        </w:rPr>
        <w:t>Sci. Rep.</w:t>
      </w:r>
      <w:r w:rsidRPr="006928BD">
        <w:rPr>
          <w:noProof/>
        </w:rPr>
        <w:t>, vol. 8, no. 1, p. 4316, Dec. 2018.</w:t>
      </w:r>
    </w:p>
    <w:p w:rsidRPr="006928BD" w:rsidR="006928BD" w:rsidP="006928BD" w:rsidRDefault="006928BD" w14:paraId="1B919A76" w14:textId="77777777">
      <w:pPr>
        <w:widowControl w:val="0"/>
        <w:autoSpaceDE w:val="0"/>
        <w:autoSpaceDN w:val="0"/>
        <w:adjustRightInd w:val="0"/>
        <w:ind w:left="640" w:hanging="640"/>
        <w:rPr>
          <w:noProof/>
        </w:rPr>
      </w:pPr>
      <w:r w:rsidRPr="006928BD">
        <w:rPr>
          <w:noProof/>
        </w:rPr>
        <w:t>[5]</w:t>
      </w:r>
      <w:r w:rsidRPr="006928BD">
        <w:rPr>
          <w:noProof/>
        </w:rPr>
        <w:tab/>
      </w:r>
      <w:r w:rsidRPr="006928BD">
        <w:rPr>
          <w:noProof/>
        </w:rPr>
        <w:t xml:space="preserve">P. Palumbo, C. Becker, S. Bandinelli, and L. Chiari, “Simulating the effects of a clinical guidelines screening algorithm for fall risk in community dwelling older adults,” </w:t>
      </w:r>
      <w:r w:rsidRPr="006928BD">
        <w:rPr>
          <w:i/>
          <w:iCs/>
          <w:noProof/>
        </w:rPr>
        <w:t>Aging Clin. Exp. Res.</w:t>
      </w:r>
      <w:r w:rsidRPr="006928BD">
        <w:rPr>
          <w:noProof/>
        </w:rPr>
        <w:t>, pp. 1–8, Oct. 2018.</w:t>
      </w:r>
    </w:p>
    <w:p w:rsidRPr="006928BD" w:rsidR="006928BD" w:rsidP="006928BD" w:rsidRDefault="006928BD" w14:paraId="3BDF5804" w14:textId="77777777">
      <w:pPr>
        <w:widowControl w:val="0"/>
        <w:autoSpaceDE w:val="0"/>
        <w:autoSpaceDN w:val="0"/>
        <w:adjustRightInd w:val="0"/>
        <w:ind w:left="640" w:hanging="640"/>
        <w:rPr>
          <w:noProof/>
        </w:rPr>
      </w:pPr>
      <w:r w:rsidRPr="006928BD">
        <w:rPr>
          <w:noProof/>
        </w:rPr>
        <w:t>[6]</w:t>
      </w:r>
      <w:r w:rsidRPr="006928BD">
        <w:rPr>
          <w:noProof/>
        </w:rPr>
        <w:tab/>
      </w:r>
      <w:r w:rsidRPr="006928BD">
        <w:rPr>
          <w:noProof/>
        </w:rPr>
        <w:t xml:space="preserve">K. Rapp </w:t>
      </w:r>
      <w:r w:rsidRPr="006928BD">
        <w:rPr>
          <w:i/>
          <w:iCs/>
          <w:noProof/>
        </w:rPr>
        <w:t>et al.</w:t>
      </w:r>
      <w:r w:rsidRPr="006928BD">
        <w:rPr>
          <w:noProof/>
        </w:rPr>
        <w:t xml:space="preserve">, “Fall incidence in Germany: results of two population-based studies, and comparison of retrospective and prospective falls data collection methods.,” </w:t>
      </w:r>
      <w:r w:rsidRPr="006928BD">
        <w:rPr>
          <w:i/>
          <w:iCs/>
          <w:noProof/>
        </w:rPr>
        <w:t>BMC Geriatr.</w:t>
      </w:r>
      <w:r w:rsidRPr="006928BD">
        <w:rPr>
          <w:noProof/>
        </w:rPr>
        <w:t>, vol. 14, p. 105, Jan. 2014.</w:t>
      </w:r>
    </w:p>
    <w:p w:rsidRPr="006928BD" w:rsidR="006928BD" w:rsidP="006928BD" w:rsidRDefault="006928BD" w14:paraId="02405F4F" w14:textId="77777777">
      <w:pPr>
        <w:widowControl w:val="0"/>
        <w:autoSpaceDE w:val="0"/>
        <w:autoSpaceDN w:val="0"/>
        <w:adjustRightInd w:val="0"/>
        <w:ind w:left="640" w:hanging="640"/>
        <w:rPr>
          <w:noProof/>
        </w:rPr>
      </w:pPr>
      <w:r w:rsidRPr="006928BD">
        <w:rPr>
          <w:noProof/>
        </w:rPr>
        <w:t>[7]</w:t>
      </w:r>
      <w:r w:rsidRPr="006928BD">
        <w:rPr>
          <w:noProof/>
        </w:rPr>
        <w:tab/>
      </w:r>
      <w:r w:rsidRPr="006928BD">
        <w:rPr>
          <w:noProof/>
        </w:rPr>
        <w:t xml:space="preserve">P. Palumbo </w:t>
      </w:r>
      <w:r w:rsidRPr="006928BD">
        <w:rPr>
          <w:i/>
          <w:iCs/>
          <w:noProof/>
        </w:rPr>
        <w:t>et al.</w:t>
      </w:r>
      <w:r w:rsidRPr="006928BD">
        <w:rPr>
          <w:noProof/>
        </w:rPr>
        <w:t xml:space="preserve">, “Predictive Performance of a Fall Risk Assessment Tool for Community-Dwelling Older People (FRAT-up) in 4 European Cohorts,” </w:t>
      </w:r>
      <w:r w:rsidRPr="006928BD">
        <w:rPr>
          <w:i/>
          <w:iCs/>
          <w:noProof/>
        </w:rPr>
        <w:t>J. Am. Med. Dir. Assoc.</w:t>
      </w:r>
      <w:r w:rsidRPr="006928BD">
        <w:rPr>
          <w:noProof/>
        </w:rPr>
        <w:t>, vol. 17, pp. 1106–1113, 2016.</w:t>
      </w:r>
    </w:p>
    <w:p w:rsidRPr="006928BD" w:rsidR="006928BD" w:rsidP="006928BD" w:rsidRDefault="006928BD" w14:paraId="7A95029B" w14:textId="77777777">
      <w:pPr>
        <w:widowControl w:val="0"/>
        <w:autoSpaceDE w:val="0"/>
        <w:autoSpaceDN w:val="0"/>
        <w:adjustRightInd w:val="0"/>
        <w:ind w:left="640" w:hanging="640"/>
        <w:rPr>
          <w:noProof/>
        </w:rPr>
      </w:pPr>
      <w:r w:rsidRPr="006928BD">
        <w:rPr>
          <w:noProof/>
        </w:rPr>
        <w:t>[8]</w:t>
      </w:r>
      <w:r w:rsidRPr="006928BD">
        <w:rPr>
          <w:noProof/>
        </w:rPr>
        <w:tab/>
      </w:r>
      <w:r w:rsidRPr="006928BD">
        <w:rPr>
          <w:noProof/>
        </w:rPr>
        <w:t xml:space="preserve">L. Cattelani </w:t>
      </w:r>
      <w:r w:rsidRPr="006928BD">
        <w:rPr>
          <w:i/>
          <w:iCs/>
          <w:noProof/>
        </w:rPr>
        <w:t>et al.</w:t>
      </w:r>
      <w:r w:rsidRPr="006928BD">
        <w:rPr>
          <w:noProof/>
        </w:rPr>
        <w:t xml:space="preserve">, “FRAT-up, a web-based fall risk assessment tool for elderly people living in the community,” </w:t>
      </w:r>
      <w:r w:rsidRPr="006928BD">
        <w:rPr>
          <w:i/>
          <w:iCs/>
          <w:noProof/>
        </w:rPr>
        <w:t>J. Med. Internet Res.</w:t>
      </w:r>
      <w:r w:rsidRPr="006928BD">
        <w:rPr>
          <w:noProof/>
        </w:rPr>
        <w:t>, vol. 17, no. 2, p. e41, 2015.</w:t>
      </w:r>
    </w:p>
    <w:p w:rsidRPr="006928BD" w:rsidR="006928BD" w:rsidP="006928BD" w:rsidRDefault="006928BD" w14:paraId="4191FB42" w14:textId="77777777">
      <w:pPr>
        <w:widowControl w:val="0"/>
        <w:autoSpaceDE w:val="0"/>
        <w:autoSpaceDN w:val="0"/>
        <w:adjustRightInd w:val="0"/>
        <w:ind w:left="640" w:hanging="640"/>
        <w:rPr>
          <w:noProof/>
        </w:rPr>
      </w:pPr>
      <w:r w:rsidRPr="006928BD">
        <w:rPr>
          <w:noProof/>
        </w:rPr>
        <w:t>[9]</w:t>
      </w:r>
      <w:r w:rsidRPr="006928BD">
        <w:rPr>
          <w:noProof/>
        </w:rPr>
        <w:tab/>
      </w:r>
      <w:r w:rsidRPr="006928BD">
        <w:rPr>
          <w:noProof/>
        </w:rPr>
        <w:t xml:space="preserve">P. Palumbo, L. Palmerini, S. Bandinelli, and L. Chiari, “Fall Risk Assessment Tools for Elderly Living in the Community: Can We Do Better?,” </w:t>
      </w:r>
      <w:r w:rsidRPr="006928BD">
        <w:rPr>
          <w:i/>
          <w:iCs/>
          <w:noProof/>
        </w:rPr>
        <w:t>PLoS One</w:t>
      </w:r>
      <w:r w:rsidRPr="006928BD">
        <w:rPr>
          <w:noProof/>
        </w:rPr>
        <w:t>, vol. 10, no. 12, p. e0146247, Dec. 2015.</w:t>
      </w:r>
    </w:p>
    <w:p w:rsidRPr="006928BD" w:rsidR="006928BD" w:rsidP="006928BD" w:rsidRDefault="006928BD" w14:paraId="1860E2A1" w14:textId="77777777">
      <w:pPr>
        <w:widowControl w:val="0"/>
        <w:autoSpaceDE w:val="0"/>
        <w:autoSpaceDN w:val="0"/>
        <w:adjustRightInd w:val="0"/>
        <w:ind w:left="640" w:hanging="640"/>
        <w:rPr>
          <w:noProof/>
        </w:rPr>
      </w:pPr>
      <w:r w:rsidRPr="006928BD">
        <w:rPr>
          <w:noProof/>
        </w:rPr>
        <w:t>[10]</w:t>
      </w:r>
      <w:r w:rsidRPr="006928BD">
        <w:rPr>
          <w:noProof/>
        </w:rPr>
        <w:tab/>
      </w:r>
      <w:r w:rsidRPr="006928BD">
        <w:rPr>
          <w:noProof/>
        </w:rPr>
        <w:t xml:space="preserve">L. Cattelani, M. Belvederi Murri, F. Chesani, L. Chiari, S. Bandinelli, and P. Palumbo, “Risk Prediction Model for Late Life Depression: Development and Validation on Three Large European Datasets,” </w:t>
      </w:r>
      <w:r w:rsidRPr="006928BD">
        <w:rPr>
          <w:i/>
          <w:iCs/>
          <w:noProof/>
        </w:rPr>
        <w:t>IEEE J. Biomed. Heal. Informatics</w:t>
      </w:r>
      <w:r w:rsidRPr="006928BD">
        <w:rPr>
          <w:noProof/>
        </w:rPr>
        <w:t>, pp. 1–1, 2018.</w:t>
      </w:r>
    </w:p>
    <w:p w:rsidR="00650C06" w:rsidP="00D91719" w:rsidRDefault="00766698" w14:paraId="1310EB5C" w14:textId="08F1059A">
      <w:r>
        <w:fldChar w:fldCharType="end"/>
      </w:r>
    </w:p>
    <w:p w:rsidR="003429F2" w:rsidP="00404076" w:rsidRDefault="00BC1D31" w14:paraId="57FF8C00" w14:textId="7A9A7895" w14:noSpellErr="1">
      <w:pPr>
        <w:spacing w:after="20"/>
        <w:jc w:val="center"/>
      </w:pPr>
      <w:r w:rsidR="67C69537">
        <w:rPr/>
        <w:t>____________________________</w:t>
      </w:r>
    </w:p>
    <w:p w:rsidRPr="00AB258E" w:rsidR="00BC1D31" w:rsidP="00BC1D31" w:rsidRDefault="00BC1D31" w14:paraId="01AABA30" w14:textId="77777777">
      <w:bookmarkStart w:name="_GoBack" w:id="11"/>
      <w:bookmarkEnd w:id="11"/>
    </w:p>
    <w:sectPr w:rsidRPr="00AB258E" w:rsidR="00BC1D31" w:rsidSect="007B7733">
      <w:headerReference w:type="default" r:id="rId15"/>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8CD" w:rsidP="007B7733" w:rsidRDefault="004E78CD" w14:paraId="7A00C4BB" w14:textId="77777777">
      <w:pPr>
        <w:spacing w:before="0"/>
      </w:pPr>
      <w:r>
        <w:separator/>
      </w:r>
    </w:p>
  </w:endnote>
  <w:endnote w:type="continuationSeparator" w:id="0">
    <w:p w:rsidR="004E78CD" w:rsidP="007B7733" w:rsidRDefault="004E78CD" w14:paraId="27E8D9EE"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8CD" w:rsidP="007B7733" w:rsidRDefault="004E78CD" w14:paraId="7012038F" w14:textId="77777777">
      <w:pPr>
        <w:spacing w:before="0"/>
      </w:pPr>
      <w:r>
        <w:separator/>
      </w:r>
    </w:p>
  </w:footnote>
  <w:footnote w:type="continuationSeparator" w:id="0">
    <w:p w:rsidR="004E78CD" w:rsidP="007B7733" w:rsidRDefault="004E78CD" w14:paraId="1AAE560F"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P="67C69537" w:rsidRDefault="007B7733" w14:paraId="4F0DCD8E" w14:textId="35292FE6">
    <w:pPr>
      <w:pStyle w:val="Header"/>
      <w:rPr>
        <w:lang w:val="pt-BR"/>
      </w:rPr>
    </w:pPr>
    <w:r w:rsidR="67C69537">
      <w:rPr/>
      <w:t xml:space="preserve">- </w:t>
    </w:r>
    <w:r w:rsidRPr="67C69537">
      <w:rPr>
        <w:noProof/>
      </w:rPr>
      <w:fldChar w:fldCharType="begin"/>
    </w:r>
    <w:r w:rsidRPr="67C69537">
      <w:rPr>
        <w:noProof/>
      </w:rPr>
      <w:instrText xml:space="preserve"> PAGE  \* MERGEFORMAT </w:instrText>
    </w:r>
    <w:r w:rsidRPr="67C69537">
      <w:rPr>
        <w:noProof/>
      </w:rPr>
      <w:fldChar w:fldCharType="separate"/>
    </w:r>
    <w:r w:rsidRPr="67C69537" w:rsidR="67C69537">
      <w:rPr>
        <w:noProof/>
      </w:rPr>
      <w:t>2</w:t>
    </w:r>
    <w:r w:rsidRPr="67C69537">
      <w:rPr>
        <w:noProof/>
      </w:rPr>
      <w:fldChar w:fldCharType="end"/>
    </w:r>
    <w:r w:rsidRPr="67C69537" w:rsidR="67C69537">
      <w:rPr>
        <w:lang w:val="pt-BR"/>
      </w:rPr>
      <w:t xml:space="preserve"> -</w:t>
    </w:r>
  </w:p>
  <w:p w:rsidRPr="007336C4" w:rsidR="007B7733" w:rsidP="005E2231" w:rsidRDefault="007B7733" w14:paraId="5F93B0D4" w14:textId="0D4D53C7">
    <w:pPr>
      <w:pStyle w:val="Header"/>
    </w:pPr>
    <w:r>
      <w:rPr>
        <w:noProof/>
      </w:rPr>
      <w:fldChar w:fldCharType="begin"/>
    </w:r>
    <w:r>
      <w:rPr>
        <w:noProof/>
      </w:rPr>
      <w:instrText xml:space="preserve"> STYLEREF  Docnumber  \* MERGEFORMAT </w:instrText>
    </w:r>
    <w:r>
      <w:rPr>
        <w:noProof/>
      </w:rPr>
      <w:fldChar w:fldCharType="separate"/>
    </w:r>
    <w:r w:rsidR="003B0B7C">
      <w:rPr>
        <w:noProof/>
      </w:rPr>
      <w:t>FG-AI4H-E-024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1"/>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MzGxMDQ3tLSwsDBU0lEKTi0uzszPAykwrgUAe3qg4iwAAAA="/>
  </w:docVars>
  <w:rsids>
    <w:rsidRoot w:val="00E03557"/>
    <w:rsid w:val="000002CE"/>
    <w:rsid w:val="00000339"/>
    <w:rsid w:val="00000BA4"/>
    <w:rsid w:val="00000FA8"/>
    <w:rsid w:val="00004098"/>
    <w:rsid w:val="00007B83"/>
    <w:rsid w:val="0001104D"/>
    <w:rsid w:val="00012EB5"/>
    <w:rsid w:val="00017655"/>
    <w:rsid w:val="000176AA"/>
    <w:rsid w:val="00017FE7"/>
    <w:rsid w:val="00020C00"/>
    <w:rsid w:val="00022B29"/>
    <w:rsid w:val="00025502"/>
    <w:rsid w:val="00027A32"/>
    <w:rsid w:val="00030DBC"/>
    <w:rsid w:val="0003117B"/>
    <w:rsid w:val="0003257A"/>
    <w:rsid w:val="000437C8"/>
    <w:rsid w:val="0004493F"/>
    <w:rsid w:val="00050A24"/>
    <w:rsid w:val="00055464"/>
    <w:rsid w:val="00061566"/>
    <w:rsid w:val="0006330F"/>
    <w:rsid w:val="00063556"/>
    <w:rsid w:val="000661D3"/>
    <w:rsid w:val="00071519"/>
    <w:rsid w:val="000769E6"/>
    <w:rsid w:val="00077E88"/>
    <w:rsid w:val="0008099A"/>
    <w:rsid w:val="000836D7"/>
    <w:rsid w:val="000842F4"/>
    <w:rsid w:val="00085268"/>
    <w:rsid w:val="00092930"/>
    <w:rsid w:val="00096D82"/>
    <w:rsid w:val="0009714E"/>
    <w:rsid w:val="00097D70"/>
    <w:rsid w:val="000A034D"/>
    <w:rsid w:val="000A1971"/>
    <w:rsid w:val="000A31CB"/>
    <w:rsid w:val="000B20FF"/>
    <w:rsid w:val="000B286A"/>
    <w:rsid w:val="000B594B"/>
    <w:rsid w:val="000B748C"/>
    <w:rsid w:val="000C1868"/>
    <w:rsid w:val="000C3BFD"/>
    <w:rsid w:val="000C5FD9"/>
    <w:rsid w:val="000D7A19"/>
    <w:rsid w:val="000E03A1"/>
    <w:rsid w:val="000E4E82"/>
    <w:rsid w:val="000E6414"/>
    <w:rsid w:val="000F2E95"/>
    <w:rsid w:val="000F3782"/>
    <w:rsid w:val="000F67F1"/>
    <w:rsid w:val="00100806"/>
    <w:rsid w:val="00102068"/>
    <w:rsid w:val="00103F3E"/>
    <w:rsid w:val="00106AAB"/>
    <w:rsid w:val="00110480"/>
    <w:rsid w:val="001113C7"/>
    <w:rsid w:val="00112783"/>
    <w:rsid w:val="00114606"/>
    <w:rsid w:val="00115910"/>
    <w:rsid w:val="00117E86"/>
    <w:rsid w:val="0012002D"/>
    <w:rsid w:val="001224D5"/>
    <w:rsid w:val="00122669"/>
    <w:rsid w:val="00123A2B"/>
    <w:rsid w:val="001266E6"/>
    <w:rsid w:val="00131282"/>
    <w:rsid w:val="00131D86"/>
    <w:rsid w:val="00134BB5"/>
    <w:rsid w:val="00137E61"/>
    <w:rsid w:val="00145988"/>
    <w:rsid w:val="00146FED"/>
    <w:rsid w:val="00147EE6"/>
    <w:rsid w:val="001528E6"/>
    <w:rsid w:val="00155DD6"/>
    <w:rsid w:val="00157413"/>
    <w:rsid w:val="001605F4"/>
    <w:rsid w:val="00161BAB"/>
    <w:rsid w:val="0016529A"/>
    <w:rsid w:val="001664ED"/>
    <w:rsid w:val="00166E75"/>
    <w:rsid w:val="00167647"/>
    <w:rsid w:val="00172670"/>
    <w:rsid w:val="001747AE"/>
    <w:rsid w:val="00176C2F"/>
    <w:rsid w:val="00184A3C"/>
    <w:rsid w:val="001862D2"/>
    <w:rsid w:val="001871E3"/>
    <w:rsid w:val="001872B3"/>
    <w:rsid w:val="001942EC"/>
    <w:rsid w:val="001945B8"/>
    <w:rsid w:val="001953F4"/>
    <w:rsid w:val="00196438"/>
    <w:rsid w:val="00196E12"/>
    <w:rsid w:val="001A03CC"/>
    <w:rsid w:val="001A1E05"/>
    <w:rsid w:val="001A60CB"/>
    <w:rsid w:val="001A6E14"/>
    <w:rsid w:val="001A79B0"/>
    <w:rsid w:val="001B4799"/>
    <w:rsid w:val="001B4A85"/>
    <w:rsid w:val="001B6D84"/>
    <w:rsid w:val="001C01DD"/>
    <w:rsid w:val="001C06CA"/>
    <w:rsid w:val="001C2398"/>
    <w:rsid w:val="001C303F"/>
    <w:rsid w:val="001D0EA9"/>
    <w:rsid w:val="001D240C"/>
    <w:rsid w:val="001D505A"/>
    <w:rsid w:val="001D5206"/>
    <w:rsid w:val="001D6401"/>
    <w:rsid w:val="001E031A"/>
    <w:rsid w:val="001E2CE2"/>
    <w:rsid w:val="001E3A97"/>
    <w:rsid w:val="001E58AB"/>
    <w:rsid w:val="001E5965"/>
    <w:rsid w:val="001E5E42"/>
    <w:rsid w:val="001E6C93"/>
    <w:rsid w:val="001E7D6A"/>
    <w:rsid w:val="001F0592"/>
    <w:rsid w:val="001F0D74"/>
    <w:rsid w:val="001F39CE"/>
    <w:rsid w:val="001F5DA4"/>
    <w:rsid w:val="00201267"/>
    <w:rsid w:val="002027A2"/>
    <w:rsid w:val="00202AA7"/>
    <w:rsid w:val="00203E67"/>
    <w:rsid w:val="00213C1C"/>
    <w:rsid w:val="002157FB"/>
    <w:rsid w:val="00216499"/>
    <w:rsid w:val="0022194A"/>
    <w:rsid w:val="00222121"/>
    <w:rsid w:val="00223009"/>
    <w:rsid w:val="0022466A"/>
    <w:rsid w:val="00226A0F"/>
    <w:rsid w:val="00230922"/>
    <w:rsid w:val="002313E5"/>
    <w:rsid w:val="0023303B"/>
    <w:rsid w:val="002341B0"/>
    <w:rsid w:val="00242B8D"/>
    <w:rsid w:val="00252D58"/>
    <w:rsid w:val="0025752C"/>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195A"/>
    <w:rsid w:val="002B27EF"/>
    <w:rsid w:val="002B4844"/>
    <w:rsid w:val="002B49FE"/>
    <w:rsid w:val="002B4C67"/>
    <w:rsid w:val="002B5109"/>
    <w:rsid w:val="002B52FA"/>
    <w:rsid w:val="002B739B"/>
    <w:rsid w:val="002C69A4"/>
    <w:rsid w:val="002C6A7F"/>
    <w:rsid w:val="002D0969"/>
    <w:rsid w:val="002D372B"/>
    <w:rsid w:val="002D66C8"/>
    <w:rsid w:val="002D68B8"/>
    <w:rsid w:val="002E2EC1"/>
    <w:rsid w:val="002E40ED"/>
    <w:rsid w:val="002E6279"/>
    <w:rsid w:val="002E712F"/>
    <w:rsid w:val="002F00D4"/>
    <w:rsid w:val="002F0B65"/>
    <w:rsid w:val="002F0B8A"/>
    <w:rsid w:val="002F21DA"/>
    <w:rsid w:val="002F316F"/>
    <w:rsid w:val="002F3A6A"/>
    <w:rsid w:val="002F5706"/>
    <w:rsid w:val="002F5913"/>
    <w:rsid w:val="002F638E"/>
    <w:rsid w:val="002F6AD3"/>
    <w:rsid w:val="00306040"/>
    <w:rsid w:val="00306FF3"/>
    <w:rsid w:val="003102A3"/>
    <w:rsid w:val="00310F96"/>
    <w:rsid w:val="00314E84"/>
    <w:rsid w:val="00315755"/>
    <w:rsid w:val="0032364A"/>
    <w:rsid w:val="00327081"/>
    <w:rsid w:val="003331EE"/>
    <w:rsid w:val="00335A28"/>
    <w:rsid w:val="00337560"/>
    <w:rsid w:val="003429F2"/>
    <w:rsid w:val="00343245"/>
    <w:rsid w:val="00343BA0"/>
    <w:rsid w:val="00346B76"/>
    <w:rsid w:val="00347D06"/>
    <w:rsid w:val="00347FFC"/>
    <w:rsid w:val="00350363"/>
    <w:rsid w:val="003506DB"/>
    <w:rsid w:val="00350AC2"/>
    <w:rsid w:val="00352738"/>
    <w:rsid w:val="00357B31"/>
    <w:rsid w:val="0036170A"/>
    <w:rsid w:val="00361C78"/>
    <w:rsid w:val="00366271"/>
    <w:rsid w:val="003666B3"/>
    <w:rsid w:val="003676EB"/>
    <w:rsid w:val="0037050B"/>
    <w:rsid w:val="00370AB3"/>
    <w:rsid w:val="00370CF4"/>
    <w:rsid w:val="0037341A"/>
    <w:rsid w:val="00376609"/>
    <w:rsid w:val="00377C74"/>
    <w:rsid w:val="0038320B"/>
    <w:rsid w:val="00383C8F"/>
    <w:rsid w:val="00386088"/>
    <w:rsid w:val="00387228"/>
    <w:rsid w:val="003A121C"/>
    <w:rsid w:val="003A229D"/>
    <w:rsid w:val="003A76F6"/>
    <w:rsid w:val="003B0B7C"/>
    <w:rsid w:val="003B197C"/>
    <w:rsid w:val="003B1D28"/>
    <w:rsid w:val="003B2A40"/>
    <w:rsid w:val="003B53B3"/>
    <w:rsid w:val="003C30E4"/>
    <w:rsid w:val="003D0967"/>
    <w:rsid w:val="003D2C2B"/>
    <w:rsid w:val="003D3C3E"/>
    <w:rsid w:val="003D3D8B"/>
    <w:rsid w:val="003D58F8"/>
    <w:rsid w:val="003D7964"/>
    <w:rsid w:val="003E152B"/>
    <w:rsid w:val="003E21BA"/>
    <w:rsid w:val="003E3245"/>
    <w:rsid w:val="003E3E9E"/>
    <w:rsid w:val="003E440C"/>
    <w:rsid w:val="003F1E7F"/>
    <w:rsid w:val="003F5E9C"/>
    <w:rsid w:val="003F6921"/>
    <w:rsid w:val="003F7CBB"/>
    <w:rsid w:val="00401AE5"/>
    <w:rsid w:val="00402B6C"/>
    <w:rsid w:val="004032AC"/>
    <w:rsid w:val="00404076"/>
    <w:rsid w:val="0040525B"/>
    <w:rsid w:val="00410D5A"/>
    <w:rsid w:val="00411475"/>
    <w:rsid w:val="00411C59"/>
    <w:rsid w:val="00412A4D"/>
    <w:rsid w:val="00412A89"/>
    <w:rsid w:val="00413D0A"/>
    <w:rsid w:val="004143C4"/>
    <w:rsid w:val="00422C23"/>
    <w:rsid w:val="0042468A"/>
    <w:rsid w:val="00425055"/>
    <w:rsid w:val="00427220"/>
    <w:rsid w:val="00432526"/>
    <w:rsid w:val="00432E24"/>
    <w:rsid w:val="00434345"/>
    <w:rsid w:val="00435BA6"/>
    <w:rsid w:val="004368E3"/>
    <w:rsid w:val="004401F6"/>
    <w:rsid w:val="00443E7B"/>
    <w:rsid w:val="00444079"/>
    <w:rsid w:val="00444228"/>
    <w:rsid w:val="00444784"/>
    <w:rsid w:val="004454D3"/>
    <w:rsid w:val="00446162"/>
    <w:rsid w:val="00446B1C"/>
    <w:rsid w:val="00452887"/>
    <w:rsid w:val="0045302C"/>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1918"/>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B71E1"/>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17F20"/>
    <w:rsid w:val="00522154"/>
    <w:rsid w:val="00524AFA"/>
    <w:rsid w:val="0052618A"/>
    <w:rsid w:val="00527984"/>
    <w:rsid w:val="005307FF"/>
    <w:rsid w:val="005348DA"/>
    <w:rsid w:val="00537918"/>
    <w:rsid w:val="00540C6E"/>
    <w:rsid w:val="0054116E"/>
    <w:rsid w:val="00542167"/>
    <w:rsid w:val="0054509D"/>
    <w:rsid w:val="00547A8B"/>
    <w:rsid w:val="00553C5C"/>
    <w:rsid w:val="005548A6"/>
    <w:rsid w:val="00554DAD"/>
    <w:rsid w:val="00555133"/>
    <w:rsid w:val="00560C65"/>
    <w:rsid w:val="005614F6"/>
    <w:rsid w:val="005633B4"/>
    <w:rsid w:val="00567C87"/>
    <w:rsid w:val="00574F82"/>
    <w:rsid w:val="00575F9B"/>
    <w:rsid w:val="005771A3"/>
    <w:rsid w:val="0057782F"/>
    <w:rsid w:val="005815CC"/>
    <w:rsid w:val="00583141"/>
    <w:rsid w:val="0058633E"/>
    <w:rsid w:val="00590C8C"/>
    <w:rsid w:val="00590D4F"/>
    <w:rsid w:val="00590D62"/>
    <w:rsid w:val="00593191"/>
    <w:rsid w:val="00593340"/>
    <w:rsid w:val="00596484"/>
    <w:rsid w:val="005A2A95"/>
    <w:rsid w:val="005B0230"/>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E7F5F"/>
    <w:rsid w:val="005F23F2"/>
    <w:rsid w:val="005F3636"/>
    <w:rsid w:val="005F4B8F"/>
    <w:rsid w:val="005F6550"/>
    <w:rsid w:val="005F6894"/>
    <w:rsid w:val="005F6B17"/>
    <w:rsid w:val="005F7B1D"/>
    <w:rsid w:val="00602A29"/>
    <w:rsid w:val="006041E5"/>
    <w:rsid w:val="0060474D"/>
    <w:rsid w:val="00604E48"/>
    <w:rsid w:val="00616390"/>
    <w:rsid w:val="00621FC0"/>
    <w:rsid w:val="006246ED"/>
    <w:rsid w:val="00624DAC"/>
    <w:rsid w:val="006262B7"/>
    <w:rsid w:val="00627024"/>
    <w:rsid w:val="006334FD"/>
    <w:rsid w:val="006336BF"/>
    <w:rsid w:val="00637975"/>
    <w:rsid w:val="00637C63"/>
    <w:rsid w:val="00637E94"/>
    <w:rsid w:val="006401EA"/>
    <w:rsid w:val="00641D2A"/>
    <w:rsid w:val="006440F8"/>
    <w:rsid w:val="006457DE"/>
    <w:rsid w:val="00650C06"/>
    <w:rsid w:val="00652934"/>
    <w:rsid w:val="00656BDC"/>
    <w:rsid w:val="00657999"/>
    <w:rsid w:val="0066061E"/>
    <w:rsid w:val="00661C0F"/>
    <w:rsid w:val="00664718"/>
    <w:rsid w:val="00667CAF"/>
    <w:rsid w:val="00670127"/>
    <w:rsid w:val="00671B96"/>
    <w:rsid w:val="00672840"/>
    <w:rsid w:val="00672A32"/>
    <w:rsid w:val="00672C0A"/>
    <w:rsid w:val="00673355"/>
    <w:rsid w:val="006733BC"/>
    <w:rsid w:val="00676D57"/>
    <w:rsid w:val="0068175E"/>
    <w:rsid w:val="00682879"/>
    <w:rsid w:val="006833C9"/>
    <w:rsid w:val="006851ED"/>
    <w:rsid w:val="0068598D"/>
    <w:rsid w:val="006871D2"/>
    <w:rsid w:val="00691155"/>
    <w:rsid w:val="006928BD"/>
    <w:rsid w:val="0069505A"/>
    <w:rsid w:val="0069505B"/>
    <w:rsid w:val="006A20A8"/>
    <w:rsid w:val="006A2774"/>
    <w:rsid w:val="006A3DF0"/>
    <w:rsid w:val="006A43C1"/>
    <w:rsid w:val="006B0258"/>
    <w:rsid w:val="006B1676"/>
    <w:rsid w:val="006B1D1B"/>
    <w:rsid w:val="006B5FAD"/>
    <w:rsid w:val="006C20B0"/>
    <w:rsid w:val="006C2430"/>
    <w:rsid w:val="006C2AC8"/>
    <w:rsid w:val="006C40DE"/>
    <w:rsid w:val="006C538F"/>
    <w:rsid w:val="006C5813"/>
    <w:rsid w:val="006C5C94"/>
    <w:rsid w:val="006C6832"/>
    <w:rsid w:val="006C6EAE"/>
    <w:rsid w:val="006C72D3"/>
    <w:rsid w:val="006D0765"/>
    <w:rsid w:val="006D1F7B"/>
    <w:rsid w:val="006D6A9B"/>
    <w:rsid w:val="006E0930"/>
    <w:rsid w:val="006E1652"/>
    <w:rsid w:val="006E3E05"/>
    <w:rsid w:val="006E550A"/>
    <w:rsid w:val="006E6DC2"/>
    <w:rsid w:val="006E7742"/>
    <w:rsid w:val="006E7AB0"/>
    <w:rsid w:val="006F117E"/>
    <w:rsid w:val="006F3411"/>
    <w:rsid w:val="006F50CA"/>
    <w:rsid w:val="006F6A15"/>
    <w:rsid w:val="0070068E"/>
    <w:rsid w:val="00707C72"/>
    <w:rsid w:val="0071032C"/>
    <w:rsid w:val="00711073"/>
    <w:rsid w:val="0071243A"/>
    <w:rsid w:val="00712802"/>
    <w:rsid w:val="007139EE"/>
    <w:rsid w:val="007164A1"/>
    <w:rsid w:val="007219DF"/>
    <w:rsid w:val="00721FE0"/>
    <w:rsid w:val="007231AD"/>
    <w:rsid w:val="007238CA"/>
    <w:rsid w:val="00723B74"/>
    <w:rsid w:val="007262D6"/>
    <w:rsid w:val="00726B8B"/>
    <w:rsid w:val="00742BA7"/>
    <w:rsid w:val="0074553A"/>
    <w:rsid w:val="007472FB"/>
    <w:rsid w:val="00753305"/>
    <w:rsid w:val="00753F94"/>
    <w:rsid w:val="00755A6D"/>
    <w:rsid w:val="00761CA4"/>
    <w:rsid w:val="00762E3F"/>
    <w:rsid w:val="00764015"/>
    <w:rsid w:val="007663E3"/>
    <w:rsid w:val="00766698"/>
    <w:rsid w:val="00766B94"/>
    <w:rsid w:val="0077101F"/>
    <w:rsid w:val="00771B16"/>
    <w:rsid w:val="00774F2B"/>
    <w:rsid w:val="007760D0"/>
    <w:rsid w:val="00780AF7"/>
    <w:rsid w:val="00783489"/>
    <w:rsid w:val="007862F5"/>
    <w:rsid w:val="0078663F"/>
    <w:rsid w:val="007870A9"/>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C7A8B"/>
    <w:rsid w:val="007D2F0F"/>
    <w:rsid w:val="007D2F42"/>
    <w:rsid w:val="007D7074"/>
    <w:rsid w:val="007E08A4"/>
    <w:rsid w:val="007E1D1A"/>
    <w:rsid w:val="007F107B"/>
    <w:rsid w:val="007F5562"/>
    <w:rsid w:val="008062A5"/>
    <w:rsid w:val="00807B28"/>
    <w:rsid w:val="00810A9D"/>
    <w:rsid w:val="00811118"/>
    <w:rsid w:val="00814C73"/>
    <w:rsid w:val="00821E6D"/>
    <w:rsid w:val="00823B5F"/>
    <w:rsid w:val="00823E8E"/>
    <w:rsid w:val="00831BDA"/>
    <w:rsid w:val="0083402B"/>
    <w:rsid w:val="0083475D"/>
    <w:rsid w:val="00840CDC"/>
    <w:rsid w:val="00846658"/>
    <w:rsid w:val="00847782"/>
    <w:rsid w:val="00850AFE"/>
    <w:rsid w:val="00851A51"/>
    <w:rsid w:val="00852B99"/>
    <w:rsid w:val="00855010"/>
    <w:rsid w:val="00855AA6"/>
    <w:rsid w:val="00855B71"/>
    <w:rsid w:val="00855C7D"/>
    <w:rsid w:val="0085720D"/>
    <w:rsid w:val="008579FD"/>
    <w:rsid w:val="00862429"/>
    <w:rsid w:val="00862F6E"/>
    <w:rsid w:val="008709E6"/>
    <w:rsid w:val="00870CFD"/>
    <w:rsid w:val="00877486"/>
    <w:rsid w:val="00877A09"/>
    <w:rsid w:val="008800C6"/>
    <w:rsid w:val="00882DF8"/>
    <w:rsid w:val="0088492F"/>
    <w:rsid w:val="008879EF"/>
    <w:rsid w:val="00887A32"/>
    <w:rsid w:val="0089140E"/>
    <w:rsid w:val="00891EC9"/>
    <w:rsid w:val="00893909"/>
    <w:rsid w:val="00894717"/>
    <w:rsid w:val="00897F41"/>
    <w:rsid w:val="008A20A2"/>
    <w:rsid w:val="008A79CD"/>
    <w:rsid w:val="008A7C9E"/>
    <w:rsid w:val="008B1D6B"/>
    <w:rsid w:val="008B2841"/>
    <w:rsid w:val="008B2FC9"/>
    <w:rsid w:val="008B3AE6"/>
    <w:rsid w:val="008B3D3F"/>
    <w:rsid w:val="008C25C8"/>
    <w:rsid w:val="008C2962"/>
    <w:rsid w:val="008C2F86"/>
    <w:rsid w:val="008C38B8"/>
    <w:rsid w:val="008C5677"/>
    <w:rsid w:val="008C71ED"/>
    <w:rsid w:val="008D31AC"/>
    <w:rsid w:val="008D3778"/>
    <w:rsid w:val="008D6BD2"/>
    <w:rsid w:val="008D6DD7"/>
    <w:rsid w:val="008E3321"/>
    <w:rsid w:val="008E3FAA"/>
    <w:rsid w:val="008E3FD0"/>
    <w:rsid w:val="008E5942"/>
    <w:rsid w:val="008E7D3D"/>
    <w:rsid w:val="008F24C6"/>
    <w:rsid w:val="008F55EA"/>
    <w:rsid w:val="008F6E82"/>
    <w:rsid w:val="008F7527"/>
    <w:rsid w:val="008F7D58"/>
    <w:rsid w:val="00900222"/>
    <w:rsid w:val="00902E04"/>
    <w:rsid w:val="0090354F"/>
    <w:rsid w:val="00906CD8"/>
    <w:rsid w:val="009142BB"/>
    <w:rsid w:val="009168AF"/>
    <w:rsid w:val="009177BB"/>
    <w:rsid w:val="00920E41"/>
    <w:rsid w:val="00921601"/>
    <w:rsid w:val="009232E9"/>
    <w:rsid w:val="0092642F"/>
    <w:rsid w:val="00926E88"/>
    <w:rsid w:val="00932726"/>
    <w:rsid w:val="0093606E"/>
    <w:rsid w:val="00942F77"/>
    <w:rsid w:val="00944925"/>
    <w:rsid w:val="00944AAC"/>
    <w:rsid w:val="0094660D"/>
    <w:rsid w:val="00951D2A"/>
    <w:rsid w:val="00953111"/>
    <w:rsid w:val="00955E8A"/>
    <w:rsid w:val="00956489"/>
    <w:rsid w:val="00957B16"/>
    <w:rsid w:val="00960F92"/>
    <w:rsid w:val="00964783"/>
    <w:rsid w:val="00964FDC"/>
    <w:rsid w:val="009659E4"/>
    <w:rsid w:val="009672A4"/>
    <w:rsid w:val="00976863"/>
    <w:rsid w:val="009769A2"/>
    <w:rsid w:val="0098004D"/>
    <w:rsid w:val="00980114"/>
    <w:rsid w:val="00980403"/>
    <w:rsid w:val="009847FC"/>
    <w:rsid w:val="00993F54"/>
    <w:rsid w:val="009961B2"/>
    <w:rsid w:val="009A0558"/>
    <w:rsid w:val="009A0FF0"/>
    <w:rsid w:val="009A629B"/>
    <w:rsid w:val="009B20B2"/>
    <w:rsid w:val="009B3A6B"/>
    <w:rsid w:val="009B3D53"/>
    <w:rsid w:val="009B7695"/>
    <w:rsid w:val="009B7E38"/>
    <w:rsid w:val="009C17D4"/>
    <w:rsid w:val="009C1C09"/>
    <w:rsid w:val="009C7254"/>
    <w:rsid w:val="009C7DBA"/>
    <w:rsid w:val="009C7F12"/>
    <w:rsid w:val="009D0ABB"/>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54FE"/>
    <w:rsid w:val="00A270F6"/>
    <w:rsid w:val="00A274D1"/>
    <w:rsid w:val="00A3107C"/>
    <w:rsid w:val="00A31455"/>
    <w:rsid w:val="00A31EDE"/>
    <w:rsid w:val="00A3317A"/>
    <w:rsid w:val="00A3363E"/>
    <w:rsid w:val="00A33885"/>
    <w:rsid w:val="00A376AD"/>
    <w:rsid w:val="00A4137D"/>
    <w:rsid w:val="00A41716"/>
    <w:rsid w:val="00A41EB0"/>
    <w:rsid w:val="00A44E77"/>
    <w:rsid w:val="00A46AE4"/>
    <w:rsid w:val="00A52F64"/>
    <w:rsid w:val="00A564AE"/>
    <w:rsid w:val="00A62887"/>
    <w:rsid w:val="00A62924"/>
    <w:rsid w:val="00A64EF2"/>
    <w:rsid w:val="00A67788"/>
    <w:rsid w:val="00A7057D"/>
    <w:rsid w:val="00A70D58"/>
    <w:rsid w:val="00A71A73"/>
    <w:rsid w:val="00A72130"/>
    <w:rsid w:val="00A74048"/>
    <w:rsid w:val="00A74697"/>
    <w:rsid w:val="00A74ED9"/>
    <w:rsid w:val="00A76ABC"/>
    <w:rsid w:val="00A77A81"/>
    <w:rsid w:val="00A81DD7"/>
    <w:rsid w:val="00A90A92"/>
    <w:rsid w:val="00A91B6A"/>
    <w:rsid w:val="00A9519D"/>
    <w:rsid w:val="00A952C4"/>
    <w:rsid w:val="00A970EE"/>
    <w:rsid w:val="00AA13FE"/>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3A7"/>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6E12"/>
    <w:rsid w:val="00B27862"/>
    <w:rsid w:val="00B32463"/>
    <w:rsid w:val="00B33205"/>
    <w:rsid w:val="00B33913"/>
    <w:rsid w:val="00B33DFA"/>
    <w:rsid w:val="00B451A9"/>
    <w:rsid w:val="00B46698"/>
    <w:rsid w:val="00B475B3"/>
    <w:rsid w:val="00B47699"/>
    <w:rsid w:val="00B54C4B"/>
    <w:rsid w:val="00B636A7"/>
    <w:rsid w:val="00B641D0"/>
    <w:rsid w:val="00B648E0"/>
    <w:rsid w:val="00B67496"/>
    <w:rsid w:val="00B7057C"/>
    <w:rsid w:val="00B77EE2"/>
    <w:rsid w:val="00B8109D"/>
    <w:rsid w:val="00B8179B"/>
    <w:rsid w:val="00B84329"/>
    <w:rsid w:val="00B846A3"/>
    <w:rsid w:val="00B8508F"/>
    <w:rsid w:val="00B912E0"/>
    <w:rsid w:val="00B9268E"/>
    <w:rsid w:val="00B94B9A"/>
    <w:rsid w:val="00B959B9"/>
    <w:rsid w:val="00B95E6D"/>
    <w:rsid w:val="00B974E8"/>
    <w:rsid w:val="00B9764D"/>
    <w:rsid w:val="00BA2256"/>
    <w:rsid w:val="00BA2B4C"/>
    <w:rsid w:val="00BA3F2D"/>
    <w:rsid w:val="00BA451B"/>
    <w:rsid w:val="00BA5199"/>
    <w:rsid w:val="00BB0838"/>
    <w:rsid w:val="00BB14FA"/>
    <w:rsid w:val="00BB2183"/>
    <w:rsid w:val="00BB411B"/>
    <w:rsid w:val="00BB46A0"/>
    <w:rsid w:val="00BB7122"/>
    <w:rsid w:val="00BC031E"/>
    <w:rsid w:val="00BC1D31"/>
    <w:rsid w:val="00BC1F8A"/>
    <w:rsid w:val="00BC27D4"/>
    <w:rsid w:val="00BC2ADE"/>
    <w:rsid w:val="00BC41A0"/>
    <w:rsid w:val="00BC60B3"/>
    <w:rsid w:val="00BD0091"/>
    <w:rsid w:val="00BD06A6"/>
    <w:rsid w:val="00BD3ACE"/>
    <w:rsid w:val="00BD6C74"/>
    <w:rsid w:val="00BE3816"/>
    <w:rsid w:val="00BE735C"/>
    <w:rsid w:val="00BF0878"/>
    <w:rsid w:val="00BF3358"/>
    <w:rsid w:val="00BF5690"/>
    <w:rsid w:val="00BF639B"/>
    <w:rsid w:val="00C0104E"/>
    <w:rsid w:val="00C02937"/>
    <w:rsid w:val="00C0323E"/>
    <w:rsid w:val="00C036F7"/>
    <w:rsid w:val="00C03E5B"/>
    <w:rsid w:val="00C04058"/>
    <w:rsid w:val="00C05C54"/>
    <w:rsid w:val="00C06B27"/>
    <w:rsid w:val="00C076C1"/>
    <w:rsid w:val="00C10877"/>
    <w:rsid w:val="00C13153"/>
    <w:rsid w:val="00C142A5"/>
    <w:rsid w:val="00C16FA2"/>
    <w:rsid w:val="00C204B0"/>
    <w:rsid w:val="00C24E33"/>
    <w:rsid w:val="00C26A98"/>
    <w:rsid w:val="00C27064"/>
    <w:rsid w:val="00C27945"/>
    <w:rsid w:val="00C31D81"/>
    <w:rsid w:val="00C352EA"/>
    <w:rsid w:val="00C40D49"/>
    <w:rsid w:val="00C41D6E"/>
    <w:rsid w:val="00C42100"/>
    <w:rsid w:val="00C43515"/>
    <w:rsid w:val="00C44450"/>
    <w:rsid w:val="00C44893"/>
    <w:rsid w:val="00C44E1B"/>
    <w:rsid w:val="00C45C0E"/>
    <w:rsid w:val="00C4740B"/>
    <w:rsid w:val="00C4763B"/>
    <w:rsid w:val="00C603DE"/>
    <w:rsid w:val="00C61742"/>
    <w:rsid w:val="00C61D2C"/>
    <w:rsid w:val="00C62383"/>
    <w:rsid w:val="00C638EE"/>
    <w:rsid w:val="00C63CB5"/>
    <w:rsid w:val="00C63E1F"/>
    <w:rsid w:val="00C6485D"/>
    <w:rsid w:val="00C64E15"/>
    <w:rsid w:val="00C672A3"/>
    <w:rsid w:val="00C802CE"/>
    <w:rsid w:val="00C81734"/>
    <w:rsid w:val="00C81B16"/>
    <w:rsid w:val="00C83124"/>
    <w:rsid w:val="00C839F2"/>
    <w:rsid w:val="00C8468B"/>
    <w:rsid w:val="00C93235"/>
    <w:rsid w:val="00C939FC"/>
    <w:rsid w:val="00C9502D"/>
    <w:rsid w:val="00C97012"/>
    <w:rsid w:val="00C97908"/>
    <w:rsid w:val="00CA0B6A"/>
    <w:rsid w:val="00CA0E12"/>
    <w:rsid w:val="00CA1EC3"/>
    <w:rsid w:val="00CA318C"/>
    <w:rsid w:val="00CA577E"/>
    <w:rsid w:val="00CA6505"/>
    <w:rsid w:val="00CA7227"/>
    <w:rsid w:val="00CB0C39"/>
    <w:rsid w:val="00CB588D"/>
    <w:rsid w:val="00CB5E52"/>
    <w:rsid w:val="00CB6C59"/>
    <w:rsid w:val="00CB7D42"/>
    <w:rsid w:val="00CC37DB"/>
    <w:rsid w:val="00CC4BEB"/>
    <w:rsid w:val="00CC795E"/>
    <w:rsid w:val="00CD0289"/>
    <w:rsid w:val="00CD24B3"/>
    <w:rsid w:val="00CD3809"/>
    <w:rsid w:val="00CD4ACC"/>
    <w:rsid w:val="00CE2E7F"/>
    <w:rsid w:val="00CE7233"/>
    <w:rsid w:val="00CF1AB3"/>
    <w:rsid w:val="00CF1F92"/>
    <w:rsid w:val="00CF2B1B"/>
    <w:rsid w:val="00CF3243"/>
    <w:rsid w:val="00CF44F8"/>
    <w:rsid w:val="00CF4BEC"/>
    <w:rsid w:val="00D002DE"/>
    <w:rsid w:val="00D0442B"/>
    <w:rsid w:val="00D06403"/>
    <w:rsid w:val="00D11F7F"/>
    <w:rsid w:val="00D22FC6"/>
    <w:rsid w:val="00D24352"/>
    <w:rsid w:val="00D25E27"/>
    <w:rsid w:val="00D305B5"/>
    <w:rsid w:val="00D32900"/>
    <w:rsid w:val="00D34EC4"/>
    <w:rsid w:val="00D42D8D"/>
    <w:rsid w:val="00D43B84"/>
    <w:rsid w:val="00D45DE4"/>
    <w:rsid w:val="00D50156"/>
    <w:rsid w:val="00D50BAD"/>
    <w:rsid w:val="00D50DD7"/>
    <w:rsid w:val="00D5167B"/>
    <w:rsid w:val="00D51AFF"/>
    <w:rsid w:val="00D53F49"/>
    <w:rsid w:val="00D55817"/>
    <w:rsid w:val="00D561D6"/>
    <w:rsid w:val="00D57F3D"/>
    <w:rsid w:val="00D6425F"/>
    <w:rsid w:val="00D671C7"/>
    <w:rsid w:val="00D672BA"/>
    <w:rsid w:val="00D6768B"/>
    <w:rsid w:val="00D67CAA"/>
    <w:rsid w:val="00D70B85"/>
    <w:rsid w:val="00D70D16"/>
    <w:rsid w:val="00D72F49"/>
    <w:rsid w:val="00D80ACE"/>
    <w:rsid w:val="00D816A5"/>
    <w:rsid w:val="00D816D3"/>
    <w:rsid w:val="00D84CB7"/>
    <w:rsid w:val="00D91255"/>
    <w:rsid w:val="00D91719"/>
    <w:rsid w:val="00D93DA6"/>
    <w:rsid w:val="00D942F3"/>
    <w:rsid w:val="00D97365"/>
    <w:rsid w:val="00D97E90"/>
    <w:rsid w:val="00D97FB6"/>
    <w:rsid w:val="00DA080F"/>
    <w:rsid w:val="00DA15E2"/>
    <w:rsid w:val="00DA1DE9"/>
    <w:rsid w:val="00DA2BE1"/>
    <w:rsid w:val="00DA50CD"/>
    <w:rsid w:val="00DA59D4"/>
    <w:rsid w:val="00DA5FF1"/>
    <w:rsid w:val="00DA7C58"/>
    <w:rsid w:val="00DB4F52"/>
    <w:rsid w:val="00DB511E"/>
    <w:rsid w:val="00DB676C"/>
    <w:rsid w:val="00DC08E9"/>
    <w:rsid w:val="00DC0A63"/>
    <w:rsid w:val="00DC5217"/>
    <w:rsid w:val="00DD136D"/>
    <w:rsid w:val="00DD2F98"/>
    <w:rsid w:val="00DD514A"/>
    <w:rsid w:val="00DD7CC3"/>
    <w:rsid w:val="00DE2AE7"/>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255"/>
    <w:rsid w:val="00E133E2"/>
    <w:rsid w:val="00E150D6"/>
    <w:rsid w:val="00E16A67"/>
    <w:rsid w:val="00E203FE"/>
    <w:rsid w:val="00E223A9"/>
    <w:rsid w:val="00E232FF"/>
    <w:rsid w:val="00E23692"/>
    <w:rsid w:val="00E254A6"/>
    <w:rsid w:val="00E27939"/>
    <w:rsid w:val="00E27E41"/>
    <w:rsid w:val="00E34BBF"/>
    <w:rsid w:val="00E35418"/>
    <w:rsid w:val="00E36F50"/>
    <w:rsid w:val="00E42D6A"/>
    <w:rsid w:val="00E50C94"/>
    <w:rsid w:val="00E52824"/>
    <w:rsid w:val="00E52D35"/>
    <w:rsid w:val="00E5305A"/>
    <w:rsid w:val="00E628BB"/>
    <w:rsid w:val="00E62B7F"/>
    <w:rsid w:val="00E711D4"/>
    <w:rsid w:val="00E75037"/>
    <w:rsid w:val="00E77DE2"/>
    <w:rsid w:val="00E809A7"/>
    <w:rsid w:val="00E84C31"/>
    <w:rsid w:val="00E8591F"/>
    <w:rsid w:val="00E85AB7"/>
    <w:rsid w:val="00E86A5D"/>
    <w:rsid w:val="00E86AE9"/>
    <w:rsid w:val="00E873BE"/>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3AA6"/>
    <w:rsid w:val="00EB5397"/>
    <w:rsid w:val="00EB6D19"/>
    <w:rsid w:val="00EB6E6A"/>
    <w:rsid w:val="00EC00CA"/>
    <w:rsid w:val="00EC2769"/>
    <w:rsid w:val="00EC45B2"/>
    <w:rsid w:val="00EC4AAC"/>
    <w:rsid w:val="00EC7452"/>
    <w:rsid w:val="00EC784D"/>
    <w:rsid w:val="00ED20D5"/>
    <w:rsid w:val="00ED4081"/>
    <w:rsid w:val="00ED5BA8"/>
    <w:rsid w:val="00EF23EE"/>
    <w:rsid w:val="00EF32A4"/>
    <w:rsid w:val="00EF39B8"/>
    <w:rsid w:val="00EF3CD3"/>
    <w:rsid w:val="00EF3E94"/>
    <w:rsid w:val="00EF591D"/>
    <w:rsid w:val="00F007CB"/>
    <w:rsid w:val="00F01F9E"/>
    <w:rsid w:val="00F02A93"/>
    <w:rsid w:val="00F03019"/>
    <w:rsid w:val="00F104F7"/>
    <w:rsid w:val="00F127BF"/>
    <w:rsid w:val="00F13B70"/>
    <w:rsid w:val="00F150E2"/>
    <w:rsid w:val="00F154A1"/>
    <w:rsid w:val="00F208FE"/>
    <w:rsid w:val="00F226EE"/>
    <w:rsid w:val="00F234B3"/>
    <w:rsid w:val="00F279A1"/>
    <w:rsid w:val="00F303CD"/>
    <w:rsid w:val="00F31F9C"/>
    <w:rsid w:val="00F3586C"/>
    <w:rsid w:val="00F35C9D"/>
    <w:rsid w:val="00F36239"/>
    <w:rsid w:val="00F36F66"/>
    <w:rsid w:val="00F412E9"/>
    <w:rsid w:val="00F41AE8"/>
    <w:rsid w:val="00F4765B"/>
    <w:rsid w:val="00F57B8B"/>
    <w:rsid w:val="00F60788"/>
    <w:rsid w:val="00F627E9"/>
    <w:rsid w:val="00F64860"/>
    <w:rsid w:val="00F65790"/>
    <w:rsid w:val="00F67057"/>
    <w:rsid w:val="00F72643"/>
    <w:rsid w:val="00F731D9"/>
    <w:rsid w:val="00F736E6"/>
    <w:rsid w:val="00F75DC3"/>
    <w:rsid w:val="00F77FD9"/>
    <w:rsid w:val="00F80F4D"/>
    <w:rsid w:val="00F82906"/>
    <w:rsid w:val="00F8477D"/>
    <w:rsid w:val="00F861D2"/>
    <w:rsid w:val="00F873DF"/>
    <w:rsid w:val="00F87F20"/>
    <w:rsid w:val="00F94445"/>
    <w:rsid w:val="00F96940"/>
    <w:rsid w:val="00FA1AF9"/>
    <w:rsid w:val="00FA2836"/>
    <w:rsid w:val="00FA57E6"/>
    <w:rsid w:val="00FA6F95"/>
    <w:rsid w:val="00FA75A5"/>
    <w:rsid w:val="00FB2166"/>
    <w:rsid w:val="00FB4678"/>
    <w:rsid w:val="00FC1B22"/>
    <w:rsid w:val="00FC253A"/>
    <w:rsid w:val="00FC4278"/>
    <w:rsid w:val="00FC7293"/>
    <w:rsid w:val="00FC73A2"/>
    <w:rsid w:val="00FC7ACB"/>
    <w:rsid w:val="00FE5758"/>
    <w:rsid w:val="00FE62E1"/>
    <w:rsid w:val="00FF2FAC"/>
    <w:rsid w:val="00FF4AC9"/>
    <w:rsid w:val="00FF55C6"/>
    <w:rsid w:val="00FF623F"/>
    <w:rsid w:val="00FF76A5"/>
    <w:rsid w:val="67C69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F2C818"/>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character" w:styleId="UnresolvedMention2" w:customStyle="1">
    <w:name w:val="Unresolved Mention2"/>
    <w:basedOn w:val="DefaultParagraphFont"/>
    <w:uiPriority w:val="99"/>
    <w:semiHidden/>
    <w:unhideWhenUsed/>
    <w:rsid w:val="001953F4"/>
    <w:rPr>
      <w:color w:val="605E5C"/>
      <w:shd w:val="clear" w:color="auto" w:fill="E1DFDD"/>
    </w:rPr>
  </w:style>
  <w:style w:type="character" w:styleId="UnresolvedMention">
    <w:name w:val="Unresolved Mention"/>
    <w:basedOn w:val="DefaultParagraphFont"/>
    <w:uiPriority w:val="99"/>
    <w:semiHidden/>
    <w:unhideWhenUsed/>
    <w:rsid w:val="003B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ierpaolo.palumbo@unibo.it" TargetMode="External" Id="R50f943d0adf248d8" /><Relationship Type="http://schemas.openxmlformats.org/officeDocument/2006/relationships/hyperlink" Target="mailto:lorenzo.chiari@unibo.it" TargetMode="External" Id="R340409d867764080" /><Relationship Type="http://schemas.openxmlformats.org/officeDocument/2006/relationships/hyperlink" Target="http://ffrat.farseeingresearch.eu/" TargetMode="External" Id="Rbd6d406333b149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712B9-A2B4-4E81-9106-B2A63D07194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79F1AE4A-1967-4582-9FA1-5D144BDF42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TG-Falls: Benchmarking fall prediction AI algorithms: general thoughts and experience</dc:title>
  <dc:subject/>
  <dc:creator>University of Bologna</dc:creator>
  <cp:keywords/>
  <dc:description>FG-AI4H-E-024  For: Geneva, 30 May-1 June 2019_x000d_Document date: ITU-T Focus Group on AI for Health_x000d_Saved by ITU51013388 at 18:35:23 on 24/05/2019</dc:description>
  <cp:lastModifiedBy>Campos, Simao</cp:lastModifiedBy>
  <cp:revision>17</cp:revision>
  <cp:lastPrinted>2011-04-05T14:28:00Z</cp:lastPrinted>
  <dcterms:created xsi:type="dcterms:W3CDTF">2019-05-22T17:43:00Z</dcterms:created>
  <dcterms:modified xsi:type="dcterms:W3CDTF">2019-05-24T16:40:08Z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FG-AI4H-E-024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Geneva, 30 May-1 June 2019</vt:lpwstr>
  </property>
  <property fmtid="{D5CDD505-2E9C-101B-9397-08002B2CF9AE}" pid="8" name="Docauthor">
    <vt:lpwstr>University of Bologna</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http://www.zotero.org/styles/european-journal-of-epidemiology</vt:lpwstr>
  </property>
  <property fmtid="{D5CDD505-2E9C-101B-9397-08002B2CF9AE}" pid="12" name="Mendeley Recent Style Name 1_1">
    <vt:lpwstr>European Journal of Epidemiology</vt:lpwstr>
  </property>
  <property fmtid="{D5CDD505-2E9C-101B-9397-08002B2CF9AE}" pid="13" name="Mendeley Recent Style Id 2_1">
    <vt:lpwstr>http://www.zotero.org/styles/harvard1</vt:lpwstr>
  </property>
  <property fmtid="{D5CDD505-2E9C-101B-9397-08002B2CF9AE}" pid="14" name="Mendeley Recent Style Name 2_1">
    <vt:lpwstr>Harvard reference format 1 (deprecated)</vt:lpwstr>
  </property>
  <property fmtid="{D5CDD505-2E9C-101B-9397-08002B2CF9AE}" pid="15" name="Mendeley Recent Style Id 3_1">
    <vt:lpwstr>http://www.zotero.org/styles/ieee</vt:lpwstr>
  </property>
  <property fmtid="{D5CDD505-2E9C-101B-9397-08002B2CF9AE}" pid="16" name="Mendeley Recent Style Name 3_1">
    <vt:lpwstr>IEEE</vt:lpwstr>
  </property>
  <property fmtid="{D5CDD505-2E9C-101B-9397-08002B2CF9AE}" pid="17" name="Mendeley Recent Style Id 4_1">
    <vt:lpwstr>http://www.zotero.org/styles/journal-of-medical-internet-research</vt:lpwstr>
  </property>
  <property fmtid="{D5CDD505-2E9C-101B-9397-08002B2CF9AE}" pid="18" name="Mendeley Recent Style Name 4_1">
    <vt:lpwstr>Journal of Medical Internet Research</vt:lpwstr>
  </property>
  <property fmtid="{D5CDD505-2E9C-101B-9397-08002B2CF9AE}" pid="19" name="Mendeley Recent Style Id 5_1">
    <vt:lpwstr>http://www.zotero.org/styles/modern-humanities-research-association</vt:lpwstr>
  </property>
  <property fmtid="{D5CDD505-2E9C-101B-9397-08002B2CF9AE}" pid="20" name="Mendeley Recent Style Name 5_1">
    <vt:lpwstr>Modern Humanities Research Association 3rd edition (note with bibliography)</vt:lpwstr>
  </property>
  <property fmtid="{D5CDD505-2E9C-101B-9397-08002B2CF9AE}" pid="21" name="Mendeley Recent Style Id 6_1">
    <vt:lpwstr>http://www.zotero.org/styles/national-library-of-medicine</vt:lpwstr>
  </property>
  <property fmtid="{D5CDD505-2E9C-101B-9397-08002B2CF9AE}" pid="22" name="Mendeley Recent Style Name 6_1">
    <vt:lpwstr>National Library of Medicine</vt:lpwstr>
  </property>
  <property fmtid="{D5CDD505-2E9C-101B-9397-08002B2CF9AE}" pid="23" name="Mendeley Recent Style Id 7_1">
    <vt:lpwstr>http://www.zotero.org/styles/science</vt:lpwstr>
  </property>
  <property fmtid="{D5CDD505-2E9C-101B-9397-08002B2CF9AE}" pid="24" name="Mendeley Recent Style Name 7_1">
    <vt:lpwstr>Science</vt:lpwstr>
  </property>
  <property fmtid="{D5CDD505-2E9C-101B-9397-08002B2CF9AE}" pid="25" name="Mendeley Recent Style Id 8_1">
    <vt:lpwstr>http://www.zotero.org/styles/springer-basic-brackets</vt:lpwstr>
  </property>
  <property fmtid="{D5CDD505-2E9C-101B-9397-08002B2CF9AE}" pid="26" name="Mendeley Recent Style Name 8_1">
    <vt:lpwstr>Springer - Basic (numeric, brackets)</vt:lpwstr>
  </property>
  <property fmtid="{D5CDD505-2E9C-101B-9397-08002B2CF9AE}" pid="27" name="Mendeley Recent Style Id 9_1">
    <vt:lpwstr>http://www.zotero.org/styles/vancouver_custom</vt:lpwstr>
  </property>
  <property fmtid="{D5CDD505-2E9C-101B-9397-08002B2CF9AE}" pid="28" name="Mendeley Recent Style Name 9_1">
    <vt:lpwstr>Vancouver_custom</vt:lpwstr>
  </property>
  <property fmtid="{D5CDD505-2E9C-101B-9397-08002B2CF9AE}" pid="29" name="Mendeley Document_1">
    <vt:lpwstr>True</vt:lpwstr>
  </property>
  <property fmtid="{D5CDD505-2E9C-101B-9397-08002B2CF9AE}" pid="30" name="Mendeley Unique User Id_1">
    <vt:lpwstr>e72f6a9f-98fe-3bc4-ae3d-a0c0d19cc5bf</vt:lpwstr>
  </property>
  <property fmtid="{D5CDD505-2E9C-101B-9397-08002B2CF9AE}" pid="31" name="Mendeley Citation Style_1">
    <vt:lpwstr>http://www.zotero.org/styles/ieee</vt:lpwstr>
  </property>
</Properties>
</file>