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6B032D1" w:rsidR="00E03557" w:rsidRPr="00852AAD" w:rsidRDefault="00BC1D31" w:rsidP="002E6647">
            <w:pPr>
              <w:pStyle w:val="Docnumber"/>
            </w:pPr>
            <w:r>
              <w:t>FG-AI4H</w:t>
            </w:r>
            <w:r w:rsidR="00E03557">
              <w:t>-</w:t>
            </w:r>
            <w:r w:rsidR="00EE2174">
              <w:t>L</w:t>
            </w:r>
            <w:r>
              <w:t>-</w:t>
            </w:r>
            <w:r w:rsidR="008457B6">
              <w:t>044</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405EDDF1" w:rsidR="00BC1D31" w:rsidRPr="00123B21" w:rsidRDefault="006B0283" w:rsidP="002E6647">
            <w:r>
              <w:t>Plenary</w:t>
            </w:r>
          </w:p>
        </w:tc>
        <w:tc>
          <w:tcPr>
            <w:tcW w:w="4678" w:type="dxa"/>
            <w:gridSpan w:val="2"/>
          </w:tcPr>
          <w:p w14:paraId="4ADB1E42" w14:textId="75BE2764" w:rsidR="00BC1D31" w:rsidRPr="00123B21" w:rsidRDefault="003B3828" w:rsidP="00007288">
            <w:pPr>
              <w:jc w:val="right"/>
            </w:pPr>
            <w:r>
              <w:t>E-meeting</w:t>
            </w:r>
            <w:r w:rsidR="00F61068">
              <w:t xml:space="preserve">, </w:t>
            </w:r>
            <w:r w:rsidR="00EE2174">
              <w:t>19-21 May</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5850FE" w:rsidRPr="00E03557" w14:paraId="19F83BB5" w14:textId="77777777" w:rsidTr="002E6647">
        <w:trPr>
          <w:cantSplit/>
          <w:jc w:val="center"/>
        </w:trPr>
        <w:tc>
          <w:tcPr>
            <w:tcW w:w="1700" w:type="dxa"/>
            <w:gridSpan w:val="2"/>
          </w:tcPr>
          <w:p w14:paraId="0A9EB858" w14:textId="77777777" w:rsidR="005850FE" w:rsidRPr="00E03557" w:rsidRDefault="005850FE" w:rsidP="005850FE">
            <w:pPr>
              <w:rPr>
                <w:b/>
                <w:bCs/>
              </w:rPr>
            </w:pPr>
            <w:bookmarkStart w:id="8" w:name="dsource" w:colFirst="1" w:colLast="1"/>
            <w:bookmarkEnd w:id="7"/>
            <w:r w:rsidRPr="00E03557">
              <w:rPr>
                <w:b/>
                <w:bCs/>
              </w:rPr>
              <w:t>Source:</w:t>
            </w:r>
          </w:p>
        </w:tc>
        <w:tc>
          <w:tcPr>
            <w:tcW w:w="7940" w:type="dxa"/>
            <w:gridSpan w:val="3"/>
          </w:tcPr>
          <w:p w14:paraId="0612CABC" w14:textId="066DB02A" w:rsidR="005850FE" w:rsidRPr="00123B21" w:rsidRDefault="005850FE" w:rsidP="005850FE">
            <w:r>
              <w:t>Editors</w:t>
            </w:r>
            <w:r w:rsidR="00253D67">
              <w:t xml:space="preserve"> DEL5.6</w:t>
            </w:r>
          </w:p>
        </w:tc>
      </w:tr>
      <w:tr w:rsidR="005850FE" w:rsidRPr="00E03557" w14:paraId="3E75D40B" w14:textId="77777777" w:rsidTr="002E6647">
        <w:trPr>
          <w:cantSplit/>
          <w:jc w:val="center"/>
        </w:trPr>
        <w:tc>
          <w:tcPr>
            <w:tcW w:w="1700" w:type="dxa"/>
            <w:gridSpan w:val="2"/>
          </w:tcPr>
          <w:p w14:paraId="63174513" w14:textId="77777777" w:rsidR="005850FE" w:rsidRPr="00E03557" w:rsidRDefault="005850FE" w:rsidP="005850FE">
            <w:bookmarkStart w:id="9" w:name="dtitle1" w:colFirst="1" w:colLast="1"/>
            <w:bookmarkEnd w:id="8"/>
            <w:r w:rsidRPr="00E03557">
              <w:rPr>
                <w:b/>
                <w:bCs/>
              </w:rPr>
              <w:t>Title:</w:t>
            </w:r>
          </w:p>
        </w:tc>
        <w:tc>
          <w:tcPr>
            <w:tcW w:w="7940" w:type="dxa"/>
            <w:gridSpan w:val="3"/>
          </w:tcPr>
          <w:p w14:paraId="0EC1DE32" w14:textId="10458520" w:rsidR="005850FE" w:rsidRPr="00123B21" w:rsidRDefault="005850FE" w:rsidP="005850FE">
            <w:r>
              <w:t xml:space="preserve">Updated </w:t>
            </w:r>
            <w:r w:rsidRPr="006E0CBA">
              <w:t>DEL5.6: Data sharing practices</w:t>
            </w:r>
          </w:p>
        </w:tc>
      </w:tr>
      <w:tr w:rsidR="005850FE" w:rsidRPr="00E03557" w14:paraId="6CCF8811" w14:textId="77777777" w:rsidTr="002E6647">
        <w:trPr>
          <w:cantSplit/>
          <w:jc w:val="center"/>
        </w:trPr>
        <w:tc>
          <w:tcPr>
            <w:tcW w:w="1700" w:type="dxa"/>
            <w:gridSpan w:val="2"/>
            <w:tcBorders>
              <w:bottom w:val="single" w:sz="6" w:space="0" w:color="auto"/>
            </w:tcBorders>
          </w:tcPr>
          <w:p w14:paraId="49548675" w14:textId="77777777" w:rsidR="005850FE" w:rsidRPr="00E03557" w:rsidRDefault="005850FE" w:rsidP="005850FE">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F3FD947" w:rsidR="005850FE" w:rsidRPr="00BC1D31" w:rsidRDefault="005850FE" w:rsidP="005850FE">
            <w:pPr>
              <w:rPr>
                <w:highlight w:val="yellow"/>
              </w:rPr>
            </w:pPr>
            <w:r w:rsidRPr="00DC1513">
              <w:rPr>
                <w:lang w:val="en-US"/>
              </w:rPr>
              <w:t>Discussion</w:t>
            </w:r>
          </w:p>
        </w:tc>
      </w:tr>
      <w:bookmarkEnd w:id="0"/>
      <w:bookmarkEnd w:id="10"/>
      <w:tr w:rsidR="002E2CE9"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2E2CE9" w:rsidRPr="00E03557" w:rsidRDefault="002E2CE9" w:rsidP="002E2CE9">
            <w:pPr>
              <w:rPr>
                <w:b/>
                <w:bCs/>
              </w:rPr>
            </w:pPr>
            <w:r w:rsidRPr="00E03557">
              <w:rPr>
                <w:b/>
                <w:bCs/>
              </w:rPr>
              <w:t>Contact:</w:t>
            </w:r>
          </w:p>
        </w:tc>
        <w:tc>
          <w:tcPr>
            <w:tcW w:w="4353" w:type="dxa"/>
            <w:gridSpan w:val="2"/>
            <w:tcBorders>
              <w:top w:val="single" w:sz="6" w:space="0" w:color="auto"/>
              <w:bottom w:val="single" w:sz="6" w:space="0" w:color="auto"/>
            </w:tcBorders>
          </w:tcPr>
          <w:p w14:paraId="5D1C7C66" w14:textId="1B79A8BA" w:rsidR="002E2CE9" w:rsidRPr="002E2CE9" w:rsidRDefault="002E2CE9" w:rsidP="002E2CE9">
            <w:pPr>
              <w:rPr>
                <w:highlight w:val="yellow"/>
                <w:lang w:val="fr-CH"/>
              </w:rPr>
            </w:pPr>
            <w:r w:rsidRPr="00732C9D">
              <w:rPr>
                <w:lang w:val="fr-CH"/>
              </w:rPr>
              <w:t>Ferath Kherif</w:t>
            </w:r>
            <w:r>
              <w:rPr>
                <w:lang w:val="fr-CH"/>
              </w:rPr>
              <w:br/>
            </w:r>
            <w:r w:rsidRPr="00732C9D">
              <w:rPr>
                <w:lang w:val="fr-CH"/>
              </w:rPr>
              <w:t>Centre Hospitalier Universitaire Vaudois</w:t>
            </w:r>
            <w:r>
              <w:rPr>
                <w:lang w:val="fr-CH"/>
              </w:rPr>
              <w:br/>
            </w:r>
            <w:r w:rsidRPr="00732C9D">
              <w:rPr>
                <w:lang w:val="fr-CH"/>
              </w:rPr>
              <w:t>Switzerland</w:t>
            </w:r>
          </w:p>
        </w:tc>
        <w:tc>
          <w:tcPr>
            <w:tcW w:w="3587" w:type="dxa"/>
            <w:tcBorders>
              <w:top w:val="single" w:sz="6" w:space="0" w:color="auto"/>
              <w:bottom w:val="single" w:sz="6" w:space="0" w:color="auto"/>
            </w:tcBorders>
          </w:tcPr>
          <w:p w14:paraId="28DD2FCB" w14:textId="3CEE0D38" w:rsidR="002E2CE9" w:rsidRPr="00BC1D31" w:rsidRDefault="002E2CE9" w:rsidP="002E2CE9">
            <w:pPr>
              <w:rPr>
                <w:highlight w:val="yellow"/>
              </w:rPr>
            </w:pPr>
            <w:r w:rsidRPr="009D7E86">
              <w:t xml:space="preserve">Email: </w:t>
            </w:r>
            <w:hyperlink r:id="rId11" w:history="1">
              <w:r w:rsidRPr="009D7E86">
                <w:rPr>
                  <w:rStyle w:val="Hyperlink"/>
                </w:rPr>
                <w:t>Ferath.Kherif@chuv.ch</w:t>
              </w:r>
            </w:hyperlink>
            <w:r w:rsidRPr="009D7E86">
              <w:t xml:space="preserve">  </w:t>
            </w:r>
          </w:p>
        </w:tc>
      </w:tr>
      <w:tr w:rsidR="002E2CE9"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2E2CE9" w:rsidRPr="00E03557" w:rsidRDefault="002E2CE9" w:rsidP="002E2CE9">
            <w:pPr>
              <w:rPr>
                <w:b/>
                <w:bCs/>
              </w:rPr>
            </w:pPr>
            <w:r w:rsidRPr="00E03557">
              <w:rPr>
                <w:b/>
                <w:bCs/>
              </w:rPr>
              <w:t>Contact:</w:t>
            </w:r>
          </w:p>
        </w:tc>
        <w:tc>
          <w:tcPr>
            <w:tcW w:w="4353" w:type="dxa"/>
            <w:gridSpan w:val="2"/>
            <w:tcBorders>
              <w:top w:val="single" w:sz="6" w:space="0" w:color="auto"/>
              <w:bottom w:val="single" w:sz="6" w:space="0" w:color="auto"/>
            </w:tcBorders>
          </w:tcPr>
          <w:p w14:paraId="7974D081" w14:textId="5FFCB4B7" w:rsidR="002E2CE9" w:rsidRPr="00BC1D31" w:rsidRDefault="002E2CE9" w:rsidP="002E2CE9">
            <w:pPr>
              <w:rPr>
                <w:highlight w:val="yellow"/>
              </w:rPr>
            </w:pPr>
            <w:r w:rsidRPr="009D7E86">
              <w:t>Banusri Velpandian</w:t>
            </w:r>
            <w:r>
              <w:br/>
            </w:r>
            <w:r w:rsidRPr="009D7E86">
              <w:t>ICMR</w:t>
            </w:r>
            <w:bookmarkStart w:id="11" w:name="_GoBack"/>
            <w:bookmarkEnd w:id="11"/>
            <w:r>
              <w:br/>
            </w:r>
            <w:r w:rsidRPr="009D7E86">
              <w:t>India</w:t>
            </w:r>
          </w:p>
        </w:tc>
        <w:tc>
          <w:tcPr>
            <w:tcW w:w="3587" w:type="dxa"/>
            <w:tcBorders>
              <w:top w:val="single" w:sz="6" w:space="0" w:color="auto"/>
              <w:bottom w:val="single" w:sz="6" w:space="0" w:color="auto"/>
            </w:tcBorders>
          </w:tcPr>
          <w:p w14:paraId="116FD316" w14:textId="2DB69A1A" w:rsidR="002E2CE9" w:rsidRPr="00BC1D31" w:rsidRDefault="002E2CE9" w:rsidP="002E2CE9">
            <w:pPr>
              <w:rPr>
                <w:highlight w:val="yellow"/>
              </w:rPr>
            </w:pPr>
            <w:r w:rsidRPr="009D7E86">
              <w:t xml:space="preserve">Email: </w:t>
            </w:r>
            <w:hyperlink r:id="rId12" w:history="1">
              <w:r w:rsidRPr="009D7E86">
                <w:rPr>
                  <w:rStyle w:val="Hyperlink"/>
                </w:rPr>
                <w:t>banusrir@gmail.com</w:t>
              </w:r>
            </w:hyperlink>
            <w:r w:rsidRPr="009D7E86">
              <w:t xml:space="preserve">  </w:t>
            </w:r>
          </w:p>
        </w:tc>
      </w:tr>
      <w:tr w:rsidR="002E2CE9" w:rsidRPr="00E03557" w14:paraId="4ACC8A22" w14:textId="77777777" w:rsidTr="002E6647">
        <w:trPr>
          <w:cantSplit/>
          <w:jc w:val="center"/>
        </w:trPr>
        <w:tc>
          <w:tcPr>
            <w:tcW w:w="1700" w:type="dxa"/>
            <w:gridSpan w:val="2"/>
            <w:tcBorders>
              <w:top w:val="single" w:sz="6" w:space="0" w:color="auto"/>
              <w:bottom w:val="single" w:sz="6" w:space="0" w:color="auto"/>
            </w:tcBorders>
          </w:tcPr>
          <w:p w14:paraId="04AC12A6" w14:textId="7E2333B5" w:rsidR="002E2CE9" w:rsidRPr="00E03557" w:rsidRDefault="002E2CE9" w:rsidP="002E2CE9">
            <w:pPr>
              <w:rPr>
                <w:b/>
                <w:bCs/>
              </w:rPr>
            </w:pPr>
            <w:r w:rsidRPr="00E03557">
              <w:rPr>
                <w:b/>
                <w:bCs/>
              </w:rPr>
              <w:t>Contact:</w:t>
            </w:r>
          </w:p>
        </w:tc>
        <w:tc>
          <w:tcPr>
            <w:tcW w:w="4353" w:type="dxa"/>
            <w:gridSpan w:val="2"/>
            <w:tcBorders>
              <w:top w:val="single" w:sz="6" w:space="0" w:color="auto"/>
              <w:bottom w:val="single" w:sz="6" w:space="0" w:color="auto"/>
            </w:tcBorders>
          </w:tcPr>
          <w:p w14:paraId="585414B7" w14:textId="5142926A" w:rsidR="002E2CE9" w:rsidRPr="00BC1D31" w:rsidRDefault="002E2CE9" w:rsidP="002E2CE9">
            <w:pPr>
              <w:rPr>
                <w:highlight w:val="yellow"/>
              </w:rPr>
            </w:pPr>
            <w:r w:rsidRPr="009D7E86">
              <w:t>WHO Data Team</w:t>
            </w:r>
          </w:p>
        </w:tc>
        <w:tc>
          <w:tcPr>
            <w:tcW w:w="3587" w:type="dxa"/>
            <w:tcBorders>
              <w:top w:val="single" w:sz="6" w:space="0" w:color="auto"/>
              <w:bottom w:val="single" w:sz="6" w:space="0" w:color="auto"/>
            </w:tcBorders>
          </w:tcPr>
          <w:p w14:paraId="2CAB82FA" w14:textId="01F7C47A" w:rsidR="002E2CE9" w:rsidRPr="00BC1D31" w:rsidRDefault="002E2CE9" w:rsidP="002E2CE9">
            <w:pPr>
              <w:rPr>
                <w:highlight w:val="yellow"/>
              </w:rPr>
            </w:pPr>
            <w:r w:rsidRPr="009D7E86">
              <w:t xml:space="preserve">Email: </w:t>
            </w:r>
            <w:hyperlink r:id="rId13" w:history="1">
              <w:r w:rsidRPr="009D7E86">
                <w:rPr>
                  <w:rStyle w:val="Hyperlink"/>
                </w:rPr>
                <w:t>pujaris@who.int</w:t>
              </w:r>
            </w:hyperlink>
            <w:r w:rsidRPr="009D7E86">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6E8488E8" w:rsidR="00E03557" w:rsidRPr="00BC1D31" w:rsidRDefault="004932BE" w:rsidP="002E6647">
            <w:pPr>
              <w:rPr>
                <w:highlight w:val="yellow"/>
              </w:rPr>
            </w:pPr>
            <w:r w:rsidRPr="000F6C2B">
              <w:t>This initial draft describes the objectives and proposes an initial outline of the planned deliverable “Data Sharing Practices” to help seed future content. This deliverable aims to provide an overview of the existing best practices for data sharing of health-related data, including the requirement to enable secure data sharing and issues related to data governance. The documents described established solutions and novel approaches based on distributed and federated environments.</w:t>
            </w:r>
          </w:p>
        </w:tc>
      </w:tr>
    </w:tbl>
    <w:p w14:paraId="2AEBBEA2" w14:textId="337A6507" w:rsidR="00D25CAC" w:rsidRDefault="00D25CAC" w:rsidP="00E03557"/>
    <w:p w14:paraId="79828BB1" w14:textId="77777777" w:rsidR="00D25CAC" w:rsidRDefault="00D25CAC">
      <w:pPr>
        <w:spacing w:before="0"/>
      </w:pPr>
      <w:r>
        <w:br w:type="page"/>
      </w:r>
    </w:p>
    <w:p w14:paraId="3AC00937" w14:textId="77777777" w:rsidR="00861E84" w:rsidRDefault="00861E84" w:rsidP="0004531B">
      <w:pPr>
        <w:pStyle w:val="Heading1"/>
        <w:numPr>
          <w:ilvl w:val="0"/>
          <w:numId w:val="21"/>
        </w:numPr>
        <w:ind w:left="432" w:hanging="432"/>
        <w:jc w:val="both"/>
        <w:rPr>
          <w:rFonts w:eastAsia="Times New Roman"/>
          <w:b w:val="0"/>
          <w:color w:val="1C1E29"/>
          <w:lang w:eastAsia="fr-CH"/>
        </w:rPr>
      </w:pPr>
      <w:r>
        <w:rPr>
          <w:rFonts w:eastAsia="Times New Roman"/>
          <w:color w:val="1C1E29"/>
          <w:lang w:eastAsia="fr-CH"/>
        </w:rPr>
        <w:lastRenderedPageBreak/>
        <w:t>Introduction</w:t>
      </w:r>
    </w:p>
    <w:p w14:paraId="742E5087" w14:textId="77777777" w:rsidR="00861E84" w:rsidRPr="009D7E86" w:rsidRDefault="00861E84" w:rsidP="00861E84">
      <w:pPr>
        <w:pStyle w:val="ListParagraph"/>
        <w:spacing w:before="0"/>
        <w:ind w:left="360"/>
        <w:rPr>
          <w:rFonts w:eastAsia="Times New Roman"/>
          <w:b/>
          <w:color w:val="1C1E29"/>
          <w:lang w:eastAsia="fr-CH"/>
        </w:rPr>
      </w:pPr>
    </w:p>
    <w:p w14:paraId="2FD44B2C" w14:textId="77777777" w:rsidR="00861E84" w:rsidRDefault="00861E84" w:rsidP="00315617">
      <w:pPr>
        <w:spacing w:before="0"/>
      </w:pPr>
      <w:r>
        <w:rPr>
          <w:rFonts w:eastAsia="Times New Roman"/>
          <w:color w:val="1C1E29"/>
          <w:lang w:eastAsia="fr-CH"/>
        </w:rPr>
        <w:t>AI solution developers for h</w:t>
      </w:r>
      <w:r w:rsidRPr="00186EBE">
        <w:rPr>
          <w:rFonts w:eastAsia="Times New Roman"/>
          <w:color w:val="1C1E29"/>
          <w:lang w:eastAsia="fr-CH"/>
        </w:rPr>
        <w:t xml:space="preserve">ealthcare understand what an important role sharing data plays in their success. In addition to patients, healthcare organizations, government </w:t>
      </w:r>
      <w:r>
        <w:rPr>
          <w:rFonts w:eastAsia="Times New Roman"/>
          <w:color w:val="1C1E29"/>
          <w:lang w:eastAsia="fr-CH"/>
        </w:rPr>
        <w:t>agencies</w:t>
      </w:r>
      <w:r w:rsidRPr="00186EBE">
        <w:rPr>
          <w:rFonts w:eastAsia="Times New Roman"/>
          <w:color w:val="1C1E29"/>
          <w:lang w:eastAsia="fr-CH"/>
        </w:rPr>
        <w:t xml:space="preserve"> re</w:t>
      </w:r>
      <w:r>
        <w:rPr>
          <w:rFonts w:eastAsia="Times New Roman"/>
          <w:color w:val="1C1E29"/>
          <w:lang w:eastAsia="fr-CH"/>
        </w:rPr>
        <w:t xml:space="preserve">alize the value of sharing data when </w:t>
      </w:r>
      <w:r>
        <w:t xml:space="preserve">considering the beneficial outcomes. </w:t>
      </w:r>
    </w:p>
    <w:p w14:paraId="7E54A1D6" w14:textId="56AFD2F1" w:rsidR="00861E84" w:rsidRDefault="00861E84" w:rsidP="00315617">
      <w:pPr>
        <w:spacing w:before="0"/>
        <w:rPr>
          <w:rFonts w:eastAsia="Times New Roman"/>
          <w:color w:val="1C1E29"/>
          <w:lang w:eastAsia="fr-CH"/>
        </w:rPr>
      </w:pPr>
      <w:r w:rsidRPr="004E7EDE">
        <w:rPr>
          <w:rFonts w:eastAsia="Times New Roman"/>
          <w:color w:val="1C1E29"/>
          <w:lang w:eastAsia="fr-CH"/>
        </w:rPr>
        <w:t xml:space="preserve">This deliverable provides guidance for existing industry best practices for the sharing of </w:t>
      </w:r>
      <w:r w:rsidR="00747D4F" w:rsidRPr="004E7EDE">
        <w:rPr>
          <w:rFonts w:eastAsia="Times New Roman"/>
          <w:color w:val="1C1E29"/>
          <w:lang w:eastAsia="fr-CH"/>
        </w:rPr>
        <w:t>health-related</w:t>
      </w:r>
      <w:r w:rsidRPr="004E7EDE">
        <w:rPr>
          <w:rFonts w:eastAsia="Times New Roman"/>
          <w:color w:val="1C1E29"/>
          <w:lang w:eastAsia="fr-CH"/>
        </w:rPr>
        <w:t xml:space="preserve"> data. It outlines the roles of each party with respect to the data provider, processor, and receiver while exploring traditional and novel approaches leveraging distributed and federated </w:t>
      </w:r>
      <w:r>
        <w:rPr>
          <w:rFonts w:eastAsia="Times New Roman"/>
          <w:color w:val="1C1E29"/>
          <w:lang w:eastAsia="fr-CH"/>
        </w:rPr>
        <w:t xml:space="preserve">methods </w:t>
      </w:r>
      <w:r w:rsidRPr="004E7EDE">
        <w:rPr>
          <w:rFonts w:eastAsia="Times New Roman"/>
          <w:color w:val="1C1E29"/>
          <w:lang w:eastAsia="fr-CH"/>
        </w:rPr>
        <w:t>for developing privacy-preserving AI/ML models.</w:t>
      </w:r>
      <w:r>
        <w:rPr>
          <w:rFonts w:eastAsia="Times New Roman"/>
          <w:color w:val="1C1E29"/>
          <w:lang w:eastAsia="fr-CH"/>
        </w:rPr>
        <w:t xml:space="preserve"> </w:t>
      </w:r>
    </w:p>
    <w:p w14:paraId="0FD17A31" w14:textId="77777777" w:rsidR="00861E84" w:rsidRPr="002476E0" w:rsidRDefault="00861E84" w:rsidP="00861E84">
      <w:pPr>
        <w:spacing w:before="0"/>
        <w:rPr>
          <w:rFonts w:eastAsia="Times New Roman"/>
          <w:color w:val="1C1E29"/>
          <w:lang w:eastAsia="fr-CH"/>
        </w:rPr>
      </w:pPr>
    </w:p>
    <w:p w14:paraId="72496F8E" w14:textId="77777777" w:rsidR="00861E84" w:rsidRDefault="00861E84" w:rsidP="0004531B">
      <w:pPr>
        <w:pStyle w:val="Heading1"/>
        <w:numPr>
          <w:ilvl w:val="0"/>
          <w:numId w:val="21"/>
        </w:numPr>
        <w:ind w:left="432" w:hanging="432"/>
        <w:jc w:val="both"/>
        <w:rPr>
          <w:rFonts w:eastAsia="Times New Roman"/>
          <w:b w:val="0"/>
          <w:color w:val="1C1E29"/>
          <w:lang w:eastAsia="fr-CH"/>
        </w:rPr>
      </w:pPr>
      <w:r>
        <w:rPr>
          <w:rFonts w:eastAsia="Times New Roman"/>
          <w:color w:val="1C1E29"/>
          <w:lang w:eastAsia="fr-CH"/>
        </w:rPr>
        <w:t xml:space="preserve">Data sharing </w:t>
      </w:r>
    </w:p>
    <w:p w14:paraId="06499EEA" w14:textId="6F98B93E" w:rsidR="00861E84" w:rsidRPr="004E7EDE" w:rsidRDefault="00E1677D" w:rsidP="00E1677D">
      <w:pPr>
        <w:pStyle w:val="Heading2"/>
        <w:numPr>
          <w:ilvl w:val="1"/>
          <w:numId w:val="21"/>
        </w:numPr>
        <w:ind w:left="576" w:hanging="576"/>
        <w:jc w:val="both"/>
        <w:rPr>
          <w:rFonts w:eastAsia="Times New Roman"/>
          <w:b w:val="0"/>
          <w:color w:val="1C1E29"/>
          <w:lang w:eastAsia="fr-CH"/>
        </w:rPr>
      </w:pPr>
      <w:r w:rsidRPr="00E1677D">
        <w:rPr>
          <w:rFonts w:eastAsia="Times New Roman"/>
          <w:color w:val="1C1E29"/>
          <w:lang w:eastAsia="fr-CH"/>
        </w:rPr>
        <w:t>P</w:t>
      </w:r>
      <w:r w:rsidR="00861E84" w:rsidRPr="00E1677D">
        <w:rPr>
          <w:rFonts w:eastAsia="Times New Roman"/>
          <w:color w:val="1C1E29"/>
          <w:lang w:eastAsia="fr-CH"/>
        </w:rPr>
        <w:t>r</w:t>
      </w:r>
      <w:r w:rsidR="00861E84">
        <w:rPr>
          <w:rFonts w:eastAsia="Times New Roman"/>
          <w:color w:val="1C1E29"/>
          <w:lang w:eastAsia="fr-CH"/>
        </w:rPr>
        <w:t>inciples</w:t>
      </w:r>
    </w:p>
    <w:p w14:paraId="51622217" w14:textId="77777777" w:rsidR="00861E84" w:rsidRDefault="00861E84" w:rsidP="00861E84">
      <w:pPr>
        <w:pStyle w:val="NormalWeb"/>
        <w:jc w:val="both"/>
        <w:rPr>
          <w:rFonts w:eastAsia="Times New Roman"/>
          <w:lang w:eastAsia="fr-CH"/>
        </w:rPr>
      </w:pPr>
      <w:r w:rsidRPr="00186EBE">
        <w:rPr>
          <w:rFonts w:eastAsia="Times New Roman"/>
          <w:color w:val="1C1E29"/>
          <w:lang w:eastAsia="fr-CH"/>
        </w:rPr>
        <w:t>Sharing medical data at scale is necessary to improve the development and adoption of artificial intell</w:t>
      </w:r>
      <w:r>
        <w:rPr>
          <w:rFonts w:eastAsia="Times New Roman"/>
          <w:color w:val="1C1E29"/>
          <w:lang w:eastAsia="fr-CH"/>
        </w:rPr>
        <w:t xml:space="preserve">igence solutions for healthcare and to make these solutions more robust. </w:t>
      </w:r>
      <w:r w:rsidRPr="00186EBE">
        <w:rPr>
          <w:rFonts w:eastAsia="Times New Roman"/>
          <w:lang w:eastAsia="fr-CH"/>
        </w:rPr>
        <w:t>Healthcare, more than any other industry, must negotiate the balance between potential harm from sharing critical data and the potential benefit of improving care.</w:t>
      </w:r>
      <w:r>
        <w:rPr>
          <w:rFonts w:eastAsia="Times New Roman"/>
          <w:lang w:eastAsia="fr-CH"/>
        </w:rPr>
        <w:t xml:space="preserve"> </w:t>
      </w:r>
      <w:r w:rsidRPr="00186EBE">
        <w:rPr>
          <w:rFonts w:eastAsia="Times New Roman"/>
          <w:lang w:eastAsia="fr-CH"/>
        </w:rPr>
        <w:t>In consideration of this balance and ethical and security issues, several government agencies have issued guidelines that ca</w:t>
      </w:r>
      <w:r>
        <w:rPr>
          <w:rFonts w:eastAsia="Times New Roman"/>
          <w:lang w:eastAsia="fr-CH"/>
        </w:rPr>
        <w:t xml:space="preserve">n be summarized under five data </w:t>
      </w:r>
      <w:r w:rsidRPr="00186EBE">
        <w:rPr>
          <w:rFonts w:eastAsia="Times New Roman"/>
          <w:lang w:eastAsia="fr-CH"/>
        </w:rPr>
        <w:t>sharing principles.</w:t>
      </w:r>
    </w:p>
    <w:p w14:paraId="3CC2B734" w14:textId="77777777" w:rsidR="00861E84" w:rsidRPr="00260E19" w:rsidRDefault="00861E84" w:rsidP="00861E84">
      <w:pPr>
        <w:pStyle w:val="NormalWeb"/>
        <w:numPr>
          <w:ilvl w:val="0"/>
          <w:numId w:val="24"/>
        </w:numPr>
        <w:rPr>
          <w:rFonts w:eastAsia="Times New Roman"/>
          <w:lang w:eastAsia="fr-CH"/>
        </w:rPr>
      </w:pPr>
      <w:r w:rsidRPr="00260E19">
        <w:rPr>
          <w:b/>
        </w:rPr>
        <w:t>Sharing data for appropriate and authorised purposes</w:t>
      </w:r>
      <w:r>
        <w:t xml:space="preserve">. </w:t>
      </w:r>
      <w:r w:rsidRPr="00260E19">
        <w:rPr>
          <w:i/>
        </w:rPr>
        <w:t>Why the data is being used</w:t>
      </w:r>
    </w:p>
    <w:p w14:paraId="14FB207B" w14:textId="77777777" w:rsidR="00861E84" w:rsidRPr="00260E19" w:rsidRDefault="00861E84" w:rsidP="00861E84">
      <w:pPr>
        <w:pStyle w:val="NormalWeb"/>
        <w:numPr>
          <w:ilvl w:val="0"/>
          <w:numId w:val="24"/>
        </w:numPr>
        <w:rPr>
          <w:rFonts w:eastAsia="Times New Roman"/>
          <w:lang w:eastAsia="fr-CH"/>
        </w:rPr>
      </w:pPr>
      <w:r w:rsidRPr="00260E19">
        <w:rPr>
          <w:b/>
        </w:rPr>
        <w:t>Sharing data only with authorised users.</w:t>
      </w:r>
      <w:r>
        <w:t xml:space="preserve"> </w:t>
      </w:r>
      <w:r w:rsidRPr="00260E19">
        <w:rPr>
          <w:i/>
        </w:rPr>
        <w:t xml:space="preserve">Who is using the </w:t>
      </w:r>
      <w:proofErr w:type="gramStart"/>
      <w:r w:rsidRPr="00260E19">
        <w:rPr>
          <w:i/>
        </w:rPr>
        <w:t>data</w:t>
      </w:r>
      <w:proofErr w:type="gramEnd"/>
    </w:p>
    <w:p w14:paraId="0119D951" w14:textId="77777777" w:rsidR="00861E84" w:rsidRPr="00F86852" w:rsidRDefault="00861E84" w:rsidP="00861E84">
      <w:pPr>
        <w:pStyle w:val="NormalWeb"/>
        <w:numPr>
          <w:ilvl w:val="0"/>
          <w:numId w:val="24"/>
        </w:numPr>
        <w:rPr>
          <w:rFonts w:eastAsia="Times New Roman"/>
          <w:b/>
          <w:lang w:eastAsia="fr-CH"/>
        </w:rPr>
      </w:pPr>
      <w:r w:rsidRPr="00F86852">
        <w:rPr>
          <w:b/>
        </w:rPr>
        <w:t>Using data in a safe and secure environment</w:t>
      </w:r>
      <w:r>
        <w:rPr>
          <w:b/>
        </w:rPr>
        <w:t xml:space="preserve">. </w:t>
      </w:r>
    </w:p>
    <w:p w14:paraId="57B2A89B" w14:textId="77777777" w:rsidR="00861E84" w:rsidRPr="00062C0C" w:rsidRDefault="00861E84" w:rsidP="00861E84">
      <w:pPr>
        <w:pStyle w:val="NormalWeb"/>
        <w:numPr>
          <w:ilvl w:val="0"/>
          <w:numId w:val="24"/>
        </w:numPr>
        <w:rPr>
          <w:rFonts w:eastAsia="Times New Roman"/>
          <w:b/>
          <w:lang w:eastAsia="fr-CH"/>
        </w:rPr>
      </w:pPr>
      <w:r w:rsidRPr="00F86852">
        <w:rPr>
          <w:b/>
        </w:rPr>
        <w:t>Applying appropriate protections to the data.</w:t>
      </w:r>
      <w:r>
        <w:t xml:space="preserve"> </w:t>
      </w:r>
      <w:r w:rsidRPr="00F86852">
        <w:rPr>
          <w:i/>
        </w:rPr>
        <w:t>Where the data is being used</w:t>
      </w:r>
    </w:p>
    <w:p w14:paraId="7BFB1447" w14:textId="77777777" w:rsidR="00861E84" w:rsidRPr="0033646C" w:rsidRDefault="00861E84" w:rsidP="00861E84">
      <w:pPr>
        <w:pStyle w:val="NormalWeb"/>
        <w:numPr>
          <w:ilvl w:val="0"/>
          <w:numId w:val="24"/>
        </w:numPr>
        <w:rPr>
          <w:rFonts w:eastAsia="Times New Roman"/>
          <w:b/>
          <w:lang w:eastAsia="fr-CH"/>
        </w:rPr>
      </w:pPr>
      <w:r w:rsidRPr="00062C0C">
        <w:rPr>
          <w:b/>
        </w:rPr>
        <w:t>Ensuring public outputs from data sharing projects do not identify the people or organisations in the data</w:t>
      </w:r>
      <w:r>
        <w:rPr>
          <w:b/>
        </w:rPr>
        <w:t xml:space="preserve">. </w:t>
      </w:r>
    </w:p>
    <w:p w14:paraId="6A45E884" w14:textId="77777777" w:rsidR="00861E84" w:rsidRPr="00062C0C" w:rsidRDefault="00861E84" w:rsidP="00861E84">
      <w:pPr>
        <w:pStyle w:val="NormalWeb"/>
        <w:ind w:left="1080"/>
        <w:rPr>
          <w:rFonts w:eastAsia="Times New Roman"/>
          <w:b/>
          <w:lang w:eastAsia="fr-CH"/>
        </w:rPr>
      </w:pPr>
    </w:p>
    <w:p w14:paraId="16F6128E" w14:textId="77777777" w:rsidR="00861E84" w:rsidRDefault="00861E84" w:rsidP="008D4303">
      <w:pPr>
        <w:pStyle w:val="Heading2"/>
        <w:numPr>
          <w:ilvl w:val="1"/>
          <w:numId w:val="21"/>
        </w:numPr>
        <w:ind w:left="576" w:hanging="576"/>
        <w:jc w:val="both"/>
        <w:rPr>
          <w:rFonts w:eastAsia="Times New Roman"/>
          <w:b w:val="0"/>
          <w:color w:val="1C1E29"/>
          <w:lang w:eastAsia="fr-CH"/>
        </w:rPr>
      </w:pPr>
      <w:r w:rsidRPr="002476E0">
        <w:rPr>
          <w:rFonts w:eastAsia="Times New Roman"/>
          <w:color w:val="1C1E29"/>
          <w:lang w:eastAsia="fr-CH"/>
        </w:rPr>
        <w:t>Roles and responsibilities </w:t>
      </w:r>
      <w:r>
        <w:rPr>
          <w:rFonts w:eastAsia="Times New Roman"/>
          <w:color w:val="1C1E29"/>
          <w:lang w:eastAsia="fr-CH"/>
        </w:rPr>
        <w:t xml:space="preserve">in </w:t>
      </w:r>
      <w:proofErr w:type="spellStart"/>
      <w:r>
        <w:rPr>
          <w:rFonts w:eastAsia="Times New Roman"/>
          <w:color w:val="1C1E29"/>
          <w:lang w:eastAsia="fr-CH"/>
        </w:rPr>
        <w:t>handeling</w:t>
      </w:r>
      <w:proofErr w:type="spellEnd"/>
      <w:r>
        <w:rPr>
          <w:rFonts w:eastAsia="Times New Roman"/>
          <w:color w:val="1C1E29"/>
          <w:lang w:eastAsia="fr-CH"/>
        </w:rPr>
        <w:t xml:space="preserve"> personal data</w:t>
      </w:r>
    </w:p>
    <w:p w14:paraId="79329C10" w14:textId="77777777" w:rsidR="00861E84" w:rsidRDefault="00861E84" w:rsidP="00861E84">
      <w:pPr>
        <w:pStyle w:val="ListParagraph"/>
        <w:spacing w:before="100" w:beforeAutospacing="1" w:after="100" w:afterAutospacing="1"/>
        <w:ind w:left="360"/>
        <w:rPr>
          <w:rFonts w:eastAsia="Times New Roman"/>
          <w:b/>
          <w:lang w:eastAsia="fr-CH"/>
        </w:rPr>
      </w:pPr>
    </w:p>
    <w:p w14:paraId="259A00C9" w14:textId="77777777" w:rsidR="00861E84" w:rsidRDefault="00861E84" w:rsidP="00861E84">
      <w:pPr>
        <w:pStyle w:val="ListParagraph"/>
        <w:spacing w:before="100" w:beforeAutospacing="1" w:after="100" w:afterAutospacing="1"/>
        <w:ind w:left="0"/>
        <w:jc w:val="both"/>
        <w:rPr>
          <w:rFonts w:eastAsia="Times New Roman"/>
          <w:lang w:eastAsia="fr-CH"/>
        </w:rPr>
      </w:pPr>
      <w:r w:rsidRPr="004E7EDE">
        <w:rPr>
          <w:rFonts w:eastAsia="Times New Roman"/>
          <w:lang w:eastAsia="fr-CH"/>
        </w:rPr>
        <w:t xml:space="preserve">There are several roles and responsibilities associated with the various types of data handling during the life cycle of data sharing identified by GDPR. The data controller is the individual responsible for determining the purposes and means of processing personal data. Data providers are natural or legal persons who collect data as part of their working duties. It is the responsibility of the Data Protection Officer to oversee the organization's data protection strategy and to ensure compliance with regulations such as GDPR. A Data Processor is someone, a public authority, an agency or any other entity that processes personal data on behalf of the controller. </w:t>
      </w:r>
      <w:proofErr w:type="gramStart"/>
      <w:r>
        <w:rPr>
          <w:rFonts w:eastAsia="Times New Roman"/>
          <w:lang w:eastAsia="fr-CH"/>
        </w:rPr>
        <w:t>Finally</w:t>
      </w:r>
      <w:proofErr w:type="gramEnd"/>
      <w:r>
        <w:rPr>
          <w:rFonts w:eastAsia="Times New Roman"/>
          <w:lang w:eastAsia="fr-CH"/>
        </w:rPr>
        <w:t xml:space="preserve"> a </w:t>
      </w:r>
      <w:r w:rsidRPr="004E7EDE">
        <w:rPr>
          <w:rFonts w:eastAsia="Times New Roman"/>
          <w:lang w:eastAsia="fr-CH"/>
        </w:rPr>
        <w:t>Data receiver is a natural or legal person, public authority, agency, or other body to which the personal data will be disclosed, whether a third party or not.</w:t>
      </w:r>
    </w:p>
    <w:p w14:paraId="201CD2F2" w14:textId="77777777" w:rsidR="00861E84" w:rsidRPr="002476E0" w:rsidRDefault="00861E84" w:rsidP="00861E84">
      <w:pPr>
        <w:pStyle w:val="ListParagraph"/>
        <w:spacing w:before="0"/>
        <w:ind w:left="1224"/>
        <w:rPr>
          <w:rFonts w:eastAsia="Times New Roman"/>
          <w:color w:val="1C1E29"/>
          <w:lang w:eastAsia="fr-CH"/>
        </w:rPr>
      </w:pPr>
    </w:p>
    <w:p w14:paraId="0CD56309" w14:textId="77777777" w:rsidR="00861E84" w:rsidRDefault="00861E84" w:rsidP="008D4303">
      <w:pPr>
        <w:pStyle w:val="Heading2"/>
        <w:numPr>
          <w:ilvl w:val="1"/>
          <w:numId w:val="21"/>
        </w:numPr>
        <w:ind w:left="576" w:hanging="576"/>
        <w:jc w:val="both"/>
        <w:rPr>
          <w:rFonts w:eastAsia="Times New Roman"/>
          <w:b w:val="0"/>
          <w:color w:val="1C1E29"/>
          <w:lang w:eastAsia="fr-CH"/>
        </w:rPr>
      </w:pPr>
      <w:r>
        <w:rPr>
          <w:rFonts w:eastAsia="Times New Roman"/>
          <w:color w:val="1C1E29"/>
          <w:lang w:eastAsia="fr-CH"/>
        </w:rPr>
        <w:t>Rules and regulation for p</w:t>
      </w:r>
      <w:r w:rsidRPr="002476E0">
        <w:rPr>
          <w:rFonts w:eastAsia="Times New Roman"/>
          <w:color w:val="1C1E29"/>
          <w:lang w:eastAsia="fr-CH"/>
        </w:rPr>
        <w:t xml:space="preserve">atients </w:t>
      </w:r>
      <w:r w:rsidRPr="009D7E86">
        <w:rPr>
          <w:rFonts w:eastAsia="Times New Roman"/>
          <w:color w:val="1C1E29"/>
          <w:lang w:eastAsia="fr-CH"/>
        </w:rPr>
        <w:t>consent</w:t>
      </w:r>
    </w:p>
    <w:p w14:paraId="714510EE" w14:textId="77777777" w:rsidR="00861E84" w:rsidRDefault="00861E84" w:rsidP="00861E84">
      <w:pPr>
        <w:pBdr>
          <w:top w:val="nil"/>
          <w:left w:val="nil"/>
          <w:bottom w:val="nil"/>
          <w:right w:val="nil"/>
          <w:between w:val="nil"/>
        </w:pBdr>
        <w:spacing w:before="0" w:after="200" w:line="276" w:lineRule="auto"/>
        <w:contextualSpacing/>
        <w:rPr>
          <w:rFonts w:ascii="Arial" w:hAnsi="Arial" w:cs="Arial"/>
          <w:b/>
          <w:bCs/>
          <w:color w:val="1F497D"/>
          <w:sz w:val="22"/>
          <w:szCs w:val="22"/>
        </w:rPr>
      </w:pPr>
      <w:r w:rsidRPr="00186EBE">
        <w:rPr>
          <w:rFonts w:eastAsia="Times New Roman"/>
          <w:color w:val="1C1E29"/>
          <w:lang w:eastAsia="fr-CH"/>
        </w:rPr>
        <w:t xml:space="preserve">In order to collect data from humans, they must have been collected in a manner that meets the ethical principles governing research in the EU. </w:t>
      </w:r>
      <w:r w:rsidRPr="00C06D84">
        <w:rPr>
          <w:rFonts w:eastAsia="Times New Roman"/>
          <w:color w:val="1C1E29"/>
          <w:lang w:eastAsia="fr-CH"/>
        </w:rPr>
        <w:t>It must be demonstrated that the patient consented to the collection of data. Data collected from patients is only used for the purpose for which they were collected. In certain instances, the re-use of non-personal data could be allowed under EU data protection legislation, including the recent Data Protection Act in the EU, in which no consent is required to share the data.</w:t>
      </w:r>
    </w:p>
    <w:p w14:paraId="01A7714D" w14:textId="77777777" w:rsidR="00861E84" w:rsidRDefault="00861E84" w:rsidP="00861E84">
      <w:pPr>
        <w:pBdr>
          <w:top w:val="nil"/>
          <w:left w:val="nil"/>
          <w:bottom w:val="nil"/>
          <w:right w:val="nil"/>
          <w:between w:val="nil"/>
        </w:pBdr>
        <w:spacing w:before="0" w:after="200" w:line="276" w:lineRule="auto"/>
        <w:contextualSpacing/>
        <w:rPr>
          <w:rFonts w:ascii="Arial" w:hAnsi="Arial" w:cs="Arial"/>
          <w:b/>
          <w:bCs/>
          <w:color w:val="1F497D"/>
          <w:sz w:val="22"/>
          <w:szCs w:val="22"/>
        </w:rPr>
      </w:pPr>
    </w:p>
    <w:p w14:paraId="0FB24DC0" w14:textId="77777777" w:rsidR="00861E84" w:rsidRPr="00C82943" w:rsidRDefault="00861E84" w:rsidP="00861E84">
      <w:pPr>
        <w:rPr>
          <w:rFonts w:eastAsia="Times New Roman"/>
          <w:color w:val="1C1E29"/>
          <w:lang w:eastAsia="fr-CH"/>
        </w:rPr>
      </w:pPr>
    </w:p>
    <w:p w14:paraId="465D69C3" w14:textId="77777777" w:rsidR="00861E84" w:rsidRDefault="00861E84" w:rsidP="008D4303">
      <w:pPr>
        <w:pStyle w:val="Heading2"/>
        <w:numPr>
          <w:ilvl w:val="1"/>
          <w:numId w:val="21"/>
        </w:numPr>
        <w:ind w:left="576" w:hanging="576"/>
        <w:jc w:val="both"/>
        <w:rPr>
          <w:rFonts w:eastAsia="Times New Roman"/>
          <w:b w:val="0"/>
          <w:color w:val="1C1E29"/>
          <w:lang w:eastAsia="fr-CH"/>
        </w:rPr>
      </w:pPr>
      <w:r w:rsidRPr="002476E0">
        <w:rPr>
          <w:rFonts w:eastAsia="Times New Roman"/>
          <w:color w:val="1C1E29"/>
          <w:lang w:eastAsia="fr-CH"/>
        </w:rPr>
        <w:t xml:space="preserve">Data </w:t>
      </w:r>
      <w:r>
        <w:rPr>
          <w:rFonts w:eastAsia="Times New Roman"/>
          <w:color w:val="1C1E29"/>
          <w:lang w:eastAsia="fr-CH"/>
        </w:rPr>
        <w:t xml:space="preserve">anonymization and </w:t>
      </w:r>
      <w:r w:rsidRPr="008278E7">
        <w:rPr>
          <w:rFonts w:eastAsia="Times New Roman"/>
          <w:color w:val="1C1E29"/>
          <w:lang w:eastAsia="fr-CH"/>
        </w:rPr>
        <w:t>de-identification</w:t>
      </w:r>
    </w:p>
    <w:p w14:paraId="08AF26DC" w14:textId="77777777" w:rsidR="00861E84" w:rsidRPr="00186EBE" w:rsidRDefault="00861E84" w:rsidP="00861E84">
      <w:pPr>
        <w:pStyle w:val="ListParagraph"/>
        <w:spacing w:before="100" w:beforeAutospacing="1" w:after="100" w:afterAutospacing="1"/>
        <w:ind w:left="0"/>
        <w:rPr>
          <w:rFonts w:eastAsia="Times New Roman"/>
          <w:lang w:eastAsia="fr-CH"/>
        </w:rPr>
      </w:pPr>
      <w:r w:rsidRPr="00186EBE">
        <w:rPr>
          <w:rFonts w:eastAsia="Times New Roman"/>
          <w:lang w:eastAsia="fr-CH"/>
        </w:rPr>
        <w:t>Remove all data relating to identifiable natural or legal entities, including institutions and animals. An identifiable entity is one who can be identified directly or indirectly, in particular by reference to one or more factors specific to their physical, physiological, genetic, mental, economic, cultural, or social identity.</w:t>
      </w:r>
    </w:p>
    <w:p w14:paraId="42728CF4" w14:textId="77777777" w:rsidR="00861E84" w:rsidRPr="005D03CA" w:rsidRDefault="00861E84" w:rsidP="00861E84">
      <w:pPr>
        <w:pStyle w:val="ListParagraph"/>
        <w:ind w:left="360"/>
        <w:rPr>
          <w:rFonts w:eastAsia="Times New Roman"/>
          <w:color w:val="1C1E29"/>
          <w:lang w:eastAsia="fr-CH"/>
        </w:rPr>
      </w:pPr>
    </w:p>
    <w:p w14:paraId="3F964DF9" w14:textId="77777777" w:rsidR="00861E84" w:rsidRDefault="00861E84" w:rsidP="008D4303">
      <w:pPr>
        <w:pStyle w:val="Heading2"/>
        <w:numPr>
          <w:ilvl w:val="1"/>
          <w:numId w:val="21"/>
        </w:numPr>
        <w:ind w:left="576" w:hanging="576"/>
        <w:jc w:val="both"/>
        <w:rPr>
          <w:rFonts w:eastAsia="Times New Roman"/>
          <w:b w:val="0"/>
          <w:color w:val="1C1E29"/>
          <w:lang w:eastAsia="fr-CH"/>
        </w:rPr>
      </w:pPr>
      <w:r>
        <w:rPr>
          <w:rFonts w:eastAsia="Times New Roman"/>
          <w:color w:val="1C1E29"/>
          <w:lang w:eastAsia="fr-CH"/>
        </w:rPr>
        <w:t xml:space="preserve">Data minimization </w:t>
      </w:r>
    </w:p>
    <w:p w14:paraId="043A216D" w14:textId="77777777" w:rsidR="00861E84" w:rsidRPr="00186EBE" w:rsidRDefault="00861E84" w:rsidP="00861E84">
      <w:pPr>
        <w:pStyle w:val="ListParagraph"/>
        <w:spacing w:before="100" w:beforeAutospacing="1" w:after="100" w:afterAutospacing="1"/>
        <w:ind w:left="0"/>
        <w:rPr>
          <w:rFonts w:eastAsia="Times New Roman"/>
          <w:lang w:eastAsia="fr-CH"/>
        </w:rPr>
      </w:pPr>
      <w:r>
        <w:rPr>
          <w:rFonts w:eastAsia="Times New Roman"/>
          <w:lang w:eastAsia="fr-CH"/>
        </w:rPr>
        <w:t>I</w:t>
      </w:r>
      <w:r w:rsidRPr="00186EBE">
        <w:rPr>
          <w:rFonts w:eastAsia="Times New Roman"/>
          <w:lang w:eastAsia="fr-CH"/>
        </w:rPr>
        <w:t>n order to protect data privacy, data minimization means that data collection must be limited to information that is relevant, adequate, and absolutely necessary for the purpose for which it is processed.</w:t>
      </w:r>
    </w:p>
    <w:p w14:paraId="45210F84" w14:textId="77777777" w:rsidR="00861E84" w:rsidRPr="0008505E" w:rsidRDefault="00861E84" w:rsidP="00861E84">
      <w:pPr>
        <w:pStyle w:val="ListParagraph"/>
        <w:ind w:left="360"/>
        <w:rPr>
          <w:rFonts w:eastAsia="Times New Roman"/>
          <w:color w:val="1C1E29"/>
          <w:lang w:eastAsia="fr-CH"/>
        </w:rPr>
      </w:pPr>
    </w:p>
    <w:p w14:paraId="205D0848" w14:textId="77777777" w:rsidR="00861E84" w:rsidRPr="00C82943" w:rsidRDefault="00861E84" w:rsidP="008D4303">
      <w:pPr>
        <w:pStyle w:val="Heading2"/>
        <w:numPr>
          <w:ilvl w:val="1"/>
          <w:numId w:val="21"/>
        </w:numPr>
        <w:ind w:left="576" w:hanging="576"/>
        <w:jc w:val="both"/>
        <w:rPr>
          <w:rFonts w:eastAsia="Times New Roman"/>
          <w:b w:val="0"/>
          <w:color w:val="1C1E29"/>
          <w:lang w:eastAsia="fr-CH"/>
        </w:rPr>
      </w:pPr>
      <w:r w:rsidRPr="002476E0">
        <w:rPr>
          <w:rFonts w:eastAsia="Times New Roman"/>
          <w:color w:val="1C1E29"/>
          <w:lang w:eastAsia="fr-CH"/>
        </w:rPr>
        <w:t>Data confidentiality</w:t>
      </w:r>
      <w:r>
        <w:rPr>
          <w:rFonts w:eastAsia="Times New Roman"/>
          <w:color w:val="1C1E29"/>
          <w:lang w:eastAsia="fr-CH"/>
        </w:rPr>
        <w:t xml:space="preserve">, </w:t>
      </w:r>
      <w:r w:rsidRPr="002476E0">
        <w:rPr>
          <w:rFonts w:eastAsia="Times New Roman"/>
          <w:color w:val="1C1E29"/>
          <w:lang w:eastAsia="fr-CH"/>
        </w:rPr>
        <w:t>Data security </w:t>
      </w:r>
      <w:r w:rsidRPr="00C82943">
        <w:rPr>
          <w:rFonts w:eastAsia="Times New Roman"/>
          <w:color w:val="1C1E29"/>
          <w:lang w:eastAsia="fr-CH"/>
        </w:rPr>
        <w:t>and privacy</w:t>
      </w:r>
    </w:p>
    <w:p w14:paraId="01C9AB86" w14:textId="598BDBB0" w:rsidR="00861E84" w:rsidRPr="00747D4F" w:rsidRDefault="00861E84" w:rsidP="00747D4F">
      <w:pPr>
        <w:pStyle w:val="ListParagraph"/>
        <w:ind w:left="0"/>
        <w:rPr>
          <w:rFonts w:eastAsia="Times New Roman"/>
          <w:color w:val="1C1E29"/>
          <w:lang w:eastAsia="fr-CH"/>
        </w:rPr>
      </w:pPr>
      <w:r>
        <w:rPr>
          <w:rFonts w:eastAsia="Times New Roman"/>
          <w:color w:val="1C1E29"/>
          <w:lang w:eastAsia="fr-CH"/>
        </w:rPr>
        <w:t xml:space="preserve">The aim of the </w:t>
      </w:r>
      <w:r w:rsidRPr="00C73766">
        <w:rPr>
          <w:rFonts w:eastAsia="Times New Roman"/>
          <w:color w:val="1C1E29"/>
          <w:lang w:eastAsia="fr-CH"/>
        </w:rPr>
        <w:t xml:space="preserve">Data protection </w:t>
      </w:r>
      <w:r>
        <w:rPr>
          <w:rFonts w:eastAsia="Times New Roman"/>
          <w:color w:val="1C1E29"/>
          <w:lang w:eastAsia="fr-CH"/>
        </w:rPr>
        <w:t xml:space="preserve">is </w:t>
      </w:r>
      <w:r w:rsidRPr="00C73766">
        <w:rPr>
          <w:rFonts w:eastAsia="Times New Roman"/>
          <w:color w:val="1C1E29"/>
          <w:lang w:eastAsia="fr-CH"/>
        </w:rPr>
        <w:t xml:space="preserve">defined as keeping information secure so that it is only used for </w:t>
      </w:r>
      <w:r>
        <w:rPr>
          <w:rFonts w:eastAsia="Times New Roman"/>
          <w:color w:val="1C1E29"/>
          <w:lang w:eastAsia="fr-CH"/>
        </w:rPr>
        <w:t xml:space="preserve">the </w:t>
      </w:r>
      <w:r w:rsidRPr="00C73766">
        <w:rPr>
          <w:rFonts w:eastAsia="Times New Roman"/>
          <w:color w:val="1C1E29"/>
          <w:lang w:eastAsia="fr-CH"/>
        </w:rPr>
        <w:t xml:space="preserve">defined, purposes and it is stored, managed and used in a way that ensures the privacy of the data subjects involved, and assures integrity of the information so that the information are correct. </w:t>
      </w:r>
    </w:p>
    <w:p w14:paraId="30C5E9B4" w14:textId="77777777" w:rsidR="00861E84" w:rsidRPr="002476E0" w:rsidRDefault="00861E84" w:rsidP="00861E84">
      <w:pPr>
        <w:pStyle w:val="ListParagraph"/>
        <w:spacing w:before="0"/>
        <w:ind w:left="792"/>
        <w:rPr>
          <w:rFonts w:eastAsia="Times New Roman"/>
          <w:color w:val="1C1E29"/>
          <w:lang w:eastAsia="fr-CH"/>
        </w:rPr>
      </w:pPr>
    </w:p>
    <w:p w14:paraId="33A376CF" w14:textId="77777777" w:rsidR="00861E84" w:rsidRPr="002476E0" w:rsidRDefault="00861E84" w:rsidP="008D4303">
      <w:pPr>
        <w:pStyle w:val="Heading2"/>
        <w:numPr>
          <w:ilvl w:val="1"/>
          <w:numId w:val="21"/>
        </w:numPr>
        <w:ind w:left="576" w:hanging="576"/>
        <w:jc w:val="both"/>
        <w:rPr>
          <w:rFonts w:eastAsia="Times New Roman"/>
          <w:b w:val="0"/>
          <w:color w:val="1C1E29"/>
          <w:lang w:eastAsia="fr-CH"/>
        </w:rPr>
      </w:pPr>
      <w:r>
        <w:rPr>
          <w:rFonts w:eastAsia="Times New Roman"/>
          <w:color w:val="1C1E29"/>
          <w:lang w:eastAsia="fr-CH"/>
        </w:rPr>
        <w:t xml:space="preserve">Protection and Privacy </w:t>
      </w:r>
      <w:r w:rsidRPr="00186EBE">
        <w:rPr>
          <w:rFonts w:eastAsia="Times New Roman"/>
          <w:color w:val="1C1E29"/>
          <w:lang w:eastAsia="fr-CH"/>
        </w:rPr>
        <w:t>assessments</w:t>
      </w:r>
      <w:r>
        <w:rPr>
          <w:rFonts w:eastAsia="Times New Roman"/>
          <w:color w:val="1C1E29"/>
          <w:lang w:eastAsia="fr-CH"/>
        </w:rPr>
        <w:t xml:space="preserve">. </w:t>
      </w:r>
    </w:p>
    <w:p w14:paraId="2111BA91" w14:textId="2B291F86" w:rsidR="00861E84" w:rsidRPr="005278E3" w:rsidRDefault="00861E84" w:rsidP="00861E84">
      <w:pPr>
        <w:pStyle w:val="ListParagraph"/>
        <w:ind w:left="0"/>
        <w:rPr>
          <w:rFonts w:eastAsia="Times New Roman"/>
          <w:color w:val="1C1E29"/>
          <w:lang w:eastAsia="fr-CH"/>
        </w:rPr>
      </w:pPr>
      <w:r w:rsidRPr="00C66D02">
        <w:rPr>
          <w:rFonts w:eastAsia="Times New Roman"/>
          <w:color w:val="1C1E29"/>
          <w:lang w:eastAsia="fr-CH"/>
        </w:rPr>
        <w:t>Data protection impact assessments (</w:t>
      </w:r>
      <w:r w:rsidR="00747D4F" w:rsidRPr="00C66D02">
        <w:rPr>
          <w:rFonts w:eastAsia="Times New Roman"/>
          <w:color w:val="1C1E29"/>
          <w:lang w:eastAsia="fr-CH"/>
        </w:rPr>
        <w:t>DPIA)</w:t>
      </w:r>
      <w:r w:rsidR="00747D4F">
        <w:rPr>
          <w:rFonts w:eastAsia="Times New Roman"/>
          <w:color w:val="1C1E29"/>
          <w:lang w:eastAsia="fr-CH"/>
        </w:rPr>
        <w:t xml:space="preserve"> </w:t>
      </w:r>
      <w:r w:rsidR="00747D4F" w:rsidRPr="00186EBE">
        <w:rPr>
          <w:rFonts w:eastAsia="Times New Roman"/>
          <w:color w:val="1C1E29"/>
          <w:lang w:eastAsia="fr-CH"/>
        </w:rPr>
        <w:t>is</w:t>
      </w:r>
      <w:r w:rsidRPr="00186EBE">
        <w:rPr>
          <w:rFonts w:eastAsia="Times New Roman"/>
          <w:color w:val="1C1E29"/>
          <w:lang w:eastAsia="fr-CH"/>
        </w:rPr>
        <w:t xml:space="preserve"> a tool used to describe a processing, assess its necessity and proportionality, and help manage risks to the rights of natural persons resulting from processing personal data</w:t>
      </w:r>
      <w:r>
        <w:rPr>
          <w:rFonts w:eastAsia="Times New Roman"/>
          <w:color w:val="1C1E29"/>
          <w:lang w:eastAsia="fr-CH"/>
        </w:rPr>
        <w:t>. The DPIA report identify</w:t>
      </w:r>
      <w:r w:rsidRPr="005278E3">
        <w:rPr>
          <w:rFonts w:eastAsia="Times New Roman"/>
          <w:color w:val="1C1E29"/>
          <w:lang w:eastAsia="fr-CH"/>
        </w:rPr>
        <w:t xml:space="preserve"> privacy</w:t>
      </w:r>
      <w:r>
        <w:rPr>
          <w:rFonts w:eastAsia="Times New Roman"/>
          <w:color w:val="1C1E29"/>
          <w:lang w:eastAsia="fr-CH"/>
        </w:rPr>
        <w:t xml:space="preserve"> risks and how to mitigate them.</w:t>
      </w:r>
    </w:p>
    <w:p w14:paraId="6AB4B555" w14:textId="77777777" w:rsidR="00861E84" w:rsidRPr="00747D4F" w:rsidRDefault="00861E84" w:rsidP="00747D4F">
      <w:pPr>
        <w:spacing w:before="0"/>
        <w:rPr>
          <w:rFonts w:eastAsia="Times New Roman"/>
          <w:color w:val="1C1E29"/>
          <w:lang w:eastAsia="fr-CH"/>
        </w:rPr>
      </w:pPr>
    </w:p>
    <w:p w14:paraId="319D661B" w14:textId="77777777" w:rsidR="00861E84" w:rsidRDefault="00861E84" w:rsidP="008D4303">
      <w:pPr>
        <w:pStyle w:val="Heading2"/>
        <w:numPr>
          <w:ilvl w:val="1"/>
          <w:numId w:val="21"/>
        </w:numPr>
        <w:ind w:left="576" w:hanging="576"/>
        <w:jc w:val="both"/>
        <w:rPr>
          <w:rFonts w:eastAsia="Times New Roman"/>
          <w:b w:val="0"/>
          <w:color w:val="1C1E29"/>
          <w:lang w:eastAsia="fr-CH"/>
        </w:rPr>
      </w:pPr>
      <w:r w:rsidRPr="002476E0">
        <w:rPr>
          <w:rFonts w:eastAsia="Times New Roman"/>
          <w:color w:val="1C1E29"/>
          <w:lang w:eastAsia="fr-CH"/>
        </w:rPr>
        <w:t>Data sharing agreement</w:t>
      </w:r>
    </w:p>
    <w:p w14:paraId="7E62E6AE" w14:textId="77777777" w:rsidR="00861E84" w:rsidRPr="005278E3" w:rsidRDefault="00861E84" w:rsidP="00861E84">
      <w:pPr>
        <w:pStyle w:val="ListParagraph"/>
        <w:ind w:left="0"/>
        <w:rPr>
          <w:rFonts w:eastAsia="Times New Roman"/>
          <w:color w:val="1C1E29"/>
          <w:lang w:eastAsia="fr-CH"/>
        </w:rPr>
      </w:pPr>
      <w:r w:rsidRPr="005278E3">
        <w:rPr>
          <w:rFonts w:eastAsia="Times New Roman"/>
          <w:color w:val="1C1E29"/>
          <w:lang w:eastAsia="fr-CH"/>
        </w:rPr>
        <w:t xml:space="preserve">Data sharing Agreements determine how and for which purposes data are held in the relevant services. </w:t>
      </w:r>
      <w:r>
        <w:rPr>
          <w:rFonts w:eastAsia="Times New Roman"/>
          <w:color w:val="1C1E29"/>
          <w:lang w:eastAsia="fr-CH"/>
        </w:rPr>
        <w:t xml:space="preserve">The Agreement should include the following information: </w:t>
      </w:r>
    </w:p>
    <w:p w14:paraId="3338AF5A" w14:textId="77777777" w:rsidR="00861E84" w:rsidRPr="0008505E" w:rsidRDefault="00861E84" w:rsidP="00861E84">
      <w:pPr>
        <w:spacing w:before="0"/>
        <w:rPr>
          <w:rFonts w:eastAsia="Times New Roman"/>
          <w:b/>
          <w:color w:val="1C1E29"/>
          <w:lang w:eastAsia="fr-CH"/>
        </w:rPr>
      </w:pPr>
    </w:p>
    <w:p w14:paraId="20ABD934" w14:textId="77777777" w:rsidR="00861E84" w:rsidRPr="002476E0" w:rsidRDefault="00861E84" w:rsidP="00861E84">
      <w:pPr>
        <w:pStyle w:val="ListParagraph"/>
        <w:numPr>
          <w:ilvl w:val="1"/>
          <w:numId w:val="22"/>
        </w:numPr>
        <w:spacing w:before="0"/>
        <w:ind w:left="432"/>
        <w:rPr>
          <w:rFonts w:eastAsia="Times New Roman"/>
          <w:color w:val="1C1E29"/>
          <w:lang w:eastAsia="fr-CH"/>
        </w:rPr>
      </w:pPr>
      <w:r w:rsidRPr="002476E0">
        <w:rPr>
          <w:rFonts w:eastAsia="Times New Roman"/>
          <w:color w:val="1C1E29"/>
          <w:lang w:eastAsia="fr-CH"/>
        </w:rPr>
        <w:t>Purpose and intended use of data sharing</w:t>
      </w:r>
    </w:p>
    <w:p w14:paraId="7BB85AA2" w14:textId="77777777" w:rsidR="00861E84" w:rsidRPr="002476E0" w:rsidRDefault="00861E84" w:rsidP="00861E84">
      <w:pPr>
        <w:pStyle w:val="ListParagraph"/>
        <w:numPr>
          <w:ilvl w:val="1"/>
          <w:numId w:val="22"/>
        </w:numPr>
        <w:spacing w:before="0"/>
        <w:ind w:left="432"/>
        <w:rPr>
          <w:rFonts w:eastAsia="Times New Roman"/>
          <w:color w:val="1C1E29"/>
          <w:lang w:eastAsia="fr-CH"/>
        </w:rPr>
      </w:pPr>
      <w:r w:rsidRPr="002476E0">
        <w:rPr>
          <w:rFonts w:eastAsia="Times New Roman"/>
          <w:color w:val="1C1E29"/>
          <w:lang w:eastAsia="fr-CH"/>
        </w:rPr>
        <w:t>Period of agreement</w:t>
      </w:r>
    </w:p>
    <w:p w14:paraId="6A79E246" w14:textId="77777777" w:rsidR="00861E84" w:rsidRPr="002476E0" w:rsidRDefault="00861E84" w:rsidP="00861E84">
      <w:pPr>
        <w:pStyle w:val="ListParagraph"/>
        <w:numPr>
          <w:ilvl w:val="1"/>
          <w:numId w:val="22"/>
        </w:numPr>
        <w:spacing w:before="0"/>
        <w:ind w:left="432"/>
        <w:rPr>
          <w:rFonts w:eastAsia="Times New Roman"/>
          <w:color w:val="1C1E29"/>
          <w:lang w:eastAsia="fr-CH"/>
        </w:rPr>
      </w:pPr>
      <w:r w:rsidRPr="002476E0">
        <w:rPr>
          <w:rFonts w:eastAsia="Times New Roman"/>
          <w:color w:val="1C1E29"/>
          <w:lang w:eastAsia="fr-CH"/>
        </w:rPr>
        <w:t>Description of data</w:t>
      </w:r>
    </w:p>
    <w:p w14:paraId="60EA8725" w14:textId="77777777" w:rsidR="00861E84" w:rsidRPr="002476E0" w:rsidRDefault="00861E84" w:rsidP="00861E84">
      <w:pPr>
        <w:pStyle w:val="ListParagraph"/>
        <w:numPr>
          <w:ilvl w:val="1"/>
          <w:numId w:val="22"/>
        </w:numPr>
        <w:spacing w:before="0"/>
        <w:ind w:left="432"/>
        <w:rPr>
          <w:rFonts w:eastAsia="Times New Roman"/>
          <w:color w:val="1C1E29"/>
          <w:lang w:eastAsia="fr-CH"/>
        </w:rPr>
      </w:pPr>
      <w:r w:rsidRPr="002476E0">
        <w:rPr>
          <w:rFonts w:eastAsia="Times New Roman"/>
          <w:color w:val="1C1E29"/>
          <w:lang w:eastAsia="fr-CH"/>
        </w:rPr>
        <w:t>Data update </w:t>
      </w:r>
    </w:p>
    <w:p w14:paraId="204F8FFA" w14:textId="77777777" w:rsidR="00861E84" w:rsidRPr="002476E0" w:rsidRDefault="00861E84" w:rsidP="00861E84">
      <w:pPr>
        <w:pStyle w:val="ListParagraph"/>
        <w:numPr>
          <w:ilvl w:val="1"/>
          <w:numId w:val="23"/>
        </w:numPr>
        <w:spacing w:before="0"/>
        <w:ind w:left="432"/>
        <w:rPr>
          <w:rFonts w:eastAsia="Times New Roman"/>
          <w:color w:val="1C1E29"/>
          <w:lang w:eastAsia="fr-CH"/>
        </w:rPr>
      </w:pPr>
      <w:r w:rsidRPr="002476E0">
        <w:rPr>
          <w:rFonts w:eastAsia="Times New Roman"/>
          <w:color w:val="1C1E29"/>
          <w:lang w:eastAsia="fr-CH"/>
        </w:rPr>
        <w:t>Responsibilities of data providers and data receivers</w:t>
      </w:r>
    </w:p>
    <w:p w14:paraId="27533520" w14:textId="77777777" w:rsidR="00861E84" w:rsidRDefault="00861E84" w:rsidP="00861E84">
      <w:pPr>
        <w:pStyle w:val="ListParagraph"/>
        <w:numPr>
          <w:ilvl w:val="1"/>
          <w:numId w:val="23"/>
        </w:numPr>
        <w:spacing w:before="0"/>
        <w:ind w:left="432"/>
        <w:rPr>
          <w:rFonts w:eastAsia="Times New Roman"/>
          <w:color w:val="1C1E29"/>
          <w:lang w:eastAsia="fr-CH"/>
        </w:rPr>
      </w:pPr>
      <w:r w:rsidRPr="002476E0">
        <w:rPr>
          <w:rFonts w:eastAsia="Times New Roman"/>
          <w:color w:val="1C1E29"/>
          <w:lang w:eastAsia="fr-CH"/>
        </w:rPr>
        <w:t>Results and dissemination of results </w:t>
      </w:r>
      <w:r>
        <w:rPr>
          <w:rFonts w:eastAsia="Times New Roman"/>
          <w:color w:val="1C1E29"/>
          <w:lang w:eastAsia="fr-CH"/>
        </w:rPr>
        <w:t>including IA models</w:t>
      </w:r>
    </w:p>
    <w:p w14:paraId="3E29D528" w14:textId="77777777" w:rsidR="00861E84" w:rsidRPr="002476E0" w:rsidRDefault="00861E84" w:rsidP="00861E84">
      <w:pPr>
        <w:pStyle w:val="ListParagraph"/>
        <w:spacing w:before="0"/>
        <w:ind w:left="792"/>
        <w:rPr>
          <w:rFonts w:eastAsia="Times New Roman"/>
          <w:color w:val="1C1E29"/>
          <w:lang w:eastAsia="fr-CH"/>
        </w:rPr>
      </w:pPr>
    </w:p>
    <w:p w14:paraId="65E332C6" w14:textId="77777777" w:rsidR="00861E84" w:rsidRDefault="00861E84" w:rsidP="00861E84">
      <w:pPr>
        <w:pStyle w:val="ListParagraph"/>
        <w:spacing w:before="0"/>
        <w:ind w:left="360"/>
        <w:rPr>
          <w:rFonts w:eastAsia="Times New Roman"/>
          <w:b/>
          <w:color w:val="1C1E29"/>
          <w:lang w:eastAsia="fr-CH"/>
        </w:rPr>
      </w:pPr>
    </w:p>
    <w:p w14:paraId="581FCE90" w14:textId="77777777" w:rsidR="00861E84" w:rsidRDefault="00861E84" w:rsidP="008D4303">
      <w:pPr>
        <w:pStyle w:val="Heading1"/>
        <w:numPr>
          <w:ilvl w:val="0"/>
          <w:numId w:val="21"/>
        </w:numPr>
        <w:ind w:left="432" w:hanging="432"/>
        <w:jc w:val="both"/>
        <w:rPr>
          <w:rFonts w:eastAsia="Times New Roman"/>
          <w:b w:val="0"/>
          <w:color w:val="1C1E29"/>
          <w:lang w:eastAsia="fr-CH"/>
        </w:rPr>
      </w:pPr>
      <w:r>
        <w:rPr>
          <w:rFonts w:eastAsia="Times New Roman"/>
          <w:color w:val="1C1E29"/>
          <w:lang w:eastAsia="fr-CH"/>
        </w:rPr>
        <w:t>Data Sourcing</w:t>
      </w:r>
    </w:p>
    <w:p w14:paraId="57445516" w14:textId="77777777" w:rsidR="00861E84" w:rsidRPr="00C66D02" w:rsidRDefault="00861E84" w:rsidP="001E72A2">
      <w:pPr>
        <w:pStyle w:val="Heading2"/>
        <w:numPr>
          <w:ilvl w:val="1"/>
          <w:numId w:val="21"/>
        </w:numPr>
        <w:ind w:left="576" w:hanging="576"/>
        <w:jc w:val="both"/>
        <w:rPr>
          <w:b w:val="0"/>
          <w:lang w:eastAsia="fr-CH"/>
        </w:rPr>
      </w:pPr>
      <w:r>
        <w:rPr>
          <w:lang w:eastAsia="fr-CH"/>
        </w:rPr>
        <w:t>Principle</w:t>
      </w:r>
      <w:r w:rsidRPr="00C66D02">
        <w:rPr>
          <w:lang w:eastAsia="fr-CH"/>
        </w:rPr>
        <w:t xml:space="preserve"> </w:t>
      </w:r>
    </w:p>
    <w:p w14:paraId="7381009C" w14:textId="77777777" w:rsidR="00861E84" w:rsidRDefault="00861E84" w:rsidP="00861E84">
      <w:pPr>
        <w:pStyle w:val="ListParagraph"/>
        <w:ind w:left="0"/>
        <w:rPr>
          <w:rFonts w:eastAsia="Times New Roman"/>
          <w:color w:val="1C1E29"/>
          <w:lang w:eastAsia="fr-CH"/>
        </w:rPr>
      </w:pPr>
      <w:r w:rsidRPr="00C66D02">
        <w:rPr>
          <w:rFonts w:eastAsia="Times New Roman"/>
          <w:color w:val="1C1E29"/>
          <w:lang w:eastAsia="fr-CH"/>
        </w:rPr>
        <w:t xml:space="preserve">Data sourcing is aligned with the goal of the AI4Health focus group, an initiative of the International Telecommunications Union (ITU) of the United Nations which is to enable technical </w:t>
      </w:r>
      <w:r w:rsidRPr="00C66D02">
        <w:rPr>
          <w:rFonts w:eastAsia="Times New Roman"/>
          <w:color w:val="1C1E29"/>
          <w:lang w:eastAsia="fr-CH"/>
        </w:rPr>
        <w:lastRenderedPageBreak/>
        <w:t>and regulatory tools for deployment, assessment, and clinical validation of healthcare AI for medicine.  </w:t>
      </w:r>
    </w:p>
    <w:p w14:paraId="370155C9" w14:textId="77777777" w:rsidR="00861E84" w:rsidRPr="00C66D02" w:rsidRDefault="00861E84" w:rsidP="00861E84">
      <w:pPr>
        <w:pStyle w:val="ListParagraph"/>
        <w:ind w:left="0"/>
        <w:rPr>
          <w:color w:val="1C1E29"/>
        </w:rPr>
      </w:pPr>
    </w:p>
    <w:p w14:paraId="4944D643" w14:textId="77777777" w:rsidR="00861E84" w:rsidRDefault="00861E84" w:rsidP="001E72A2">
      <w:pPr>
        <w:pStyle w:val="Heading2"/>
        <w:numPr>
          <w:ilvl w:val="1"/>
          <w:numId w:val="21"/>
        </w:numPr>
        <w:ind w:left="576" w:hanging="576"/>
        <w:jc w:val="both"/>
        <w:rPr>
          <w:lang w:eastAsia="fr-CH"/>
        </w:rPr>
      </w:pPr>
      <w:r w:rsidRPr="00DF267E">
        <w:rPr>
          <w:lang w:eastAsia="fr-CH"/>
        </w:rPr>
        <w:t>Data Access, Quality and Curation</w:t>
      </w:r>
    </w:p>
    <w:p w14:paraId="70DCA4CC" w14:textId="77777777" w:rsidR="00861E84" w:rsidRDefault="00861E84" w:rsidP="00861E84">
      <w:pPr>
        <w:spacing w:before="0"/>
        <w:rPr>
          <w:rFonts w:eastAsia="Times New Roman"/>
          <w:color w:val="1C1E29"/>
          <w:lang w:eastAsia="fr-CH"/>
        </w:rPr>
      </w:pPr>
      <w:r w:rsidRPr="00DF267E">
        <w:rPr>
          <w:rFonts w:eastAsia="Times New Roman"/>
          <w:bCs/>
          <w:color w:val="1C1E29"/>
          <w:lang w:val="en-US" w:eastAsia="fr-CH"/>
        </w:rPr>
        <w:t xml:space="preserve">DAQCORD Indicators: </w:t>
      </w:r>
      <w:r>
        <w:rPr>
          <w:rFonts w:eastAsia="Times New Roman"/>
          <w:bCs/>
          <w:color w:val="1C1E29"/>
          <w:lang w:val="en-US" w:eastAsia="fr-CH"/>
        </w:rPr>
        <w:t xml:space="preserve"> </w:t>
      </w:r>
      <w:r w:rsidRPr="00DF267E">
        <w:rPr>
          <w:rFonts w:eastAsia="Times New Roman"/>
          <w:color w:val="1C1E29"/>
          <w:lang w:eastAsia="fr-CH"/>
        </w:rPr>
        <w:t>descriptive system for planning and reporting observational studies</w:t>
      </w:r>
    </w:p>
    <w:p w14:paraId="5BAB2BDB" w14:textId="77777777" w:rsidR="00861E84" w:rsidRPr="00DF267E" w:rsidRDefault="00861E84" w:rsidP="00861E84">
      <w:pPr>
        <w:spacing w:before="0"/>
        <w:rPr>
          <w:rFonts w:eastAsia="Times New Roman"/>
          <w:color w:val="1C1E29"/>
          <w:lang w:eastAsia="fr-CH"/>
        </w:rPr>
      </w:pPr>
    </w:p>
    <w:p w14:paraId="50BE533D" w14:textId="77777777" w:rsidR="00861E84" w:rsidRDefault="00861E84" w:rsidP="00861E84">
      <w:pPr>
        <w:pStyle w:val="ListParagraph"/>
        <w:ind w:left="792"/>
        <w:rPr>
          <w:rStyle w:val="Hyperlink"/>
          <w:rFonts w:eastAsia="Times New Roman"/>
          <w:b/>
          <w:lang w:eastAsia="fr-CH"/>
        </w:rPr>
      </w:pPr>
      <w:hyperlink r:id="rId14" w:history="1">
        <w:r w:rsidRPr="00DF267E">
          <w:rPr>
            <w:rStyle w:val="Hyperlink"/>
            <w:rFonts w:eastAsia="Times New Roman"/>
            <w:b/>
            <w:lang w:eastAsia="fr-CH"/>
          </w:rPr>
          <w:t>https://www.daqcord.org/daqcord-questions</w:t>
        </w:r>
      </w:hyperlink>
    </w:p>
    <w:p w14:paraId="0CB91410" w14:textId="77777777" w:rsidR="00861E84" w:rsidRPr="00747D4F" w:rsidRDefault="00861E84" w:rsidP="00747D4F">
      <w:pPr>
        <w:rPr>
          <w:rStyle w:val="Hyperlink"/>
          <w:rFonts w:eastAsia="Times New Roman"/>
          <w:b/>
          <w:lang w:eastAsia="fr-CH"/>
        </w:rPr>
      </w:pPr>
    </w:p>
    <w:p w14:paraId="33435785" w14:textId="77777777" w:rsidR="00861E84" w:rsidRDefault="00861E84" w:rsidP="001E72A2">
      <w:pPr>
        <w:pStyle w:val="Heading2"/>
        <w:numPr>
          <w:ilvl w:val="1"/>
          <w:numId w:val="21"/>
        </w:numPr>
        <w:ind w:left="576" w:hanging="576"/>
        <w:jc w:val="both"/>
        <w:rPr>
          <w:rFonts w:eastAsia="Times New Roman"/>
          <w:b w:val="0"/>
          <w:color w:val="1C1E29"/>
          <w:lang w:eastAsia="fr-CH"/>
        </w:rPr>
      </w:pPr>
      <w:r w:rsidRPr="00C73766">
        <w:rPr>
          <w:rFonts w:eastAsia="Times New Roman"/>
          <w:color w:val="1C1E29"/>
          <w:lang w:eastAsia="fr-CH"/>
        </w:rPr>
        <w:t>Data descriptions, Metadata registry and Data harmonisation</w:t>
      </w:r>
    </w:p>
    <w:p w14:paraId="39815B83" w14:textId="77777777" w:rsidR="00861E84" w:rsidRPr="00C73766" w:rsidRDefault="00861E84" w:rsidP="00861E84">
      <w:pPr>
        <w:pStyle w:val="ListParagraph"/>
        <w:spacing w:before="0"/>
        <w:ind w:left="360"/>
        <w:rPr>
          <w:rFonts w:eastAsia="Times New Roman"/>
          <w:b/>
          <w:color w:val="1C1E29"/>
          <w:lang w:eastAsia="fr-CH"/>
        </w:rPr>
      </w:pPr>
    </w:p>
    <w:p w14:paraId="32A09465" w14:textId="77777777" w:rsidR="00861E84" w:rsidRDefault="00861E84" w:rsidP="001E72A2">
      <w:pPr>
        <w:pStyle w:val="Heading2"/>
        <w:numPr>
          <w:ilvl w:val="1"/>
          <w:numId w:val="21"/>
        </w:numPr>
        <w:ind w:left="576" w:hanging="576"/>
        <w:jc w:val="both"/>
        <w:rPr>
          <w:rFonts w:eastAsia="Times New Roman"/>
          <w:b w:val="0"/>
          <w:color w:val="1C1E29"/>
          <w:lang w:eastAsia="fr-CH"/>
        </w:rPr>
      </w:pPr>
      <w:r w:rsidRPr="00C66D02">
        <w:rPr>
          <w:rFonts w:eastAsia="Times New Roman"/>
          <w:color w:val="1C1E29"/>
          <w:lang w:eastAsia="fr-CH"/>
        </w:rPr>
        <w:t xml:space="preserve">Methods for data sharing: Central and public databases </w:t>
      </w:r>
    </w:p>
    <w:p w14:paraId="5569BE6E" w14:textId="77777777" w:rsidR="00861E84" w:rsidRPr="008A165D" w:rsidRDefault="00861E84" w:rsidP="00861E84">
      <w:pPr>
        <w:pStyle w:val="ListParagraph"/>
        <w:rPr>
          <w:rFonts w:eastAsia="Times New Roman"/>
          <w:b/>
          <w:color w:val="1C1E29"/>
          <w:lang w:eastAsia="fr-CH"/>
        </w:rPr>
      </w:pPr>
    </w:p>
    <w:p w14:paraId="54BB76B3" w14:textId="77777777" w:rsidR="00861E84" w:rsidRPr="008A165D" w:rsidRDefault="00861E84" w:rsidP="001E72A2">
      <w:pPr>
        <w:pStyle w:val="Heading2"/>
        <w:numPr>
          <w:ilvl w:val="1"/>
          <w:numId w:val="21"/>
        </w:numPr>
        <w:ind w:left="576" w:hanging="576"/>
        <w:jc w:val="both"/>
        <w:rPr>
          <w:rFonts w:eastAsia="Times New Roman"/>
          <w:b w:val="0"/>
          <w:color w:val="1C1E29"/>
          <w:lang w:eastAsia="fr-CH"/>
        </w:rPr>
      </w:pPr>
      <w:r w:rsidRPr="00C66D02">
        <w:rPr>
          <w:rFonts w:eastAsia="Times New Roman"/>
          <w:color w:val="1C1E29"/>
          <w:lang w:eastAsia="fr-CH"/>
        </w:rPr>
        <w:t xml:space="preserve">Methods for data sharing: </w:t>
      </w:r>
      <w:r w:rsidRPr="008A165D">
        <w:rPr>
          <w:rFonts w:eastAsia="Times New Roman"/>
          <w:color w:val="1C1E29"/>
          <w:lang w:eastAsia="fr-CH"/>
        </w:rPr>
        <w:t xml:space="preserve">Distributed and federated </w:t>
      </w:r>
      <w:r>
        <w:rPr>
          <w:rFonts w:eastAsia="Times New Roman"/>
          <w:color w:val="1C1E29"/>
          <w:lang w:eastAsia="fr-CH"/>
        </w:rPr>
        <w:t>Access</w:t>
      </w:r>
    </w:p>
    <w:p w14:paraId="36C58AB8" w14:textId="77777777" w:rsidR="00861E84" w:rsidRPr="00DF267E" w:rsidRDefault="00861E84" w:rsidP="00861E84">
      <w:pPr>
        <w:pStyle w:val="ListParagraph"/>
        <w:spacing w:before="0"/>
        <w:ind w:left="792"/>
        <w:rPr>
          <w:rFonts w:eastAsia="Times New Roman"/>
          <w:b/>
          <w:color w:val="1C1E29"/>
          <w:lang w:eastAsia="fr-CH"/>
        </w:rPr>
      </w:pPr>
    </w:p>
    <w:p w14:paraId="53677894" w14:textId="77777777" w:rsidR="00861E84" w:rsidRDefault="00861E84" w:rsidP="001E72A2">
      <w:pPr>
        <w:pStyle w:val="Heading2"/>
        <w:numPr>
          <w:ilvl w:val="1"/>
          <w:numId w:val="21"/>
        </w:numPr>
        <w:ind w:left="576" w:hanging="576"/>
        <w:jc w:val="both"/>
        <w:rPr>
          <w:rFonts w:eastAsia="Times New Roman"/>
          <w:b w:val="0"/>
          <w:color w:val="1C1E29"/>
          <w:lang w:eastAsia="fr-CH"/>
        </w:rPr>
      </w:pPr>
      <w:r>
        <w:rPr>
          <w:rFonts w:eastAsia="Times New Roman"/>
          <w:color w:val="1C1E29"/>
          <w:lang w:eastAsia="fr-CH"/>
        </w:rPr>
        <w:t xml:space="preserve">Data </w:t>
      </w:r>
      <w:proofErr w:type="spellStart"/>
      <w:r>
        <w:rPr>
          <w:rFonts w:eastAsia="Times New Roman"/>
          <w:color w:val="1C1E29"/>
          <w:lang w:eastAsia="fr-CH"/>
        </w:rPr>
        <w:t>catalog</w:t>
      </w:r>
      <w:proofErr w:type="spellEnd"/>
    </w:p>
    <w:p w14:paraId="4389A766" w14:textId="77777777" w:rsidR="00861E84" w:rsidRPr="008A165D" w:rsidRDefault="00861E84" w:rsidP="00861E84">
      <w:pPr>
        <w:pStyle w:val="ListParagraph"/>
        <w:ind w:left="0"/>
        <w:rPr>
          <w:rFonts w:eastAsia="Times New Roman"/>
          <w:color w:val="1C1E29"/>
          <w:lang w:eastAsia="fr-CH"/>
        </w:rPr>
      </w:pPr>
      <w:r w:rsidRPr="008A165D">
        <w:rPr>
          <w:rFonts w:eastAsia="Times New Roman"/>
          <w:color w:val="1C1E29"/>
          <w:lang w:eastAsia="fr-CH"/>
        </w:rPr>
        <w:t xml:space="preserve">Use/adapt exiting standards (e.g. </w:t>
      </w:r>
      <w:proofErr w:type="gramStart"/>
      <w:r w:rsidRPr="008A165D">
        <w:rPr>
          <w:rFonts w:eastAsia="Times New Roman"/>
          <w:color w:val="1C1E29"/>
          <w:lang w:eastAsia="fr-CH"/>
        </w:rPr>
        <w:t>FDA,CDISC</w:t>
      </w:r>
      <w:proofErr w:type="gramEnd"/>
      <w:r w:rsidRPr="008A165D">
        <w:rPr>
          <w:rFonts w:eastAsia="Times New Roman"/>
          <w:color w:val="1C1E29"/>
          <w:lang w:eastAsia="fr-CH"/>
        </w:rPr>
        <w:t>)</w:t>
      </w:r>
    </w:p>
    <w:p w14:paraId="12E7C189" w14:textId="77777777" w:rsidR="00861E84" w:rsidRPr="008A165D" w:rsidRDefault="00861E84" w:rsidP="00861E84">
      <w:pPr>
        <w:pStyle w:val="ListParagraph"/>
        <w:ind w:left="0"/>
        <w:rPr>
          <w:rFonts w:eastAsia="Times New Roman"/>
          <w:color w:val="1C1E29"/>
          <w:lang w:eastAsia="fr-CH"/>
        </w:rPr>
      </w:pPr>
      <w:r w:rsidRPr="008A165D">
        <w:rPr>
          <w:rFonts w:eastAsia="Times New Roman"/>
          <w:bCs/>
          <w:color w:val="1C1E29"/>
          <w:lang w:eastAsia="fr-CH"/>
        </w:rPr>
        <w:t xml:space="preserve">Description of a cohort </w:t>
      </w:r>
      <w:r w:rsidRPr="008A165D">
        <w:rPr>
          <w:rFonts w:eastAsia="Times New Roman"/>
          <w:color w:val="1C1E29"/>
          <w:lang w:eastAsia="fr-CH"/>
        </w:rPr>
        <w:t xml:space="preserve">e.g. DCAT vocabulary </w:t>
      </w:r>
    </w:p>
    <w:p w14:paraId="5FF85133" w14:textId="77777777" w:rsidR="00861E84" w:rsidRDefault="00861E84" w:rsidP="00861E84">
      <w:pPr>
        <w:pStyle w:val="ListParagraph"/>
        <w:ind w:left="0"/>
        <w:rPr>
          <w:rFonts w:eastAsia="Times New Roman"/>
          <w:color w:val="1C1E29"/>
          <w:lang w:eastAsia="fr-CH"/>
        </w:rPr>
      </w:pPr>
      <w:r w:rsidRPr="008A165D">
        <w:rPr>
          <w:rFonts w:eastAsia="Times New Roman"/>
          <w:bCs/>
          <w:color w:val="1C1E29"/>
          <w:lang w:eastAsia="fr-CH"/>
        </w:rPr>
        <w:t xml:space="preserve">Description of datasets </w:t>
      </w:r>
      <w:r w:rsidRPr="008A165D">
        <w:rPr>
          <w:rFonts w:eastAsia="Times New Roman"/>
          <w:color w:val="1C1E29"/>
          <w:lang w:eastAsia="fr-CH"/>
        </w:rPr>
        <w:t>e.g. STDM Study Data Tabulation Model</w:t>
      </w:r>
    </w:p>
    <w:p w14:paraId="545006B7" w14:textId="77777777" w:rsidR="00861E84" w:rsidRDefault="00861E84" w:rsidP="00861E84">
      <w:pPr>
        <w:pStyle w:val="ListParagraph"/>
        <w:ind w:left="0"/>
        <w:rPr>
          <w:rFonts w:eastAsia="Times New Roman"/>
          <w:color w:val="1C1E29"/>
          <w:lang w:eastAsia="fr-CH"/>
        </w:rPr>
      </w:pPr>
    </w:p>
    <w:p w14:paraId="1D1E779E" w14:textId="77777777" w:rsidR="00861E84" w:rsidRDefault="00861E84" w:rsidP="00861E84">
      <w:pPr>
        <w:pStyle w:val="ListParagraph"/>
        <w:ind w:left="0"/>
        <w:rPr>
          <w:rFonts w:eastAsia="Times New Roman"/>
          <w:color w:val="1C1E29"/>
          <w:lang w:eastAsia="fr-CH"/>
        </w:rPr>
      </w:pPr>
    </w:p>
    <w:p w14:paraId="34DFB9C6" w14:textId="77777777" w:rsidR="00861E84" w:rsidRPr="008A165D" w:rsidRDefault="00861E84" w:rsidP="00861E84">
      <w:pPr>
        <w:spacing w:before="0"/>
        <w:rPr>
          <w:rFonts w:eastAsia="Times New Roman"/>
          <w:lang w:val="fr-CH" w:eastAsia="fr-CH"/>
        </w:rPr>
      </w:pPr>
      <w:proofErr w:type="spellStart"/>
      <w:r w:rsidRPr="008A165D">
        <w:rPr>
          <w:rFonts w:ascii="Arial" w:eastAsia="Times New Roman" w:hAnsi="Arial" w:cs="Arial"/>
          <w:b/>
          <w:bCs/>
          <w:color w:val="000000"/>
          <w:sz w:val="22"/>
          <w:szCs w:val="22"/>
          <w:lang w:val="fr-CH" w:eastAsia="fr-CH"/>
        </w:rPr>
        <w:t>Step</w:t>
      </w:r>
      <w:proofErr w:type="spellEnd"/>
      <w:r w:rsidRPr="008A165D">
        <w:rPr>
          <w:rFonts w:ascii="Arial" w:eastAsia="Times New Roman" w:hAnsi="Arial" w:cs="Arial"/>
          <w:b/>
          <w:bCs/>
          <w:color w:val="000000"/>
          <w:sz w:val="22"/>
          <w:szCs w:val="22"/>
          <w:lang w:val="fr-CH" w:eastAsia="fr-CH"/>
        </w:rPr>
        <w:t xml:space="preserve"> and </w:t>
      </w:r>
      <w:proofErr w:type="spellStart"/>
      <w:r w:rsidRPr="008A165D">
        <w:rPr>
          <w:rFonts w:ascii="Arial" w:eastAsia="Times New Roman" w:hAnsi="Arial" w:cs="Arial"/>
          <w:b/>
          <w:bCs/>
          <w:color w:val="000000"/>
          <w:sz w:val="22"/>
          <w:szCs w:val="22"/>
          <w:lang w:val="fr-CH" w:eastAsia="fr-CH"/>
        </w:rPr>
        <w:t>Timescale</w:t>
      </w:r>
      <w:proofErr w:type="spellEnd"/>
    </w:p>
    <w:p w14:paraId="05E69E73" w14:textId="77777777" w:rsidR="00861E84" w:rsidRPr="008A165D" w:rsidRDefault="00861E84" w:rsidP="00861E84">
      <w:pPr>
        <w:spacing w:before="0"/>
        <w:rPr>
          <w:rFonts w:eastAsia="Times New Roman"/>
          <w:lang w:val="fr-CH" w:eastAsia="fr-CH"/>
        </w:rPr>
      </w:pPr>
    </w:p>
    <w:tbl>
      <w:tblPr>
        <w:tblW w:w="0" w:type="auto"/>
        <w:tblCellMar>
          <w:top w:w="15" w:type="dxa"/>
          <w:left w:w="15" w:type="dxa"/>
          <w:bottom w:w="15" w:type="dxa"/>
          <w:right w:w="15" w:type="dxa"/>
        </w:tblCellMar>
        <w:tblLook w:val="04A0" w:firstRow="1" w:lastRow="0" w:firstColumn="1" w:lastColumn="0" w:noHBand="0" w:noVBand="1"/>
      </w:tblPr>
      <w:tblGrid>
        <w:gridCol w:w="377"/>
        <w:gridCol w:w="2655"/>
        <w:gridCol w:w="5031"/>
        <w:gridCol w:w="1556"/>
      </w:tblGrid>
      <w:tr w:rsidR="00861E84" w:rsidRPr="008A165D" w14:paraId="434D28A4" w14:textId="77777777" w:rsidTr="00E4574D">
        <w:trPr>
          <w:trHeight w:val="762"/>
        </w:trPr>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7B595A1F" w14:textId="77777777" w:rsidR="00861E84" w:rsidRPr="008A165D" w:rsidRDefault="00861E84" w:rsidP="00E4574D">
            <w:pPr>
              <w:spacing w:before="240" w:after="240"/>
              <w:rPr>
                <w:rFonts w:eastAsia="Times New Roman"/>
                <w:lang w:val="fr-CH" w:eastAsia="fr-CH"/>
              </w:rPr>
            </w:pPr>
            <w:r w:rsidRPr="008A165D">
              <w:rPr>
                <w:rFonts w:ascii="Arial" w:eastAsia="Times New Roman" w:hAnsi="Arial" w:cs="Arial"/>
                <w:color w:val="000000"/>
                <w:sz w:val="22"/>
                <w:szCs w:val="22"/>
                <w:lang w:val="fr-CH" w:eastAsia="fr-CH"/>
              </w:rPr>
              <w:t>Sr No</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2DE347E1" w14:textId="77777777" w:rsidR="00861E84" w:rsidRPr="008A165D" w:rsidRDefault="00861E84" w:rsidP="00E4574D">
            <w:pPr>
              <w:spacing w:before="240" w:after="240"/>
              <w:rPr>
                <w:rFonts w:eastAsia="Times New Roman"/>
                <w:lang w:val="fr-CH" w:eastAsia="fr-CH"/>
              </w:rPr>
            </w:pPr>
            <w:proofErr w:type="spellStart"/>
            <w:r w:rsidRPr="008A165D">
              <w:rPr>
                <w:rFonts w:ascii="Arial" w:eastAsia="Times New Roman" w:hAnsi="Arial" w:cs="Arial"/>
                <w:color w:val="000000"/>
                <w:sz w:val="22"/>
                <w:szCs w:val="22"/>
                <w:lang w:val="fr-CH" w:eastAsia="fr-CH"/>
              </w:rPr>
              <w:t>Tasks</w:t>
            </w:r>
            <w:proofErr w:type="spellEnd"/>
            <w:r w:rsidRPr="008A165D">
              <w:rPr>
                <w:rFonts w:ascii="Arial" w:eastAsia="Times New Roman" w:hAnsi="Arial" w:cs="Arial"/>
                <w:color w:val="000000"/>
                <w:sz w:val="22"/>
                <w:szCs w:val="22"/>
                <w:lang w:val="fr-CH" w:eastAsia="fr-CH"/>
              </w:rPr>
              <w:t xml:space="preserve"> </w:t>
            </w:r>
            <w:proofErr w:type="spellStart"/>
            <w:r w:rsidRPr="008A165D">
              <w:rPr>
                <w:rFonts w:ascii="Arial" w:eastAsia="Times New Roman" w:hAnsi="Arial" w:cs="Arial"/>
                <w:color w:val="000000"/>
                <w:sz w:val="22"/>
                <w:szCs w:val="22"/>
                <w:lang w:val="fr-CH" w:eastAsia="fr-CH"/>
              </w:rPr>
              <w:t>name</w:t>
            </w:r>
            <w:proofErr w:type="spellEnd"/>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03495CE2" w14:textId="77777777" w:rsidR="00861E84" w:rsidRPr="008A165D" w:rsidRDefault="00861E84" w:rsidP="00E4574D">
            <w:pPr>
              <w:spacing w:before="240" w:after="240"/>
              <w:rPr>
                <w:rFonts w:eastAsia="Times New Roman"/>
                <w:lang w:val="fr-CH" w:eastAsia="fr-CH"/>
              </w:rPr>
            </w:pPr>
            <w:r w:rsidRPr="008A165D">
              <w:rPr>
                <w:rFonts w:ascii="Arial" w:eastAsia="Times New Roman" w:hAnsi="Arial" w:cs="Arial"/>
                <w:color w:val="000000"/>
                <w:sz w:val="22"/>
                <w:szCs w:val="22"/>
                <w:lang w:val="fr-CH" w:eastAsia="fr-CH"/>
              </w:rPr>
              <w:t>Description </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307CEAEC" w14:textId="77777777" w:rsidR="00861E84" w:rsidRPr="008A165D" w:rsidRDefault="00861E84" w:rsidP="00E4574D">
            <w:pPr>
              <w:spacing w:before="240" w:after="240"/>
              <w:rPr>
                <w:rFonts w:eastAsia="Times New Roman"/>
                <w:lang w:val="fr-CH" w:eastAsia="fr-CH"/>
              </w:rPr>
            </w:pPr>
            <w:proofErr w:type="spellStart"/>
            <w:r w:rsidRPr="008A165D">
              <w:rPr>
                <w:rFonts w:ascii="Arial" w:eastAsia="Times New Roman" w:hAnsi="Arial" w:cs="Arial"/>
                <w:color w:val="000000"/>
                <w:sz w:val="22"/>
                <w:szCs w:val="22"/>
                <w:lang w:val="fr-CH" w:eastAsia="fr-CH"/>
              </w:rPr>
              <w:t>Status</w:t>
            </w:r>
            <w:proofErr w:type="spellEnd"/>
          </w:p>
        </w:tc>
      </w:tr>
      <w:tr w:rsidR="00861E84" w:rsidRPr="008A165D" w14:paraId="7345AD67" w14:textId="77777777" w:rsidTr="00E4574D">
        <w:trPr>
          <w:trHeight w:val="807"/>
        </w:trPr>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021D024F" w14:textId="77777777" w:rsidR="00861E84" w:rsidRPr="008A165D" w:rsidRDefault="00861E84" w:rsidP="00E4574D">
            <w:pPr>
              <w:spacing w:before="0"/>
              <w:rPr>
                <w:rFonts w:eastAsia="Times New Roman"/>
                <w:lang w:val="fr-CH" w:eastAsia="fr-CH"/>
              </w:rPr>
            </w:pPr>
            <w:r w:rsidRPr="008A165D">
              <w:rPr>
                <w:rFonts w:ascii="Arial" w:eastAsia="Times New Roman" w:hAnsi="Arial" w:cs="Arial"/>
                <w:color w:val="000000"/>
                <w:sz w:val="22"/>
                <w:szCs w:val="22"/>
                <w:lang w:val="fr-CH" w:eastAsia="fr-CH"/>
              </w:rPr>
              <w:t>1</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2DEE454D" w14:textId="77777777" w:rsidR="00861E84" w:rsidRPr="00AD124B" w:rsidRDefault="00861E84" w:rsidP="00E4574D">
            <w:pPr>
              <w:spacing w:before="0"/>
              <w:rPr>
                <w:rFonts w:eastAsia="Times New Roman"/>
                <w:lang w:val="en-US" w:eastAsia="fr-CH"/>
              </w:rPr>
            </w:pPr>
            <w:r w:rsidRPr="00AD124B">
              <w:rPr>
                <w:rFonts w:ascii="Arial" w:eastAsia="Times New Roman" w:hAnsi="Arial" w:cs="Arial"/>
                <w:color w:val="000000"/>
                <w:sz w:val="22"/>
                <w:szCs w:val="22"/>
                <w:lang w:val="en-US" w:eastAsia="fr-CH"/>
              </w:rPr>
              <w:t>Data ingestion pipeline- capturing metadata</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28E56215" w14:textId="77777777" w:rsidR="00861E84" w:rsidRPr="008A165D" w:rsidRDefault="00861E84" w:rsidP="00E4574D">
            <w:pPr>
              <w:spacing w:before="0"/>
              <w:rPr>
                <w:rFonts w:eastAsia="Times New Roman"/>
                <w:lang w:eastAsia="fr-CH"/>
              </w:rPr>
            </w:pPr>
            <w:r w:rsidRPr="008A165D">
              <w:rPr>
                <w:rFonts w:ascii="Arial" w:eastAsia="Times New Roman" w:hAnsi="Arial" w:cs="Arial"/>
                <w:color w:val="000000"/>
                <w:sz w:val="22"/>
                <w:szCs w:val="22"/>
                <w:lang w:eastAsia="fr-CH"/>
              </w:rPr>
              <w:t>The best practices for automating the extraction of metadata from headers or during pre-processing should be defined and presented.</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02F09893" w14:textId="77777777" w:rsidR="00861E84" w:rsidRPr="008A165D" w:rsidRDefault="00861E84" w:rsidP="00E4574D">
            <w:pPr>
              <w:spacing w:before="0"/>
              <w:rPr>
                <w:rFonts w:eastAsia="Times New Roman"/>
                <w:lang w:val="fr-CH" w:eastAsia="fr-CH"/>
              </w:rPr>
            </w:pPr>
            <w:proofErr w:type="spellStart"/>
            <w:r w:rsidRPr="008A165D">
              <w:rPr>
                <w:rFonts w:ascii="Arial" w:eastAsia="Times New Roman" w:hAnsi="Arial" w:cs="Arial"/>
                <w:color w:val="000000"/>
                <w:sz w:val="22"/>
                <w:szCs w:val="22"/>
                <w:lang w:val="fr-CH" w:eastAsia="fr-CH"/>
              </w:rPr>
              <w:t>Ongoing</w:t>
            </w:r>
            <w:proofErr w:type="spellEnd"/>
            <w:r w:rsidRPr="008A165D">
              <w:rPr>
                <w:rFonts w:ascii="Arial" w:eastAsia="Times New Roman" w:hAnsi="Arial" w:cs="Arial"/>
                <w:color w:val="000000"/>
                <w:sz w:val="22"/>
                <w:szCs w:val="22"/>
                <w:lang w:val="fr-CH" w:eastAsia="fr-CH"/>
              </w:rPr>
              <w:t> </w:t>
            </w:r>
          </w:p>
          <w:p w14:paraId="6319E3D1" w14:textId="77777777" w:rsidR="00861E84" w:rsidRPr="008A165D" w:rsidRDefault="00861E84" w:rsidP="00E4574D">
            <w:pPr>
              <w:spacing w:before="0"/>
              <w:rPr>
                <w:rFonts w:eastAsia="Times New Roman"/>
                <w:lang w:val="fr-CH" w:eastAsia="fr-CH"/>
              </w:rPr>
            </w:pPr>
            <w:r w:rsidRPr="008A165D">
              <w:rPr>
                <w:rFonts w:ascii="Arial" w:eastAsia="Times New Roman" w:hAnsi="Arial" w:cs="Arial"/>
                <w:color w:val="000000"/>
                <w:sz w:val="22"/>
                <w:szCs w:val="22"/>
                <w:lang w:val="fr-CH" w:eastAsia="fr-CH"/>
              </w:rPr>
              <w:t>End Date (v1</w:t>
            </w:r>
            <w:proofErr w:type="gramStart"/>
            <w:r w:rsidRPr="008A165D">
              <w:rPr>
                <w:rFonts w:ascii="Arial" w:eastAsia="Times New Roman" w:hAnsi="Arial" w:cs="Arial"/>
                <w:color w:val="000000"/>
                <w:sz w:val="22"/>
                <w:szCs w:val="22"/>
                <w:lang w:val="fr-CH" w:eastAsia="fr-CH"/>
              </w:rPr>
              <w:t>):</w:t>
            </w:r>
            <w:proofErr w:type="gramEnd"/>
            <w:r w:rsidRPr="008A165D">
              <w:rPr>
                <w:rFonts w:ascii="Arial" w:eastAsia="Times New Roman" w:hAnsi="Arial" w:cs="Arial"/>
                <w:color w:val="000000"/>
                <w:sz w:val="22"/>
                <w:szCs w:val="22"/>
                <w:lang w:val="fr-CH" w:eastAsia="fr-CH"/>
              </w:rPr>
              <w:t xml:space="preserve"> 28.04.2021  </w:t>
            </w:r>
          </w:p>
        </w:tc>
      </w:tr>
      <w:tr w:rsidR="00861E84" w:rsidRPr="008A165D" w14:paraId="6078D6F7" w14:textId="77777777" w:rsidTr="00E4574D">
        <w:trPr>
          <w:trHeight w:val="645"/>
        </w:trPr>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531A4F83" w14:textId="77777777" w:rsidR="00861E84" w:rsidRPr="008A165D" w:rsidRDefault="00861E84" w:rsidP="00E4574D">
            <w:pPr>
              <w:spacing w:before="0"/>
              <w:rPr>
                <w:rFonts w:eastAsia="Times New Roman"/>
                <w:lang w:val="fr-CH" w:eastAsia="fr-CH"/>
              </w:rPr>
            </w:pPr>
            <w:r w:rsidRPr="008A165D">
              <w:rPr>
                <w:rFonts w:ascii="Arial" w:eastAsia="Times New Roman" w:hAnsi="Arial" w:cs="Arial"/>
                <w:color w:val="000000"/>
                <w:sz w:val="22"/>
                <w:szCs w:val="22"/>
                <w:lang w:val="fr-CH" w:eastAsia="fr-CH"/>
              </w:rPr>
              <w:t>2</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3369419D" w14:textId="77777777" w:rsidR="00861E84" w:rsidRPr="008A165D" w:rsidRDefault="00861E84" w:rsidP="00E4574D">
            <w:pPr>
              <w:spacing w:before="0"/>
              <w:rPr>
                <w:rFonts w:eastAsia="Times New Roman"/>
                <w:lang w:eastAsia="fr-CH"/>
              </w:rPr>
            </w:pPr>
            <w:r w:rsidRPr="008A165D">
              <w:rPr>
                <w:rFonts w:ascii="Arial" w:eastAsia="Times New Roman" w:hAnsi="Arial" w:cs="Arial"/>
                <w:color w:val="000000"/>
                <w:sz w:val="22"/>
                <w:szCs w:val="22"/>
                <w:lang w:eastAsia="fr-CH"/>
              </w:rPr>
              <w:t>Metadata capture form- develop draft (DS and Clinical input for questionnaire)</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6806E286" w14:textId="77777777" w:rsidR="00861E84" w:rsidRPr="008A165D" w:rsidRDefault="00861E84" w:rsidP="00E4574D">
            <w:pPr>
              <w:spacing w:before="0"/>
              <w:rPr>
                <w:rFonts w:eastAsia="Times New Roman"/>
                <w:lang w:eastAsia="fr-CH"/>
              </w:rPr>
            </w:pPr>
            <w:r w:rsidRPr="008A165D">
              <w:rPr>
                <w:rFonts w:ascii="Arial" w:eastAsia="Times New Roman" w:hAnsi="Arial" w:cs="Arial"/>
                <w:color w:val="000000"/>
                <w:sz w:val="22"/>
                <w:szCs w:val="22"/>
                <w:lang w:eastAsia="fr-CH"/>
              </w:rPr>
              <w:t>Develop a business process to capture the metadata from domain experts (clinicians and data scientists). Collaborate with experts (Topic groups leaders) to establish, improve, and test the metadata workflow. </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6B2D1B40" w14:textId="77777777" w:rsidR="00861E84" w:rsidRPr="008A165D" w:rsidRDefault="00861E84" w:rsidP="00E4574D">
            <w:pPr>
              <w:spacing w:before="0"/>
              <w:rPr>
                <w:rFonts w:eastAsia="Times New Roman"/>
                <w:lang w:val="fr-CH" w:eastAsia="fr-CH"/>
              </w:rPr>
            </w:pPr>
            <w:proofErr w:type="spellStart"/>
            <w:r w:rsidRPr="008A165D">
              <w:rPr>
                <w:rFonts w:ascii="Arial" w:eastAsia="Times New Roman" w:hAnsi="Arial" w:cs="Arial"/>
                <w:color w:val="000000"/>
                <w:sz w:val="22"/>
                <w:szCs w:val="22"/>
                <w:lang w:val="fr-CH" w:eastAsia="fr-CH"/>
              </w:rPr>
              <w:t>Ongoing</w:t>
            </w:r>
            <w:proofErr w:type="spellEnd"/>
            <w:r w:rsidRPr="008A165D">
              <w:rPr>
                <w:rFonts w:ascii="Arial" w:eastAsia="Times New Roman" w:hAnsi="Arial" w:cs="Arial"/>
                <w:color w:val="000000"/>
                <w:sz w:val="22"/>
                <w:szCs w:val="22"/>
                <w:lang w:val="fr-CH" w:eastAsia="fr-CH"/>
              </w:rPr>
              <w:t> </w:t>
            </w:r>
          </w:p>
          <w:p w14:paraId="3C7B47A8" w14:textId="77777777" w:rsidR="00861E84" w:rsidRPr="008A165D" w:rsidRDefault="00861E84" w:rsidP="00E4574D">
            <w:pPr>
              <w:spacing w:before="0"/>
              <w:rPr>
                <w:rFonts w:eastAsia="Times New Roman"/>
                <w:lang w:val="fr-CH" w:eastAsia="fr-CH"/>
              </w:rPr>
            </w:pPr>
            <w:r w:rsidRPr="008A165D">
              <w:rPr>
                <w:rFonts w:ascii="Arial" w:eastAsia="Times New Roman" w:hAnsi="Arial" w:cs="Arial"/>
                <w:color w:val="000000"/>
                <w:sz w:val="22"/>
                <w:szCs w:val="22"/>
                <w:lang w:val="fr-CH" w:eastAsia="fr-CH"/>
              </w:rPr>
              <w:t>End Date (v1</w:t>
            </w:r>
            <w:proofErr w:type="gramStart"/>
            <w:r w:rsidRPr="008A165D">
              <w:rPr>
                <w:rFonts w:ascii="Arial" w:eastAsia="Times New Roman" w:hAnsi="Arial" w:cs="Arial"/>
                <w:color w:val="000000"/>
                <w:sz w:val="22"/>
                <w:szCs w:val="22"/>
                <w:lang w:val="fr-CH" w:eastAsia="fr-CH"/>
              </w:rPr>
              <w:t>):</w:t>
            </w:r>
            <w:proofErr w:type="gramEnd"/>
            <w:r w:rsidRPr="008A165D">
              <w:rPr>
                <w:rFonts w:ascii="Arial" w:eastAsia="Times New Roman" w:hAnsi="Arial" w:cs="Arial"/>
                <w:color w:val="000000"/>
                <w:sz w:val="22"/>
                <w:szCs w:val="22"/>
                <w:lang w:val="fr-CH" w:eastAsia="fr-CH"/>
              </w:rPr>
              <w:t xml:space="preserve"> 28.04.2021</w:t>
            </w:r>
          </w:p>
        </w:tc>
      </w:tr>
      <w:tr w:rsidR="00861E84" w:rsidRPr="008A165D" w14:paraId="33F539D3" w14:textId="77777777" w:rsidTr="00E4574D">
        <w:trPr>
          <w:trHeight w:val="345"/>
        </w:trPr>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16DBA0E4" w14:textId="77777777" w:rsidR="00861E84" w:rsidRPr="008A165D" w:rsidRDefault="00861E84" w:rsidP="00E4574D">
            <w:pPr>
              <w:spacing w:before="0"/>
              <w:rPr>
                <w:rFonts w:eastAsia="Times New Roman"/>
                <w:lang w:val="fr-CH" w:eastAsia="fr-CH"/>
              </w:rPr>
            </w:pPr>
            <w:r w:rsidRPr="008A165D">
              <w:rPr>
                <w:rFonts w:ascii="Arial" w:eastAsia="Times New Roman" w:hAnsi="Arial" w:cs="Arial"/>
                <w:color w:val="000000"/>
                <w:sz w:val="22"/>
                <w:szCs w:val="22"/>
                <w:lang w:val="fr-CH" w:eastAsia="fr-CH"/>
              </w:rPr>
              <w:t>3</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02B81888" w14:textId="77777777" w:rsidR="00861E84" w:rsidRPr="008A165D" w:rsidRDefault="00861E84" w:rsidP="00E4574D">
            <w:pPr>
              <w:spacing w:before="0"/>
              <w:rPr>
                <w:rFonts w:eastAsia="Times New Roman"/>
                <w:lang w:val="it-IT" w:eastAsia="fr-CH"/>
              </w:rPr>
            </w:pPr>
            <w:r w:rsidRPr="008A165D">
              <w:rPr>
                <w:rFonts w:ascii="Arial" w:eastAsia="Times New Roman" w:hAnsi="Arial" w:cs="Arial"/>
                <w:color w:val="000000"/>
                <w:sz w:val="22"/>
                <w:szCs w:val="22"/>
                <w:lang w:val="it-IT" w:eastAsia="fr-CH"/>
              </w:rPr>
              <w:t>Metadata capture form- DI pipeline</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6B91DABE" w14:textId="77777777" w:rsidR="00861E84" w:rsidRPr="008A165D" w:rsidRDefault="00861E84" w:rsidP="00E4574D">
            <w:pPr>
              <w:spacing w:before="0"/>
              <w:rPr>
                <w:rFonts w:eastAsia="Times New Roman"/>
                <w:lang w:eastAsia="fr-CH"/>
              </w:rPr>
            </w:pPr>
            <w:r w:rsidRPr="008A165D">
              <w:rPr>
                <w:rFonts w:ascii="Arial" w:eastAsia="Times New Roman" w:hAnsi="Arial" w:cs="Arial"/>
                <w:color w:val="000000"/>
                <w:sz w:val="22"/>
                <w:szCs w:val="22"/>
                <w:lang w:eastAsia="fr-CH"/>
              </w:rPr>
              <w:t>We will demonstrate what is required to complete step 1 (Data Ingestion) pipeline- capturing metadata) and apply this approach to an exemplary dataset. </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558193D9" w14:textId="77777777" w:rsidR="00861E84" w:rsidRPr="008A165D" w:rsidRDefault="00861E84" w:rsidP="00E4574D">
            <w:pPr>
              <w:spacing w:before="0"/>
              <w:rPr>
                <w:rFonts w:eastAsia="Times New Roman"/>
                <w:lang w:val="fr-CH" w:eastAsia="fr-CH"/>
              </w:rPr>
            </w:pPr>
            <w:proofErr w:type="spellStart"/>
            <w:r w:rsidRPr="008A165D">
              <w:rPr>
                <w:rFonts w:ascii="Arial" w:eastAsia="Times New Roman" w:hAnsi="Arial" w:cs="Arial"/>
                <w:color w:val="000000"/>
                <w:sz w:val="22"/>
                <w:szCs w:val="22"/>
                <w:lang w:val="fr-CH" w:eastAsia="fr-CH"/>
              </w:rPr>
              <w:t>Ongoing</w:t>
            </w:r>
            <w:proofErr w:type="spellEnd"/>
            <w:r w:rsidRPr="008A165D">
              <w:rPr>
                <w:rFonts w:ascii="Arial" w:eastAsia="Times New Roman" w:hAnsi="Arial" w:cs="Arial"/>
                <w:color w:val="000000"/>
                <w:sz w:val="22"/>
                <w:szCs w:val="22"/>
                <w:lang w:val="fr-CH" w:eastAsia="fr-CH"/>
              </w:rPr>
              <w:t> </w:t>
            </w:r>
          </w:p>
          <w:p w14:paraId="6711E118" w14:textId="77777777" w:rsidR="00861E84" w:rsidRPr="008A165D" w:rsidRDefault="00861E84" w:rsidP="00E4574D">
            <w:pPr>
              <w:spacing w:before="0"/>
              <w:rPr>
                <w:rFonts w:eastAsia="Times New Roman"/>
                <w:lang w:val="fr-CH" w:eastAsia="fr-CH"/>
              </w:rPr>
            </w:pPr>
            <w:r w:rsidRPr="008A165D">
              <w:rPr>
                <w:rFonts w:ascii="Arial" w:eastAsia="Times New Roman" w:hAnsi="Arial" w:cs="Arial"/>
                <w:color w:val="000000"/>
                <w:sz w:val="22"/>
                <w:szCs w:val="22"/>
                <w:lang w:val="fr-CH" w:eastAsia="fr-CH"/>
              </w:rPr>
              <w:t>End Date (v1</w:t>
            </w:r>
            <w:proofErr w:type="gramStart"/>
            <w:r w:rsidRPr="008A165D">
              <w:rPr>
                <w:rFonts w:ascii="Arial" w:eastAsia="Times New Roman" w:hAnsi="Arial" w:cs="Arial"/>
                <w:color w:val="000000"/>
                <w:sz w:val="22"/>
                <w:szCs w:val="22"/>
                <w:lang w:val="fr-CH" w:eastAsia="fr-CH"/>
              </w:rPr>
              <w:t>):</w:t>
            </w:r>
            <w:proofErr w:type="gramEnd"/>
            <w:r w:rsidRPr="008A165D">
              <w:rPr>
                <w:rFonts w:ascii="Arial" w:eastAsia="Times New Roman" w:hAnsi="Arial" w:cs="Arial"/>
                <w:color w:val="000000"/>
                <w:sz w:val="22"/>
                <w:szCs w:val="22"/>
                <w:lang w:val="fr-CH" w:eastAsia="fr-CH"/>
              </w:rPr>
              <w:t xml:space="preserve"> 05.05.2021</w:t>
            </w:r>
          </w:p>
        </w:tc>
      </w:tr>
      <w:tr w:rsidR="00861E84" w:rsidRPr="008A165D" w14:paraId="6B151C42" w14:textId="77777777" w:rsidTr="00E4574D">
        <w:trPr>
          <w:trHeight w:val="345"/>
        </w:trPr>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61B820E7" w14:textId="77777777" w:rsidR="00861E84" w:rsidRPr="008A165D" w:rsidRDefault="00861E84" w:rsidP="00E4574D">
            <w:pPr>
              <w:spacing w:before="0"/>
              <w:rPr>
                <w:rFonts w:eastAsia="Times New Roman"/>
                <w:lang w:val="fr-CH" w:eastAsia="fr-CH"/>
              </w:rPr>
            </w:pPr>
            <w:r w:rsidRPr="008A165D">
              <w:rPr>
                <w:rFonts w:ascii="Arial" w:eastAsia="Times New Roman" w:hAnsi="Arial" w:cs="Arial"/>
                <w:color w:val="000000"/>
                <w:sz w:val="22"/>
                <w:szCs w:val="22"/>
                <w:lang w:val="fr-CH" w:eastAsia="fr-CH"/>
              </w:rPr>
              <w:t>4</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6FD3222B" w14:textId="77777777" w:rsidR="00861E84" w:rsidRPr="008A165D" w:rsidRDefault="00861E84" w:rsidP="00E4574D">
            <w:pPr>
              <w:spacing w:before="0"/>
              <w:rPr>
                <w:rFonts w:eastAsia="Times New Roman"/>
                <w:lang w:eastAsia="fr-CH"/>
              </w:rPr>
            </w:pPr>
            <w:r w:rsidRPr="008A165D">
              <w:rPr>
                <w:rFonts w:ascii="Arial" w:eastAsia="Times New Roman" w:hAnsi="Arial" w:cs="Arial"/>
                <w:color w:val="000000"/>
                <w:sz w:val="22"/>
                <w:szCs w:val="22"/>
                <w:lang w:eastAsia="fr-CH"/>
              </w:rPr>
              <w:t>Identify public datasets-10 (include imaging data, vitals, etc)</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11D2CD2D" w14:textId="77777777" w:rsidR="00861E84" w:rsidRPr="008A165D" w:rsidRDefault="00861E84" w:rsidP="00E4574D">
            <w:pPr>
              <w:spacing w:before="240" w:after="240"/>
              <w:rPr>
                <w:rFonts w:eastAsia="Times New Roman"/>
                <w:lang w:eastAsia="fr-CH"/>
              </w:rPr>
            </w:pPr>
            <w:r w:rsidRPr="008A165D">
              <w:rPr>
                <w:rFonts w:ascii="Arial" w:eastAsia="Times New Roman" w:hAnsi="Arial" w:cs="Arial"/>
                <w:color w:val="000000"/>
                <w:sz w:val="22"/>
                <w:szCs w:val="22"/>
                <w:lang w:eastAsia="fr-CH"/>
              </w:rPr>
              <w:t>Select ten examples that should reflect the diversity of sizes, application domains, and other aspects of public datasets. </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5F15ED12" w14:textId="77777777" w:rsidR="00861E84" w:rsidRPr="008A165D" w:rsidRDefault="00861E84" w:rsidP="00E4574D">
            <w:pPr>
              <w:spacing w:before="0"/>
              <w:rPr>
                <w:rFonts w:eastAsia="Times New Roman"/>
                <w:lang w:val="fr-CH" w:eastAsia="fr-CH"/>
              </w:rPr>
            </w:pPr>
            <w:proofErr w:type="spellStart"/>
            <w:r w:rsidRPr="008A165D">
              <w:rPr>
                <w:rFonts w:ascii="Arial" w:eastAsia="Times New Roman" w:hAnsi="Arial" w:cs="Arial"/>
                <w:color w:val="000000"/>
                <w:sz w:val="22"/>
                <w:szCs w:val="22"/>
                <w:lang w:val="fr-CH" w:eastAsia="fr-CH"/>
              </w:rPr>
              <w:t>Ongoing</w:t>
            </w:r>
            <w:proofErr w:type="spellEnd"/>
            <w:r w:rsidRPr="008A165D">
              <w:rPr>
                <w:rFonts w:ascii="Arial" w:eastAsia="Times New Roman" w:hAnsi="Arial" w:cs="Arial"/>
                <w:color w:val="000000"/>
                <w:sz w:val="22"/>
                <w:szCs w:val="22"/>
                <w:lang w:val="fr-CH" w:eastAsia="fr-CH"/>
              </w:rPr>
              <w:t> </w:t>
            </w:r>
          </w:p>
          <w:p w14:paraId="6734AE71" w14:textId="77777777" w:rsidR="00861E84" w:rsidRPr="008A165D" w:rsidRDefault="00861E84" w:rsidP="00E4574D">
            <w:pPr>
              <w:spacing w:before="0"/>
              <w:rPr>
                <w:rFonts w:eastAsia="Times New Roman"/>
                <w:lang w:val="fr-CH" w:eastAsia="fr-CH"/>
              </w:rPr>
            </w:pPr>
            <w:r w:rsidRPr="008A165D">
              <w:rPr>
                <w:rFonts w:ascii="Arial" w:eastAsia="Times New Roman" w:hAnsi="Arial" w:cs="Arial"/>
                <w:color w:val="000000"/>
                <w:sz w:val="22"/>
                <w:szCs w:val="22"/>
                <w:lang w:val="fr-CH" w:eastAsia="fr-CH"/>
              </w:rPr>
              <w:t>End Date (v1</w:t>
            </w:r>
            <w:proofErr w:type="gramStart"/>
            <w:r w:rsidRPr="008A165D">
              <w:rPr>
                <w:rFonts w:ascii="Arial" w:eastAsia="Times New Roman" w:hAnsi="Arial" w:cs="Arial"/>
                <w:color w:val="000000"/>
                <w:sz w:val="22"/>
                <w:szCs w:val="22"/>
                <w:lang w:val="fr-CH" w:eastAsia="fr-CH"/>
              </w:rPr>
              <w:t>):</w:t>
            </w:r>
            <w:proofErr w:type="gramEnd"/>
            <w:r w:rsidRPr="008A165D">
              <w:rPr>
                <w:rFonts w:ascii="Arial" w:eastAsia="Times New Roman" w:hAnsi="Arial" w:cs="Arial"/>
                <w:color w:val="000000"/>
                <w:sz w:val="22"/>
                <w:szCs w:val="22"/>
                <w:lang w:val="fr-CH" w:eastAsia="fr-CH"/>
              </w:rPr>
              <w:t xml:space="preserve"> 28.04.2021</w:t>
            </w:r>
          </w:p>
        </w:tc>
      </w:tr>
      <w:tr w:rsidR="00861E84" w:rsidRPr="008A165D" w14:paraId="517517CC" w14:textId="77777777" w:rsidTr="00E4574D">
        <w:trPr>
          <w:trHeight w:val="345"/>
        </w:trPr>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23EA0FCE" w14:textId="77777777" w:rsidR="00861E84" w:rsidRPr="008A165D" w:rsidRDefault="00861E84" w:rsidP="00E4574D">
            <w:pPr>
              <w:spacing w:before="0"/>
              <w:rPr>
                <w:rFonts w:eastAsia="Times New Roman"/>
                <w:lang w:val="fr-CH" w:eastAsia="fr-CH"/>
              </w:rPr>
            </w:pPr>
            <w:r w:rsidRPr="008A165D">
              <w:rPr>
                <w:rFonts w:ascii="Arial" w:eastAsia="Times New Roman" w:hAnsi="Arial" w:cs="Arial"/>
                <w:color w:val="000000"/>
                <w:sz w:val="22"/>
                <w:szCs w:val="22"/>
                <w:lang w:val="fr-CH" w:eastAsia="fr-CH"/>
              </w:rPr>
              <w:t>5</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656D272D" w14:textId="77777777" w:rsidR="00861E84" w:rsidRPr="00AD124B" w:rsidRDefault="00861E84" w:rsidP="00E4574D">
            <w:pPr>
              <w:spacing w:before="0"/>
              <w:rPr>
                <w:rFonts w:eastAsia="Times New Roman"/>
                <w:lang w:val="en-US" w:eastAsia="fr-CH"/>
              </w:rPr>
            </w:pPr>
            <w:r w:rsidRPr="00AD124B">
              <w:rPr>
                <w:rFonts w:ascii="Arial" w:eastAsia="Times New Roman" w:hAnsi="Arial" w:cs="Arial"/>
                <w:color w:val="000000"/>
                <w:sz w:val="22"/>
                <w:szCs w:val="22"/>
                <w:lang w:val="en-US" w:eastAsia="fr-CH"/>
              </w:rPr>
              <w:t>Structure Metadata for public datasets</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2784E548" w14:textId="77777777" w:rsidR="00861E84" w:rsidRPr="008A165D" w:rsidRDefault="00861E84" w:rsidP="00E4574D">
            <w:pPr>
              <w:spacing w:before="240" w:after="240"/>
              <w:rPr>
                <w:rFonts w:eastAsia="Times New Roman"/>
                <w:lang w:eastAsia="fr-CH"/>
              </w:rPr>
            </w:pPr>
            <w:r w:rsidRPr="008A165D">
              <w:rPr>
                <w:rFonts w:ascii="Arial" w:eastAsia="Times New Roman" w:hAnsi="Arial" w:cs="Arial"/>
                <w:color w:val="000000"/>
                <w:sz w:val="22"/>
                <w:szCs w:val="22"/>
                <w:lang w:eastAsia="fr-CH"/>
              </w:rPr>
              <w:t>We will demonstrate what is required to complete step 2-3 and apply this approach to the selected datasets. </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305CBF44" w14:textId="77777777" w:rsidR="00861E84" w:rsidRPr="008A165D" w:rsidRDefault="00861E84" w:rsidP="00E4574D">
            <w:pPr>
              <w:spacing w:before="0"/>
              <w:rPr>
                <w:rFonts w:eastAsia="Times New Roman"/>
                <w:lang w:val="fr-CH" w:eastAsia="fr-CH"/>
              </w:rPr>
            </w:pPr>
            <w:proofErr w:type="spellStart"/>
            <w:r w:rsidRPr="008A165D">
              <w:rPr>
                <w:rFonts w:ascii="Arial" w:eastAsia="Times New Roman" w:hAnsi="Arial" w:cs="Arial"/>
                <w:color w:val="000000"/>
                <w:sz w:val="22"/>
                <w:szCs w:val="22"/>
                <w:lang w:val="fr-CH" w:eastAsia="fr-CH"/>
              </w:rPr>
              <w:t>Ongoing</w:t>
            </w:r>
            <w:proofErr w:type="spellEnd"/>
            <w:r w:rsidRPr="008A165D">
              <w:rPr>
                <w:rFonts w:ascii="Arial" w:eastAsia="Times New Roman" w:hAnsi="Arial" w:cs="Arial"/>
                <w:color w:val="000000"/>
                <w:sz w:val="22"/>
                <w:szCs w:val="22"/>
                <w:lang w:val="fr-CH" w:eastAsia="fr-CH"/>
              </w:rPr>
              <w:t> </w:t>
            </w:r>
          </w:p>
          <w:p w14:paraId="712271CF" w14:textId="77777777" w:rsidR="00861E84" w:rsidRPr="008A165D" w:rsidRDefault="00861E84" w:rsidP="00E4574D">
            <w:pPr>
              <w:spacing w:before="0"/>
              <w:rPr>
                <w:rFonts w:eastAsia="Times New Roman"/>
                <w:lang w:val="fr-CH" w:eastAsia="fr-CH"/>
              </w:rPr>
            </w:pPr>
            <w:r w:rsidRPr="008A165D">
              <w:rPr>
                <w:rFonts w:ascii="Arial" w:eastAsia="Times New Roman" w:hAnsi="Arial" w:cs="Arial"/>
                <w:color w:val="000000"/>
                <w:sz w:val="22"/>
                <w:szCs w:val="22"/>
                <w:lang w:val="fr-CH" w:eastAsia="fr-CH"/>
              </w:rPr>
              <w:t>End Date (v1</w:t>
            </w:r>
            <w:proofErr w:type="gramStart"/>
            <w:r w:rsidRPr="008A165D">
              <w:rPr>
                <w:rFonts w:ascii="Arial" w:eastAsia="Times New Roman" w:hAnsi="Arial" w:cs="Arial"/>
                <w:color w:val="000000"/>
                <w:sz w:val="22"/>
                <w:szCs w:val="22"/>
                <w:lang w:val="fr-CH" w:eastAsia="fr-CH"/>
              </w:rPr>
              <w:t>):</w:t>
            </w:r>
            <w:proofErr w:type="gramEnd"/>
            <w:r w:rsidRPr="008A165D">
              <w:rPr>
                <w:rFonts w:ascii="Arial" w:eastAsia="Times New Roman" w:hAnsi="Arial" w:cs="Arial"/>
                <w:color w:val="000000"/>
                <w:sz w:val="22"/>
                <w:szCs w:val="22"/>
                <w:lang w:val="fr-CH" w:eastAsia="fr-CH"/>
              </w:rPr>
              <w:t xml:space="preserve"> 15.05.2021</w:t>
            </w:r>
          </w:p>
        </w:tc>
      </w:tr>
      <w:tr w:rsidR="00861E84" w:rsidRPr="008A165D" w14:paraId="4CAA2ADD" w14:textId="77777777" w:rsidTr="00E4574D">
        <w:trPr>
          <w:trHeight w:val="345"/>
        </w:trPr>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141EC1DB" w14:textId="77777777" w:rsidR="00861E84" w:rsidRPr="008A165D" w:rsidRDefault="00861E84" w:rsidP="00E4574D">
            <w:pPr>
              <w:spacing w:before="0"/>
              <w:rPr>
                <w:rFonts w:eastAsia="Times New Roman"/>
                <w:lang w:val="fr-CH" w:eastAsia="fr-CH"/>
              </w:rPr>
            </w:pPr>
            <w:r w:rsidRPr="008A165D">
              <w:rPr>
                <w:rFonts w:ascii="Arial" w:eastAsia="Times New Roman" w:hAnsi="Arial" w:cs="Arial"/>
                <w:color w:val="000000"/>
                <w:sz w:val="22"/>
                <w:szCs w:val="22"/>
                <w:lang w:val="fr-CH" w:eastAsia="fr-CH"/>
              </w:rPr>
              <w:lastRenderedPageBreak/>
              <w:t>6</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7AFFB2BD" w14:textId="77777777" w:rsidR="00861E84" w:rsidRPr="008A165D" w:rsidRDefault="00861E84" w:rsidP="00E4574D">
            <w:pPr>
              <w:spacing w:before="0"/>
              <w:rPr>
                <w:rFonts w:eastAsia="Times New Roman"/>
                <w:lang w:eastAsia="fr-CH"/>
              </w:rPr>
            </w:pPr>
            <w:r w:rsidRPr="008A165D">
              <w:rPr>
                <w:rFonts w:ascii="Arial" w:eastAsia="Times New Roman" w:hAnsi="Arial" w:cs="Arial"/>
                <w:color w:val="000000"/>
                <w:sz w:val="22"/>
                <w:szCs w:val="22"/>
                <w:lang w:eastAsia="fr-CH"/>
              </w:rPr>
              <w:t>Ingest Data with associated metadata</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3E79081A" w14:textId="77777777" w:rsidR="00861E84" w:rsidRPr="008A165D" w:rsidRDefault="00861E84" w:rsidP="00E4574D">
            <w:pPr>
              <w:spacing w:before="240" w:after="240"/>
              <w:rPr>
                <w:rFonts w:eastAsia="Times New Roman"/>
                <w:lang w:val="fr-CH" w:eastAsia="fr-CH"/>
              </w:rPr>
            </w:pPr>
            <w:r w:rsidRPr="008A165D">
              <w:rPr>
                <w:rFonts w:ascii="Arial" w:eastAsia="Times New Roman" w:hAnsi="Arial" w:cs="Arial"/>
                <w:color w:val="000000"/>
                <w:sz w:val="22"/>
                <w:szCs w:val="22"/>
                <w:lang w:val="fr-CH" w:eastAsia="fr-CH"/>
              </w:rPr>
              <w:t>TBD</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4438A8A2" w14:textId="77777777" w:rsidR="00861E84" w:rsidRPr="008A165D" w:rsidRDefault="00861E84" w:rsidP="00E4574D">
            <w:pPr>
              <w:spacing w:before="0"/>
              <w:rPr>
                <w:rFonts w:eastAsia="Times New Roman"/>
                <w:lang w:val="fr-CH" w:eastAsia="fr-CH"/>
              </w:rPr>
            </w:pPr>
          </w:p>
        </w:tc>
      </w:tr>
      <w:tr w:rsidR="00861E84" w:rsidRPr="008A165D" w14:paraId="19AC111A" w14:textId="77777777" w:rsidTr="00E4574D">
        <w:trPr>
          <w:trHeight w:val="345"/>
        </w:trPr>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373B3C39" w14:textId="77777777" w:rsidR="00861E84" w:rsidRPr="008A165D" w:rsidRDefault="00861E84" w:rsidP="00E4574D">
            <w:pPr>
              <w:spacing w:before="0"/>
              <w:rPr>
                <w:rFonts w:eastAsia="Times New Roman"/>
                <w:lang w:val="fr-CH" w:eastAsia="fr-CH"/>
              </w:rPr>
            </w:pPr>
            <w:r w:rsidRPr="008A165D">
              <w:rPr>
                <w:rFonts w:ascii="Arial" w:eastAsia="Times New Roman" w:hAnsi="Arial" w:cs="Arial"/>
                <w:color w:val="000000"/>
                <w:sz w:val="22"/>
                <w:szCs w:val="22"/>
                <w:lang w:val="fr-CH" w:eastAsia="fr-CH"/>
              </w:rPr>
              <w:t>7</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76822BAC" w14:textId="77777777" w:rsidR="00861E84" w:rsidRPr="008A165D" w:rsidRDefault="00861E84" w:rsidP="00E4574D">
            <w:pPr>
              <w:spacing w:before="0"/>
              <w:rPr>
                <w:rFonts w:eastAsia="Times New Roman"/>
                <w:lang w:eastAsia="fr-CH"/>
              </w:rPr>
            </w:pPr>
            <w:r w:rsidRPr="008A165D">
              <w:rPr>
                <w:rFonts w:ascii="Arial" w:eastAsia="Times New Roman" w:hAnsi="Arial" w:cs="Arial"/>
                <w:color w:val="000000"/>
                <w:sz w:val="22"/>
                <w:szCs w:val="22"/>
                <w:lang w:eastAsia="fr-CH"/>
              </w:rPr>
              <w:t>Test ingestion of some metadata as part of data ingestion</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7AD264EF" w14:textId="77777777" w:rsidR="00861E84" w:rsidRPr="008A165D" w:rsidRDefault="00861E84" w:rsidP="00E4574D">
            <w:pPr>
              <w:spacing w:before="240" w:after="240"/>
              <w:rPr>
                <w:rFonts w:eastAsia="Times New Roman"/>
                <w:lang w:val="fr-CH" w:eastAsia="fr-CH"/>
              </w:rPr>
            </w:pPr>
            <w:r w:rsidRPr="008A165D">
              <w:rPr>
                <w:rFonts w:ascii="Arial" w:eastAsia="Times New Roman" w:hAnsi="Arial" w:cs="Arial"/>
                <w:color w:val="000000"/>
                <w:sz w:val="22"/>
                <w:szCs w:val="22"/>
                <w:lang w:val="fr-CH" w:eastAsia="fr-CH"/>
              </w:rPr>
              <w:t>TBD</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747723FA" w14:textId="77777777" w:rsidR="00861E84" w:rsidRPr="008A165D" w:rsidRDefault="00861E84" w:rsidP="00E4574D">
            <w:pPr>
              <w:spacing w:before="0"/>
              <w:rPr>
                <w:rFonts w:eastAsia="Times New Roman"/>
                <w:lang w:val="fr-CH" w:eastAsia="fr-CH"/>
              </w:rPr>
            </w:pPr>
          </w:p>
        </w:tc>
      </w:tr>
      <w:tr w:rsidR="00861E84" w:rsidRPr="008A165D" w14:paraId="3E12EE0B" w14:textId="77777777" w:rsidTr="00E4574D">
        <w:trPr>
          <w:trHeight w:val="345"/>
        </w:trPr>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7918DFD8" w14:textId="77777777" w:rsidR="00861E84" w:rsidRPr="008A165D" w:rsidRDefault="00861E84" w:rsidP="00E4574D">
            <w:pPr>
              <w:spacing w:before="0"/>
              <w:rPr>
                <w:rFonts w:eastAsia="Times New Roman"/>
                <w:lang w:val="fr-CH" w:eastAsia="fr-CH"/>
              </w:rPr>
            </w:pPr>
            <w:r w:rsidRPr="008A165D">
              <w:rPr>
                <w:rFonts w:ascii="Arial" w:eastAsia="Times New Roman" w:hAnsi="Arial" w:cs="Arial"/>
                <w:color w:val="000000"/>
                <w:sz w:val="22"/>
                <w:szCs w:val="22"/>
                <w:lang w:val="fr-CH" w:eastAsia="fr-CH"/>
              </w:rPr>
              <w:t>8</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4A5053A9" w14:textId="77777777" w:rsidR="00861E84" w:rsidRPr="008A165D" w:rsidRDefault="00861E84" w:rsidP="00E4574D">
            <w:pPr>
              <w:spacing w:before="0"/>
              <w:rPr>
                <w:rFonts w:eastAsia="Times New Roman"/>
                <w:lang w:val="fr-CH" w:eastAsia="fr-CH"/>
              </w:rPr>
            </w:pPr>
            <w:r w:rsidRPr="008A165D">
              <w:rPr>
                <w:rFonts w:ascii="Arial" w:eastAsia="Times New Roman" w:hAnsi="Arial" w:cs="Arial"/>
                <w:color w:val="000000"/>
                <w:sz w:val="22"/>
                <w:szCs w:val="22"/>
                <w:lang w:val="fr-CH" w:eastAsia="fr-CH"/>
              </w:rPr>
              <w:t xml:space="preserve">Fill </w:t>
            </w:r>
            <w:proofErr w:type="spellStart"/>
            <w:r w:rsidRPr="008A165D">
              <w:rPr>
                <w:rFonts w:ascii="Arial" w:eastAsia="Times New Roman" w:hAnsi="Arial" w:cs="Arial"/>
                <w:color w:val="000000"/>
                <w:sz w:val="22"/>
                <w:szCs w:val="22"/>
                <w:lang w:val="fr-CH" w:eastAsia="fr-CH"/>
              </w:rPr>
              <w:t>associated</w:t>
            </w:r>
            <w:proofErr w:type="spellEnd"/>
            <w:r w:rsidRPr="008A165D">
              <w:rPr>
                <w:rFonts w:ascii="Arial" w:eastAsia="Times New Roman" w:hAnsi="Arial" w:cs="Arial"/>
                <w:color w:val="000000"/>
                <w:sz w:val="22"/>
                <w:szCs w:val="22"/>
                <w:lang w:val="fr-CH" w:eastAsia="fr-CH"/>
              </w:rPr>
              <w:t xml:space="preserve"> </w:t>
            </w:r>
            <w:proofErr w:type="spellStart"/>
            <w:r w:rsidRPr="008A165D">
              <w:rPr>
                <w:rFonts w:ascii="Arial" w:eastAsia="Times New Roman" w:hAnsi="Arial" w:cs="Arial"/>
                <w:color w:val="000000"/>
                <w:sz w:val="22"/>
                <w:szCs w:val="22"/>
                <w:lang w:val="fr-CH" w:eastAsia="fr-CH"/>
              </w:rPr>
              <w:t>metadata</w:t>
            </w:r>
            <w:proofErr w:type="spellEnd"/>
            <w:r w:rsidRPr="008A165D">
              <w:rPr>
                <w:rFonts w:ascii="Arial" w:eastAsia="Times New Roman" w:hAnsi="Arial" w:cs="Arial"/>
                <w:color w:val="000000"/>
                <w:sz w:val="22"/>
                <w:szCs w:val="22"/>
                <w:lang w:val="fr-CH" w:eastAsia="fr-CH"/>
              </w:rPr>
              <w:t xml:space="preserve"> </w:t>
            </w:r>
            <w:proofErr w:type="spellStart"/>
            <w:r w:rsidRPr="008A165D">
              <w:rPr>
                <w:rFonts w:ascii="Arial" w:eastAsia="Times New Roman" w:hAnsi="Arial" w:cs="Arial"/>
                <w:color w:val="000000"/>
                <w:sz w:val="22"/>
                <w:szCs w:val="22"/>
                <w:lang w:val="fr-CH" w:eastAsia="fr-CH"/>
              </w:rPr>
              <w:t>form</w:t>
            </w:r>
            <w:proofErr w:type="spellEnd"/>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06A64D58" w14:textId="77777777" w:rsidR="00861E84" w:rsidRPr="008A165D" w:rsidRDefault="00861E84" w:rsidP="00E4574D">
            <w:pPr>
              <w:spacing w:before="240" w:after="240"/>
              <w:rPr>
                <w:rFonts w:eastAsia="Times New Roman"/>
                <w:lang w:val="fr-CH" w:eastAsia="fr-CH"/>
              </w:rPr>
            </w:pPr>
            <w:r w:rsidRPr="008A165D">
              <w:rPr>
                <w:rFonts w:ascii="Arial" w:eastAsia="Times New Roman" w:hAnsi="Arial" w:cs="Arial"/>
                <w:color w:val="000000"/>
                <w:sz w:val="22"/>
                <w:szCs w:val="22"/>
                <w:lang w:val="fr-CH" w:eastAsia="fr-CH"/>
              </w:rPr>
              <w:t>TBD</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34F1DF5E" w14:textId="77777777" w:rsidR="00861E84" w:rsidRPr="008A165D" w:rsidRDefault="00861E84" w:rsidP="00E4574D">
            <w:pPr>
              <w:spacing w:before="0"/>
              <w:rPr>
                <w:rFonts w:eastAsia="Times New Roman"/>
                <w:lang w:val="fr-CH" w:eastAsia="fr-CH"/>
              </w:rPr>
            </w:pPr>
          </w:p>
        </w:tc>
      </w:tr>
      <w:tr w:rsidR="00861E84" w:rsidRPr="008A165D" w14:paraId="6837DF4A" w14:textId="77777777" w:rsidTr="00E4574D">
        <w:trPr>
          <w:trHeight w:val="345"/>
        </w:trPr>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7742EE1D" w14:textId="77777777" w:rsidR="00861E84" w:rsidRPr="008A165D" w:rsidRDefault="00861E84" w:rsidP="00E4574D">
            <w:pPr>
              <w:spacing w:before="0"/>
              <w:rPr>
                <w:rFonts w:eastAsia="Times New Roman"/>
                <w:lang w:val="fr-CH" w:eastAsia="fr-CH"/>
              </w:rPr>
            </w:pPr>
            <w:r w:rsidRPr="008A165D">
              <w:rPr>
                <w:rFonts w:ascii="Arial" w:eastAsia="Times New Roman" w:hAnsi="Arial" w:cs="Arial"/>
                <w:color w:val="000000"/>
                <w:sz w:val="22"/>
                <w:szCs w:val="22"/>
                <w:lang w:val="fr-CH" w:eastAsia="fr-CH"/>
              </w:rPr>
              <w:t>9</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5DB5D1BC" w14:textId="77777777" w:rsidR="00861E84" w:rsidRPr="008A165D" w:rsidRDefault="00861E84" w:rsidP="00E4574D">
            <w:pPr>
              <w:spacing w:before="0"/>
              <w:rPr>
                <w:rFonts w:eastAsia="Times New Roman"/>
                <w:lang w:eastAsia="fr-CH"/>
              </w:rPr>
            </w:pPr>
            <w:r w:rsidRPr="008A165D">
              <w:rPr>
                <w:rFonts w:ascii="Arial" w:eastAsia="Times New Roman" w:hAnsi="Arial" w:cs="Arial"/>
                <w:color w:val="000000"/>
                <w:sz w:val="22"/>
                <w:szCs w:val="22"/>
                <w:lang w:eastAsia="fr-CH"/>
              </w:rPr>
              <w:t>Identify research papers with related AI algorithm</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233BF53C" w14:textId="77777777" w:rsidR="00861E84" w:rsidRPr="008A165D" w:rsidRDefault="00861E84" w:rsidP="00E4574D">
            <w:pPr>
              <w:spacing w:before="240" w:after="240"/>
              <w:rPr>
                <w:rFonts w:eastAsia="Times New Roman"/>
                <w:lang w:val="fr-CH" w:eastAsia="fr-CH"/>
              </w:rPr>
            </w:pPr>
            <w:r w:rsidRPr="008A165D">
              <w:rPr>
                <w:rFonts w:ascii="Arial" w:eastAsia="Times New Roman" w:hAnsi="Arial" w:cs="Arial"/>
                <w:color w:val="000000"/>
                <w:sz w:val="22"/>
                <w:szCs w:val="22"/>
                <w:lang w:val="fr-CH" w:eastAsia="fr-CH"/>
              </w:rPr>
              <w:t>TBD</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4E3BD3C4" w14:textId="77777777" w:rsidR="00861E84" w:rsidRPr="008A165D" w:rsidRDefault="00861E84" w:rsidP="00E4574D">
            <w:pPr>
              <w:spacing w:before="0"/>
              <w:rPr>
                <w:rFonts w:eastAsia="Times New Roman"/>
                <w:lang w:val="fr-CH" w:eastAsia="fr-CH"/>
              </w:rPr>
            </w:pPr>
          </w:p>
        </w:tc>
      </w:tr>
      <w:tr w:rsidR="00861E84" w:rsidRPr="008A165D" w14:paraId="201F95DE" w14:textId="77777777" w:rsidTr="00E4574D">
        <w:trPr>
          <w:trHeight w:val="345"/>
        </w:trPr>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427E18F6" w14:textId="77777777" w:rsidR="00861E84" w:rsidRPr="008A165D" w:rsidRDefault="00861E84" w:rsidP="00E4574D">
            <w:pPr>
              <w:spacing w:before="0"/>
              <w:rPr>
                <w:rFonts w:eastAsia="Times New Roman"/>
                <w:lang w:val="fr-CH" w:eastAsia="fr-CH"/>
              </w:rPr>
            </w:pPr>
            <w:r w:rsidRPr="008A165D">
              <w:rPr>
                <w:rFonts w:ascii="Arial" w:eastAsia="Times New Roman" w:hAnsi="Arial" w:cs="Arial"/>
                <w:color w:val="000000"/>
                <w:sz w:val="22"/>
                <w:szCs w:val="22"/>
                <w:lang w:val="fr-CH" w:eastAsia="fr-CH"/>
              </w:rPr>
              <w:t>10</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7A90719A" w14:textId="77777777" w:rsidR="00861E84" w:rsidRPr="008A165D" w:rsidRDefault="00861E84" w:rsidP="00E4574D">
            <w:pPr>
              <w:spacing w:before="0"/>
              <w:rPr>
                <w:rFonts w:eastAsia="Times New Roman"/>
                <w:lang w:eastAsia="fr-CH"/>
              </w:rPr>
            </w:pPr>
            <w:r w:rsidRPr="008A165D">
              <w:rPr>
                <w:rFonts w:ascii="Arial" w:eastAsia="Times New Roman" w:hAnsi="Arial" w:cs="Arial"/>
                <w:color w:val="000000"/>
                <w:sz w:val="22"/>
                <w:szCs w:val="22"/>
                <w:lang w:eastAsia="fr-CH"/>
              </w:rPr>
              <w:t xml:space="preserve">Do a quick relevant </w:t>
            </w:r>
            <w:proofErr w:type="spellStart"/>
            <w:r w:rsidRPr="008A165D">
              <w:rPr>
                <w:rFonts w:ascii="Arial" w:eastAsia="Times New Roman" w:hAnsi="Arial" w:cs="Arial"/>
                <w:color w:val="000000"/>
                <w:sz w:val="22"/>
                <w:szCs w:val="22"/>
                <w:lang w:eastAsia="fr-CH"/>
              </w:rPr>
              <w:t>datasearch</w:t>
            </w:r>
            <w:proofErr w:type="spellEnd"/>
            <w:r w:rsidRPr="008A165D">
              <w:rPr>
                <w:rFonts w:ascii="Arial" w:eastAsia="Times New Roman" w:hAnsi="Arial" w:cs="Arial"/>
                <w:color w:val="000000"/>
                <w:sz w:val="22"/>
                <w:szCs w:val="22"/>
                <w:lang w:eastAsia="fr-CH"/>
              </w:rPr>
              <w:t xml:space="preserve"> using metadata tags</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126311CA" w14:textId="77777777" w:rsidR="00861E84" w:rsidRPr="008A165D" w:rsidRDefault="00861E84" w:rsidP="00E4574D">
            <w:pPr>
              <w:spacing w:before="240" w:after="240"/>
              <w:rPr>
                <w:rFonts w:eastAsia="Times New Roman"/>
                <w:lang w:val="fr-CH" w:eastAsia="fr-CH"/>
              </w:rPr>
            </w:pPr>
            <w:r w:rsidRPr="008A165D">
              <w:rPr>
                <w:rFonts w:ascii="Arial" w:eastAsia="Times New Roman" w:hAnsi="Arial" w:cs="Arial"/>
                <w:color w:val="000000"/>
                <w:sz w:val="22"/>
                <w:szCs w:val="22"/>
                <w:lang w:val="fr-CH" w:eastAsia="fr-CH"/>
              </w:rPr>
              <w:t>TBD</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7DAE3B22" w14:textId="77777777" w:rsidR="00861E84" w:rsidRPr="008A165D" w:rsidRDefault="00861E84" w:rsidP="00E4574D">
            <w:pPr>
              <w:spacing w:before="0"/>
              <w:rPr>
                <w:rFonts w:eastAsia="Times New Roman"/>
                <w:lang w:val="fr-CH" w:eastAsia="fr-CH"/>
              </w:rPr>
            </w:pPr>
          </w:p>
        </w:tc>
      </w:tr>
      <w:tr w:rsidR="00861E84" w:rsidRPr="008A165D" w14:paraId="60B7291D" w14:textId="77777777" w:rsidTr="00E4574D">
        <w:trPr>
          <w:trHeight w:val="345"/>
        </w:trPr>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76C52BB4" w14:textId="77777777" w:rsidR="00861E84" w:rsidRPr="008A165D" w:rsidRDefault="00861E84" w:rsidP="00E4574D">
            <w:pPr>
              <w:spacing w:before="0"/>
              <w:rPr>
                <w:rFonts w:eastAsia="Times New Roman"/>
                <w:lang w:val="fr-CH" w:eastAsia="fr-CH"/>
              </w:rPr>
            </w:pPr>
            <w:r w:rsidRPr="008A165D">
              <w:rPr>
                <w:rFonts w:ascii="Arial" w:eastAsia="Times New Roman" w:hAnsi="Arial" w:cs="Arial"/>
                <w:color w:val="000000"/>
                <w:sz w:val="22"/>
                <w:szCs w:val="22"/>
                <w:lang w:val="fr-CH" w:eastAsia="fr-CH"/>
              </w:rPr>
              <w:t>11</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052A923A" w14:textId="77777777" w:rsidR="00861E84" w:rsidRPr="008A165D" w:rsidRDefault="00861E84" w:rsidP="00E4574D">
            <w:pPr>
              <w:spacing w:before="0"/>
              <w:rPr>
                <w:rFonts w:eastAsia="Times New Roman"/>
                <w:lang w:eastAsia="fr-CH"/>
              </w:rPr>
            </w:pPr>
            <w:r w:rsidRPr="008A165D">
              <w:rPr>
                <w:rFonts w:ascii="Arial" w:eastAsia="Times New Roman" w:hAnsi="Arial" w:cs="Arial"/>
                <w:color w:val="000000"/>
                <w:sz w:val="22"/>
                <w:szCs w:val="22"/>
                <w:lang w:eastAsia="fr-CH"/>
              </w:rPr>
              <w:t>Customer Feedback- Clinical Evaluation and Data Science Team</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4D387C08" w14:textId="77777777" w:rsidR="00861E84" w:rsidRPr="008A165D" w:rsidRDefault="00861E84" w:rsidP="00E4574D">
            <w:pPr>
              <w:spacing w:before="240" w:after="240"/>
              <w:rPr>
                <w:rFonts w:eastAsia="Times New Roman"/>
                <w:lang w:val="fr-CH" w:eastAsia="fr-CH"/>
              </w:rPr>
            </w:pPr>
            <w:r w:rsidRPr="008A165D">
              <w:rPr>
                <w:rFonts w:ascii="Arial" w:eastAsia="Times New Roman" w:hAnsi="Arial" w:cs="Arial"/>
                <w:color w:val="000000"/>
                <w:sz w:val="22"/>
                <w:szCs w:val="22"/>
                <w:lang w:val="fr-CH" w:eastAsia="fr-CH"/>
              </w:rPr>
              <w:t>TBD</w:t>
            </w:r>
          </w:p>
        </w:tc>
        <w:tc>
          <w:tcPr>
            <w:tcW w:w="0" w:type="auto"/>
            <w:tcBorders>
              <w:top w:val="single" w:sz="8" w:space="0" w:color="D4D4D4"/>
              <w:left w:val="single" w:sz="8" w:space="0" w:color="D4D4D4"/>
              <w:bottom w:val="single" w:sz="8" w:space="0" w:color="D4D4D4"/>
              <w:right w:val="single" w:sz="8" w:space="0" w:color="D4D4D4"/>
            </w:tcBorders>
            <w:tcMar>
              <w:top w:w="20" w:type="dxa"/>
              <w:left w:w="20" w:type="dxa"/>
              <w:bottom w:w="20" w:type="dxa"/>
              <w:right w:w="20" w:type="dxa"/>
            </w:tcMar>
            <w:vAlign w:val="bottom"/>
            <w:hideMark/>
          </w:tcPr>
          <w:p w14:paraId="0AFB2B42" w14:textId="77777777" w:rsidR="00861E84" w:rsidRPr="008A165D" w:rsidRDefault="00861E84" w:rsidP="00E4574D">
            <w:pPr>
              <w:spacing w:before="0"/>
              <w:rPr>
                <w:rFonts w:eastAsia="Times New Roman"/>
                <w:lang w:val="fr-CH" w:eastAsia="fr-CH"/>
              </w:rPr>
            </w:pPr>
          </w:p>
        </w:tc>
      </w:tr>
    </w:tbl>
    <w:p w14:paraId="627B6910"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5EFF0" w14:textId="77777777" w:rsidR="00C601CE" w:rsidRDefault="00C601CE" w:rsidP="007B7733">
      <w:pPr>
        <w:spacing w:before="0"/>
      </w:pPr>
      <w:r>
        <w:separator/>
      </w:r>
    </w:p>
  </w:endnote>
  <w:endnote w:type="continuationSeparator" w:id="0">
    <w:p w14:paraId="5BECAD30" w14:textId="77777777" w:rsidR="00C601CE" w:rsidRDefault="00C601C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5F99C" w14:textId="77777777" w:rsidR="00C601CE" w:rsidRDefault="00C601CE" w:rsidP="007B7733">
      <w:pPr>
        <w:spacing w:before="0"/>
      </w:pPr>
      <w:r>
        <w:separator/>
      </w:r>
    </w:p>
  </w:footnote>
  <w:footnote w:type="continuationSeparator" w:id="0">
    <w:p w14:paraId="305D3E8B" w14:textId="77777777" w:rsidR="00C601CE" w:rsidRDefault="00C601C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E5DBA7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533C9">
      <w:rPr>
        <w:noProof/>
      </w:rPr>
      <w:t>FG-AI4H-L-044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243F21"/>
    <w:multiLevelType w:val="hybridMultilevel"/>
    <w:tmpl w:val="3926DF7C"/>
    <w:lvl w:ilvl="0" w:tplc="100C0005">
      <w:start w:val="1"/>
      <w:numFmt w:val="bullet"/>
      <w:lvlText w:val=""/>
      <w:lvlJc w:val="left"/>
      <w:pPr>
        <w:ind w:left="1080" w:hanging="360"/>
      </w:pPr>
      <w:rPr>
        <w:rFonts w:ascii="Wingdings" w:hAnsi="Wingdings"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2" w15:restartNumberingAfterBreak="0">
    <w:nsid w:val="1E002901"/>
    <w:multiLevelType w:val="multilevel"/>
    <w:tmpl w:val="7A0EF6B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3D1758"/>
    <w:multiLevelType w:val="multilevel"/>
    <w:tmpl w:val="4AEC9802"/>
    <w:lvl w:ilvl="0">
      <w:start w:val="1"/>
      <w:numFmt w:val="decimal"/>
      <w:lvlText w:val="%1."/>
      <w:lvlJc w:val="left"/>
      <w:pPr>
        <w:ind w:left="1080" w:hanging="360"/>
      </w:pPr>
      <w:rPr>
        <w:b/>
        <w:bCs w:val="0"/>
      </w:rPr>
    </w:lvl>
    <w:lvl w:ilvl="1">
      <w:start w:val="1"/>
      <w:numFmt w:val="decimal"/>
      <w:lvlText w:val="%1.%2."/>
      <w:lvlJc w:val="left"/>
      <w:pPr>
        <w:ind w:left="1512" w:hanging="432"/>
      </w:pPr>
      <w:rPr>
        <w:b/>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4257181"/>
    <w:multiLevelType w:val="multilevel"/>
    <w:tmpl w:val="7A0EF6B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2"/>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4531B"/>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57C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2A2"/>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3D67"/>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CE9"/>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617"/>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932BE"/>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50FE"/>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0283"/>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1C26"/>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47D4F"/>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57B6"/>
    <w:rsid w:val="00846658"/>
    <w:rsid w:val="00847782"/>
    <w:rsid w:val="00850AFE"/>
    <w:rsid w:val="00852B99"/>
    <w:rsid w:val="00855010"/>
    <w:rsid w:val="00855AA6"/>
    <w:rsid w:val="00855B71"/>
    <w:rsid w:val="00855C7D"/>
    <w:rsid w:val="0085720D"/>
    <w:rsid w:val="008579FD"/>
    <w:rsid w:val="00861E84"/>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4303"/>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85A0A"/>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CAC"/>
    <w:rsid w:val="00D25E27"/>
    <w:rsid w:val="00D305B5"/>
    <w:rsid w:val="00D32900"/>
    <w:rsid w:val="00D34EC4"/>
    <w:rsid w:val="00D42D8D"/>
    <w:rsid w:val="00D43B84"/>
    <w:rsid w:val="00D45DE4"/>
    <w:rsid w:val="00D50156"/>
    <w:rsid w:val="00D50BAD"/>
    <w:rsid w:val="00D50DD7"/>
    <w:rsid w:val="00D5167B"/>
    <w:rsid w:val="00D51AFF"/>
    <w:rsid w:val="00D533C9"/>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77D"/>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450D"/>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spacing w:before="240" w:after="60"/>
      <w:outlineLvl w:val="3"/>
    </w:pPr>
    <w:rPr>
      <w:rFonts w:eastAsia="MS Mincho"/>
      <w:b/>
      <w:bCs/>
      <w:szCs w:val="28"/>
    </w:rPr>
  </w:style>
  <w:style w:type="paragraph" w:styleId="Heading5">
    <w:name w:val="heading 5"/>
    <w:basedOn w:val="Normal"/>
    <w:next w:val="Normal"/>
    <w:link w:val="Heading5Char"/>
    <w:qFormat/>
    <w:rsid w:val="00BB46A0"/>
    <w:pPr>
      <w:spacing w:before="240" w:after="60"/>
      <w:outlineLvl w:val="4"/>
    </w:pPr>
    <w:rPr>
      <w:rFonts w:eastAsia="MS Mincho"/>
      <w:b/>
      <w:bCs/>
      <w:i/>
      <w:iCs/>
      <w:szCs w:val="26"/>
    </w:rPr>
  </w:style>
  <w:style w:type="paragraph" w:styleId="Heading6">
    <w:name w:val="heading 6"/>
    <w:basedOn w:val="Normal"/>
    <w:next w:val="Normal"/>
    <w:link w:val="Heading6Char"/>
    <w:rsid w:val="00BB46A0"/>
    <w:pPr>
      <w:spacing w:before="240" w:after="60"/>
      <w:outlineLvl w:val="5"/>
    </w:pPr>
    <w:rPr>
      <w:rFonts w:eastAsia="MS Mincho"/>
      <w:b/>
      <w:bCs/>
      <w:szCs w:val="20"/>
    </w:rPr>
  </w:style>
  <w:style w:type="paragraph" w:styleId="Heading7">
    <w:name w:val="heading 7"/>
    <w:basedOn w:val="Normal"/>
    <w:next w:val="Normal"/>
    <w:link w:val="Heading7Char"/>
    <w:rsid w:val="00BB46A0"/>
    <w:pPr>
      <w:spacing w:before="240" w:after="60"/>
      <w:outlineLvl w:val="6"/>
    </w:pPr>
    <w:rPr>
      <w:rFonts w:eastAsia="MS Mincho"/>
    </w:rPr>
  </w:style>
  <w:style w:type="paragraph" w:styleId="Heading8">
    <w:name w:val="heading 8"/>
    <w:basedOn w:val="Normal"/>
    <w:next w:val="Normal"/>
    <w:link w:val="Heading8Char"/>
    <w:rsid w:val="00BB46A0"/>
    <w:pPr>
      <w:spacing w:before="240" w:after="60"/>
      <w:outlineLvl w:val="7"/>
    </w:pPr>
    <w:rPr>
      <w:rFonts w:eastAsia="MS Mincho"/>
      <w:i/>
      <w:iCs/>
    </w:rPr>
  </w:style>
  <w:style w:type="paragraph" w:styleId="Heading9">
    <w:name w:val="heading 9"/>
    <w:basedOn w:val="Normal"/>
    <w:next w:val="Normal"/>
    <w:link w:val="Heading9Char"/>
    <w:rsid w:val="00BB46A0"/>
    <w:p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ujaris@who.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anusrir@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rath.Kherif@chuv.c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aqcord.org/daqcord-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0A95CA-3A62-4844-8F93-6755A724D70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15</TotalTime>
  <Pages>5</Pages>
  <Words>1230</Words>
  <Characters>7101</Characters>
  <Application>Microsoft Office Word</Application>
  <DocSecurity>0</DocSecurity>
  <Lines>253</Lines>
  <Paragraphs>143</Paragraphs>
  <ScaleCrop>false</ScaleCrop>
  <HeadingPairs>
    <vt:vector size="2" baseType="variant">
      <vt:variant>
        <vt:lpstr>Title</vt:lpstr>
      </vt:variant>
      <vt:variant>
        <vt:i4>1</vt:i4>
      </vt:variant>
    </vt:vector>
  </HeadingPairs>
  <TitlesOfParts>
    <vt:vector size="1" baseType="lpstr">
      <vt:lpstr>Updated DEL5.6: Data sharing practices</vt:lpstr>
    </vt:vector>
  </TitlesOfParts>
  <Manager>ITU-T</Manager>
  <Company>International Telecommunication Union (ITU)</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DEL5.6: Data sharing practices</dc:title>
  <dc:subject/>
  <dc:creator>Editors</dc:creator>
  <cp:keywords/>
  <dc:description>FG-AI4H-L-044  For: E-meeting, 19-21 May 2021_x000d_Document date: ITU-T Focus Group on AI for Health_x000d_Saved by ITU51013830 at 11:02:16 AM on 5/19/2021</dc:description>
  <cp:lastModifiedBy>Dabiri, Ayda</cp:lastModifiedBy>
  <cp:revision>34</cp:revision>
  <cp:lastPrinted>2011-04-05T14:28:00Z</cp:lastPrinted>
  <dcterms:created xsi:type="dcterms:W3CDTF">2020-01-27T16:33:00Z</dcterms:created>
  <dcterms:modified xsi:type="dcterms:W3CDTF">2021-05-19T09:08:00Z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FG-AI4H-L-044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Editors</vt:lpwstr>
  </property>
</Properties>
</file>