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48" w:type="dxa"/>
        <w:tblLayout w:type="fixed"/>
        <w:tblLook w:val="0000" w:firstRow="0" w:lastRow="0" w:firstColumn="0" w:lastColumn="0" w:noHBand="0" w:noVBand="0"/>
      </w:tblPr>
      <w:tblGrid>
        <w:gridCol w:w="1418"/>
        <w:gridCol w:w="10"/>
        <w:gridCol w:w="2520"/>
        <w:gridCol w:w="2029"/>
        <w:gridCol w:w="3971"/>
      </w:tblGrid>
      <w:tr w:rsidR="00E02690" w14:paraId="0BE85B37" w14:textId="77777777" w:rsidTr="00E02690">
        <w:trPr>
          <w:trHeight w:hRule="exact" w:val="1418"/>
        </w:trPr>
        <w:tc>
          <w:tcPr>
            <w:tcW w:w="1428" w:type="dxa"/>
            <w:gridSpan w:val="2"/>
          </w:tcPr>
          <w:p w14:paraId="66CEFDBC" w14:textId="77777777" w:rsidR="00E02690" w:rsidRDefault="00E02690" w:rsidP="00E02690"/>
          <w:p w14:paraId="2DE8F608" w14:textId="77777777" w:rsidR="00E02690" w:rsidRDefault="00E02690" w:rsidP="00E02690">
            <w:pPr>
              <w:spacing w:before="0"/>
              <w:rPr>
                <w:b/>
                <w:sz w:val="16"/>
              </w:rPr>
            </w:pPr>
          </w:p>
        </w:tc>
        <w:tc>
          <w:tcPr>
            <w:tcW w:w="8520" w:type="dxa"/>
            <w:gridSpan w:val="3"/>
          </w:tcPr>
          <w:p w14:paraId="5D3362F4" w14:textId="77777777" w:rsidR="00E02690" w:rsidRDefault="00E02690" w:rsidP="00E02690">
            <w:pPr>
              <w:spacing w:before="0"/>
              <w:rPr>
                <w:rFonts w:ascii="Arial" w:hAnsi="Arial" w:cs="Arial"/>
              </w:rPr>
            </w:pPr>
          </w:p>
          <w:p w14:paraId="17680083" w14:textId="77777777" w:rsidR="00E02690" w:rsidRDefault="00E02690" w:rsidP="00E02690">
            <w:pPr>
              <w:spacing w:before="284"/>
              <w:rPr>
                <w:rFonts w:ascii="Arial" w:hAnsi="Arial" w:cs="Arial"/>
                <w:b/>
                <w:bCs/>
                <w:sz w:val="18"/>
              </w:rPr>
            </w:pPr>
            <w:r>
              <w:rPr>
                <w:rFonts w:ascii="Arial" w:hAnsi="Arial" w:cs="Arial"/>
                <w:b/>
                <w:bCs/>
                <w:color w:val="808080"/>
                <w:spacing w:val="100"/>
              </w:rPr>
              <w:t>International Telecommunication Union</w:t>
            </w:r>
          </w:p>
        </w:tc>
      </w:tr>
      <w:tr w:rsidR="00E02690" w14:paraId="0BA0DDA3" w14:textId="77777777" w:rsidTr="00E02690">
        <w:trPr>
          <w:trHeight w:hRule="exact" w:val="992"/>
        </w:trPr>
        <w:tc>
          <w:tcPr>
            <w:tcW w:w="1428" w:type="dxa"/>
            <w:gridSpan w:val="2"/>
          </w:tcPr>
          <w:p w14:paraId="6BFFF43E" w14:textId="77777777" w:rsidR="00E02690" w:rsidRDefault="00E02690" w:rsidP="00E02690">
            <w:pPr>
              <w:spacing w:before="0"/>
            </w:pPr>
          </w:p>
        </w:tc>
        <w:tc>
          <w:tcPr>
            <w:tcW w:w="8520" w:type="dxa"/>
            <w:gridSpan w:val="3"/>
          </w:tcPr>
          <w:p w14:paraId="5549CF41" w14:textId="77777777" w:rsidR="00E02690" w:rsidRDefault="00E02690" w:rsidP="00E02690"/>
        </w:tc>
      </w:tr>
      <w:tr w:rsidR="00E02690" w14:paraId="486803C6" w14:textId="77777777" w:rsidTr="00E02690">
        <w:tblPrEx>
          <w:tblCellMar>
            <w:left w:w="85" w:type="dxa"/>
            <w:right w:w="85" w:type="dxa"/>
          </w:tblCellMar>
        </w:tblPrEx>
        <w:trPr>
          <w:gridBefore w:val="2"/>
          <w:wBefore w:w="1428" w:type="dxa"/>
        </w:trPr>
        <w:tc>
          <w:tcPr>
            <w:tcW w:w="2520" w:type="dxa"/>
          </w:tcPr>
          <w:p w14:paraId="356374B5" w14:textId="77777777" w:rsidR="00E02690" w:rsidRDefault="00E02690" w:rsidP="00E02690">
            <w:pPr>
              <w:rPr>
                <w:b/>
                <w:sz w:val="18"/>
              </w:rPr>
            </w:pPr>
            <w:bookmarkStart w:id="0" w:name="dnume" w:colFirst="1" w:colLast="1"/>
            <w:r>
              <w:rPr>
                <w:rFonts w:ascii="Arial" w:hAnsi="Arial"/>
                <w:b/>
                <w:spacing w:val="40"/>
                <w:sz w:val="72"/>
              </w:rPr>
              <w:t>ITU-T</w:t>
            </w:r>
          </w:p>
        </w:tc>
        <w:tc>
          <w:tcPr>
            <w:tcW w:w="6000" w:type="dxa"/>
            <w:gridSpan w:val="2"/>
          </w:tcPr>
          <w:p w14:paraId="438109F6" w14:textId="77777777" w:rsidR="00E02690" w:rsidRPr="00C92738" w:rsidRDefault="00733524" w:rsidP="00BE3396">
            <w:pPr>
              <w:spacing w:before="240"/>
              <w:jc w:val="right"/>
              <w:rPr>
                <w:rFonts w:ascii="Arial" w:hAnsi="Arial" w:cs="Arial"/>
                <w:b/>
                <w:sz w:val="60"/>
              </w:rPr>
            </w:pPr>
            <w:r>
              <w:rPr>
                <w:rFonts w:ascii="Arial" w:hAnsi="Arial"/>
                <w:b/>
                <w:sz w:val="60"/>
              </w:rPr>
              <w:t>FG-</w:t>
            </w:r>
            <w:r w:rsidR="00C8520A">
              <w:rPr>
                <w:rFonts w:ascii="Arial" w:hAnsi="Arial"/>
                <w:b/>
                <w:sz w:val="60"/>
              </w:rPr>
              <w:t>DF</w:t>
            </w:r>
            <w:r w:rsidR="00BE3396">
              <w:rPr>
                <w:rFonts w:ascii="Arial" w:hAnsi="Arial"/>
                <w:b/>
                <w:sz w:val="60"/>
              </w:rPr>
              <w:t>C</w:t>
            </w:r>
          </w:p>
        </w:tc>
      </w:tr>
      <w:tr w:rsidR="00E02690" w14:paraId="4A47813C" w14:textId="77777777" w:rsidTr="00E02690">
        <w:tblPrEx>
          <w:tblCellMar>
            <w:left w:w="85" w:type="dxa"/>
            <w:right w:w="85" w:type="dxa"/>
          </w:tblCellMar>
        </w:tblPrEx>
        <w:trPr>
          <w:gridBefore w:val="2"/>
          <w:wBefore w:w="1428" w:type="dxa"/>
          <w:trHeight w:val="974"/>
        </w:trPr>
        <w:tc>
          <w:tcPr>
            <w:tcW w:w="4549" w:type="dxa"/>
            <w:gridSpan w:val="2"/>
          </w:tcPr>
          <w:p w14:paraId="5965A1DD" w14:textId="77777777" w:rsidR="00E02690" w:rsidRPr="007777D2" w:rsidRDefault="00E02690" w:rsidP="00E02690">
            <w:pPr>
              <w:rPr>
                <w:b/>
              </w:rPr>
            </w:pPr>
            <w:bookmarkStart w:id="1" w:name="ddatee" w:colFirst="1" w:colLast="1"/>
            <w:bookmarkEnd w:id="0"/>
            <w:r w:rsidRPr="007777D2">
              <w:rPr>
                <w:rFonts w:ascii="Arial" w:hAnsi="Arial"/>
              </w:rPr>
              <w:t>TELECOMMUNICATION</w:t>
            </w:r>
            <w:r w:rsidRPr="007777D2">
              <w:rPr>
                <w:rFonts w:ascii="Arial" w:hAnsi="Arial"/>
              </w:rPr>
              <w:br/>
              <w:t>STANDARDIZATION</w:t>
            </w:r>
            <w:r w:rsidR="00433F2A">
              <w:rPr>
                <w:rFonts w:ascii="Arial" w:hAnsi="Arial"/>
              </w:rPr>
              <w:t xml:space="preserve"> </w:t>
            </w:r>
            <w:r w:rsidRPr="007777D2">
              <w:rPr>
                <w:rFonts w:ascii="Arial" w:hAnsi="Arial"/>
              </w:rPr>
              <w:t>SECTOR</w:t>
            </w:r>
            <w:r w:rsidRPr="007777D2">
              <w:rPr>
                <w:rFonts w:ascii="Arial" w:hAnsi="Arial"/>
              </w:rPr>
              <w:br/>
              <w:t>OF</w:t>
            </w:r>
            <w:r w:rsidR="00433F2A">
              <w:rPr>
                <w:rFonts w:ascii="Arial" w:hAnsi="Arial"/>
              </w:rPr>
              <w:t xml:space="preserve"> </w:t>
            </w:r>
            <w:r w:rsidRPr="007777D2">
              <w:rPr>
                <w:rFonts w:ascii="Arial" w:hAnsi="Arial"/>
              </w:rPr>
              <w:t>ITU</w:t>
            </w:r>
          </w:p>
        </w:tc>
        <w:tc>
          <w:tcPr>
            <w:tcW w:w="3971" w:type="dxa"/>
          </w:tcPr>
          <w:p w14:paraId="2AFF7A72" w14:textId="77777777" w:rsidR="00E02690" w:rsidRPr="009635CB" w:rsidRDefault="00E02690" w:rsidP="00E02690">
            <w:pPr>
              <w:spacing w:before="284"/>
            </w:pPr>
          </w:p>
          <w:p w14:paraId="2609351E" w14:textId="2C7BE127" w:rsidR="00E02690" w:rsidRPr="007777D2" w:rsidRDefault="00E02690" w:rsidP="00A928A0">
            <w:pPr>
              <w:wordWrap w:val="0"/>
              <w:spacing w:before="284"/>
              <w:jc w:val="right"/>
              <w:rPr>
                <w:rFonts w:ascii="Arial" w:hAnsi="Arial"/>
                <w:sz w:val="28"/>
              </w:rPr>
            </w:pPr>
            <w:r>
              <w:rPr>
                <w:rFonts w:ascii="Arial" w:hAnsi="Arial"/>
                <w:sz w:val="28"/>
              </w:rPr>
              <w:t>(</w:t>
            </w:r>
            <w:r w:rsidR="006E6463">
              <w:rPr>
                <w:rFonts w:ascii="Arial" w:hAnsi="Arial"/>
                <w:sz w:val="28"/>
              </w:rPr>
              <w:t>0</w:t>
            </w:r>
            <w:r w:rsidR="00A928A0">
              <w:rPr>
                <w:rFonts w:ascii="Arial" w:hAnsi="Arial"/>
                <w:sz w:val="28"/>
              </w:rPr>
              <w:t>7</w:t>
            </w:r>
            <w:r w:rsidR="00C8520A">
              <w:rPr>
                <w:rFonts w:ascii="Arial" w:hAnsi="Arial"/>
                <w:sz w:val="28"/>
              </w:rPr>
              <w:t>/20</w:t>
            </w:r>
            <w:r w:rsidR="006E6463">
              <w:rPr>
                <w:rFonts w:ascii="Arial" w:hAnsi="Arial"/>
                <w:sz w:val="28"/>
              </w:rPr>
              <w:t>19</w:t>
            </w:r>
            <w:r>
              <w:rPr>
                <w:rFonts w:ascii="Arial" w:hAnsi="Arial"/>
                <w:sz w:val="28"/>
              </w:rPr>
              <w:t>)</w:t>
            </w:r>
          </w:p>
        </w:tc>
      </w:tr>
      <w:tr w:rsidR="00E02690" w:rsidRPr="00F87042" w14:paraId="6A50C356" w14:textId="77777777" w:rsidTr="00E02690">
        <w:trPr>
          <w:cantSplit/>
          <w:trHeight w:hRule="exact" w:val="3402"/>
        </w:trPr>
        <w:tc>
          <w:tcPr>
            <w:tcW w:w="1418" w:type="dxa"/>
          </w:tcPr>
          <w:p w14:paraId="3435C39F" w14:textId="77777777" w:rsidR="00E02690" w:rsidRDefault="00E02690" w:rsidP="00E02690">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0D9E8906" w14:textId="77777777" w:rsidR="00C8520A" w:rsidRPr="00F87042" w:rsidRDefault="00C8520A" w:rsidP="00F87042">
            <w:pPr>
              <w:tabs>
                <w:tab w:val="right" w:pos="9639"/>
              </w:tabs>
              <w:rPr>
                <w:rFonts w:ascii="Arial" w:hAnsi="Arial" w:cs="Arial"/>
                <w:sz w:val="32"/>
                <w:lang w:val="en-US"/>
              </w:rPr>
            </w:pPr>
            <w:r w:rsidRPr="00F87042">
              <w:rPr>
                <w:rFonts w:ascii="Arial" w:hAnsi="Arial" w:cs="Arial"/>
                <w:sz w:val="32"/>
                <w:lang w:val="en-US"/>
              </w:rPr>
              <w:t xml:space="preserve">ITU-T Focus Group </w:t>
            </w:r>
            <w:r w:rsidR="00F87042" w:rsidRPr="00F87042">
              <w:rPr>
                <w:rFonts w:ascii="Arial" w:hAnsi="Arial" w:cs="Arial"/>
                <w:sz w:val="32"/>
                <w:lang w:val="en-US"/>
              </w:rPr>
              <w:t>Digital Currency including Digital Fiat Currency</w:t>
            </w:r>
          </w:p>
          <w:p w14:paraId="15FB71FD" w14:textId="77777777" w:rsidR="00E02690" w:rsidRPr="00F87042" w:rsidRDefault="00E02690" w:rsidP="00E02690">
            <w:pPr>
              <w:tabs>
                <w:tab w:val="right" w:pos="9639"/>
              </w:tabs>
              <w:rPr>
                <w:rFonts w:ascii="Arial" w:hAnsi="Arial"/>
                <w:sz w:val="32"/>
                <w:lang w:val="en-US"/>
              </w:rPr>
            </w:pPr>
          </w:p>
        </w:tc>
      </w:tr>
      <w:tr w:rsidR="00E02690" w14:paraId="4CBB3B0E" w14:textId="77777777" w:rsidTr="00E02690">
        <w:trPr>
          <w:cantSplit/>
          <w:trHeight w:hRule="exact" w:val="4536"/>
        </w:trPr>
        <w:tc>
          <w:tcPr>
            <w:tcW w:w="1418" w:type="dxa"/>
          </w:tcPr>
          <w:p w14:paraId="37629E92" w14:textId="77777777" w:rsidR="00E02690" w:rsidRPr="00F87042" w:rsidRDefault="00E02690" w:rsidP="00E02690">
            <w:pPr>
              <w:tabs>
                <w:tab w:val="right" w:pos="9639"/>
              </w:tabs>
              <w:rPr>
                <w:rFonts w:ascii="Arial" w:hAnsi="Arial"/>
                <w:sz w:val="18"/>
                <w:lang w:val="en-US"/>
              </w:rPr>
            </w:pPr>
            <w:bookmarkStart w:id="3" w:name="c1tite" w:colFirst="1" w:colLast="1"/>
            <w:bookmarkEnd w:id="2"/>
          </w:p>
        </w:tc>
        <w:tc>
          <w:tcPr>
            <w:tcW w:w="8530" w:type="dxa"/>
            <w:gridSpan w:val="4"/>
          </w:tcPr>
          <w:p w14:paraId="5D6A2932" w14:textId="77777777" w:rsidR="00E02690" w:rsidRPr="007A3E73" w:rsidRDefault="00B2275F" w:rsidP="00696548">
            <w:pPr>
              <w:tabs>
                <w:tab w:val="right" w:pos="9639"/>
              </w:tabs>
              <w:spacing w:before="360"/>
              <w:rPr>
                <w:rFonts w:ascii="Arial" w:hAnsi="Arial" w:cs="Arial"/>
                <w:b/>
                <w:bCs/>
                <w:sz w:val="36"/>
              </w:rPr>
            </w:pPr>
            <w:r>
              <w:rPr>
                <w:rFonts w:ascii="Arial" w:hAnsi="Arial" w:cs="Arial"/>
                <w:b/>
                <w:bCs/>
                <w:sz w:val="36"/>
              </w:rPr>
              <w:t>Reference Architecture and Use Cases Report</w:t>
            </w:r>
          </w:p>
        </w:tc>
      </w:tr>
      <w:bookmarkEnd w:id="3"/>
      <w:tr w:rsidR="00E02690" w14:paraId="2706A3EC" w14:textId="77777777" w:rsidTr="00E02690">
        <w:trPr>
          <w:cantSplit/>
          <w:trHeight w:hRule="exact" w:val="1418"/>
        </w:trPr>
        <w:tc>
          <w:tcPr>
            <w:tcW w:w="1418" w:type="dxa"/>
          </w:tcPr>
          <w:p w14:paraId="45D56466" w14:textId="77777777" w:rsidR="00E02690" w:rsidRDefault="00E02690" w:rsidP="00E02690">
            <w:pPr>
              <w:tabs>
                <w:tab w:val="right" w:pos="9639"/>
              </w:tabs>
              <w:rPr>
                <w:rFonts w:ascii="Arial" w:hAnsi="Arial"/>
                <w:sz w:val="18"/>
              </w:rPr>
            </w:pPr>
          </w:p>
        </w:tc>
        <w:tc>
          <w:tcPr>
            <w:tcW w:w="8530" w:type="dxa"/>
            <w:gridSpan w:val="4"/>
            <w:vAlign w:val="bottom"/>
          </w:tcPr>
          <w:p w14:paraId="26796E81" w14:textId="77777777" w:rsidR="00C8520A" w:rsidRPr="00F06651" w:rsidRDefault="00C8520A" w:rsidP="00C8520A">
            <w:pPr>
              <w:tabs>
                <w:tab w:val="right" w:pos="9639"/>
              </w:tabs>
              <w:spacing w:before="60" w:after="240"/>
              <w:rPr>
                <w:rFonts w:ascii="Arial" w:hAnsi="Arial" w:cs="Arial"/>
                <w:sz w:val="32"/>
              </w:rPr>
            </w:pPr>
            <w:bookmarkStart w:id="4" w:name="dnum2e"/>
            <w:bookmarkEnd w:id="4"/>
            <w:r w:rsidRPr="00F06651">
              <w:rPr>
                <w:rFonts w:ascii="Arial" w:hAnsi="Arial" w:cs="Arial"/>
                <w:sz w:val="32"/>
              </w:rPr>
              <w:t>Focus Group Technical Report</w:t>
            </w:r>
          </w:p>
          <w:p w14:paraId="1B910F5A" w14:textId="77777777" w:rsidR="00E02690" w:rsidRPr="00C92738" w:rsidRDefault="00E02690" w:rsidP="00E02690">
            <w:pPr>
              <w:tabs>
                <w:tab w:val="right" w:pos="9639"/>
              </w:tabs>
              <w:spacing w:before="60"/>
              <w:jc w:val="right"/>
              <w:rPr>
                <w:rFonts w:ascii="Arial" w:hAnsi="Arial" w:cs="Arial"/>
                <w:sz w:val="32"/>
              </w:rPr>
            </w:pPr>
          </w:p>
        </w:tc>
      </w:tr>
    </w:tbl>
    <w:p w14:paraId="44CB5F5D" w14:textId="77777777" w:rsidR="00E02690" w:rsidRPr="007777D2" w:rsidRDefault="00E02690" w:rsidP="00737170">
      <w:pPr>
        <w:spacing w:after="120"/>
        <w:jc w:val="center"/>
        <w:sectPr w:rsidR="00E02690" w:rsidRPr="007777D2" w:rsidSect="00B22DA4">
          <w:headerReference w:type="default" r:id="rId11"/>
          <w:footerReference w:type="default" r:id="rId12"/>
          <w:headerReference w:type="first" r:id="rId13"/>
          <w:footerReference w:type="first" r:id="rId14"/>
          <w:pgSz w:w="11907" w:h="16840" w:code="9"/>
          <w:pgMar w:top="1225" w:right="1281" w:bottom="1440" w:left="1140" w:header="720" w:footer="720" w:gutter="0"/>
          <w:cols w:space="720"/>
          <w:titlePg/>
          <w:docGrid w:linePitch="326"/>
        </w:sectPr>
      </w:pPr>
    </w:p>
    <w:p w14:paraId="49164954" w14:textId="77777777" w:rsidR="00C8520A" w:rsidRPr="00F06651" w:rsidRDefault="00C8520A" w:rsidP="00C8520A">
      <w:pPr>
        <w:spacing w:before="480"/>
        <w:jc w:val="center"/>
        <w:rPr>
          <w:sz w:val="22"/>
        </w:rPr>
      </w:pPr>
      <w:bookmarkStart w:id="5" w:name="_Toc44995568"/>
      <w:r w:rsidRPr="00F06651">
        <w:rPr>
          <w:sz w:val="22"/>
        </w:rPr>
        <w:lastRenderedPageBreak/>
        <w:t>FOREWORD</w:t>
      </w:r>
    </w:p>
    <w:p w14:paraId="7707ED7C" w14:textId="77777777" w:rsidR="00C8520A" w:rsidRPr="001F600B" w:rsidRDefault="00C8520A" w:rsidP="00AF734F">
      <w:pPr>
        <w:jc w:val="both"/>
        <w:rPr>
          <w:sz w:val="22"/>
        </w:rPr>
      </w:pPr>
      <w:r w:rsidRPr="001F600B">
        <w:rPr>
          <w:sz w:val="22"/>
        </w:rPr>
        <w:t xml:space="preserve">The International Telecommunication Union (ITU) is the United Nations specialized agency in the field of </w:t>
      </w:r>
      <w:r>
        <w:rPr>
          <w:sz w:val="22"/>
        </w:rPr>
        <w:t>telecommunications</w:t>
      </w:r>
      <w:r w:rsidRPr="001F600B">
        <w:rPr>
          <w:sz w:val="22"/>
        </w:rPr>
        <w:t>,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062EA350" w14:textId="77777777" w:rsidR="00C8520A" w:rsidRPr="001F600B" w:rsidRDefault="00C8520A" w:rsidP="00AF734F">
      <w:pPr>
        <w:jc w:val="both"/>
        <w:rPr>
          <w:sz w:val="22"/>
        </w:rPr>
      </w:pPr>
      <w:r w:rsidRPr="001F600B">
        <w:rPr>
          <w:sz w:val="22"/>
        </w:rPr>
        <w:t xml:space="preserve">The procedures for establishment of focus groups are defined in Recommendation ITU-T A.7. </w:t>
      </w:r>
      <w:r>
        <w:rPr>
          <w:sz w:val="22"/>
        </w:rPr>
        <w:t>TSAG</w:t>
      </w:r>
      <w:r w:rsidRPr="001F600B">
        <w:rPr>
          <w:sz w:val="22"/>
        </w:rPr>
        <w:t xml:space="preserve"> set up the ITU-T Focus Group </w:t>
      </w:r>
      <w:r>
        <w:rPr>
          <w:sz w:val="22"/>
        </w:rPr>
        <w:t xml:space="preserve">Digital </w:t>
      </w:r>
      <w:r w:rsidR="00F87042">
        <w:rPr>
          <w:sz w:val="22"/>
        </w:rPr>
        <w:t xml:space="preserve">Currency Including Digital Fiat </w:t>
      </w:r>
      <w:r w:rsidR="00B2275F">
        <w:rPr>
          <w:sz w:val="22"/>
        </w:rPr>
        <w:t>Currency</w:t>
      </w:r>
      <w:r>
        <w:rPr>
          <w:sz w:val="22"/>
        </w:rPr>
        <w:t xml:space="preserve"> (FG DF</w:t>
      </w:r>
      <w:r w:rsidR="00F87042">
        <w:rPr>
          <w:sz w:val="22"/>
        </w:rPr>
        <w:t>C</w:t>
      </w:r>
      <w:r w:rsidRPr="001F600B">
        <w:rPr>
          <w:sz w:val="22"/>
        </w:rPr>
        <w:t xml:space="preserve">) at its meeting in </w:t>
      </w:r>
      <w:r w:rsidR="00F87042">
        <w:rPr>
          <w:sz w:val="22"/>
        </w:rPr>
        <w:t>May 2017</w:t>
      </w:r>
      <w:r w:rsidRPr="001F600B">
        <w:rPr>
          <w:sz w:val="22"/>
        </w:rPr>
        <w:t xml:space="preserve">. </w:t>
      </w:r>
      <w:r>
        <w:rPr>
          <w:sz w:val="22"/>
        </w:rPr>
        <w:t>TSAG is the parent group of FG DF</w:t>
      </w:r>
      <w:r w:rsidR="00B2275F">
        <w:rPr>
          <w:sz w:val="22"/>
        </w:rPr>
        <w:t>C</w:t>
      </w:r>
      <w:r w:rsidRPr="001F600B">
        <w:rPr>
          <w:sz w:val="22"/>
        </w:rPr>
        <w:t>.</w:t>
      </w:r>
    </w:p>
    <w:p w14:paraId="463BF1E1" w14:textId="77777777" w:rsidR="00C8520A" w:rsidRPr="00F06651" w:rsidRDefault="00C8520A" w:rsidP="00AF734F">
      <w:pPr>
        <w:jc w:val="both"/>
        <w:rPr>
          <w:sz w:val="22"/>
        </w:rPr>
      </w:pPr>
      <w:r w:rsidRPr="001F600B">
        <w:rPr>
          <w:sz w:val="22"/>
        </w:rPr>
        <w:t>Deliverables of focus groups can take the form of technical reports, specifications, etc., and aim to provide material for consideration by the parent group in its standardization activities. Deliverables of focus groups are not ITU-T Recommendations.</w:t>
      </w:r>
    </w:p>
    <w:p w14:paraId="04BB18F6" w14:textId="77777777" w:rsidR="00C8520A" w:rsidRDefault="00C8520A" w:rsidP="00737170">
      <w:pPr>
        <w:pStyle w:val="Headingb"/>
      </w:pPr>
    </w:p>
    <w:p w14:paraId="18B94F24" w14:textId="77777777" w:rsidR="00C8520A" w:rsidRDefault="00C8520A" w:rsidP="00737170">
      <w:pPr>
        <w:pStyle w:val="Headingb"/>
        <w:rPr>
          <w:lang w:val="en-US"/>
        </w:rPr>
      </w:pPr>
    </w:p>
    <w:p w14:paraId="181DCD48" w14:textId="77777777" w:rsidR="00223588" w:rsidRDefault="00223588" w:rsidP="00223588">
      <w:pPr>
        <w:rPr>
          <w:lang w:eastAsia="ja-JP"/>
        </w:rPr>
      </w:pPr>
    </w:p>
    <w:p w14:paraId="4A58F548" w14:textId="77777777" w:rsidR="00223588" w:rsidRDefault="00223588" w:rsidP="00223588">
      <w:pPr>
        <w:rPr>
          <w:lang w:eastAsia="ja-JP"/>
        </w:rPr>
      </w:pPr>
    </w:p>
    <w:p w14:paraId="51C6B8DA" w14:textId="77777777" w:rsidR="00223588" w:rsidRDefault="00223588" w:rsidP="00223588">
      <w:pPr>
        <w:rPr>
          <w:lang w:eastAsia="ja-JP"/>
        </w:rPr>
      </w:pPr>
    </w:p>
    <w:p w14:paraId="4FAE5A09" w14:textId="77777777" w:rsidR="00223588" w:rsidRDefault="00223588" w:rsidP="00223588">
      <w:pPr>
        <w:rPr>
          <w:lang w:eastAsia="ja-JP"/>
        </w:rPr>
      </w:pPr>
    </w:p>
    <w:p w14:paraId="6EC0F91D" w14:textId="77777777" w:rsidR="00223588" w:rsidRDefault="00223588" w:rsidP="00223588">
      <w:pPr>
        <w:rPr>
          <w:lang w:eastAsia="ja-JP"/>
        </w:rPr>
      </w:pPr>
    </w:p>
    <w:p w14:paraId="7C21B24F" w14:textId="77777777" w:rsidR="00223588" w:rsidRDefault="00223588" w:rsidP="00223588">
      <w:pPr>
        <w:rPr>
          <w:lang w:eastAsia="ja-JP"/>
        </w:rPr>
      </w:pPr>
    </w:p>
    <w:p w14:paraId="33C28CBE" w14:textId="77777777" w:rsidR="00223588" w:rsidRDefault="00223588" w:rsidP="00223588">
      <w:pPr>
        <w:rPr>
          <w:lang w:eastAsia="ja-JP"/>
        </w:rPr>
      </w:pPr>
    </w:p>
    <w:p w14:paraId="499E1B3B" w14:textId="77777777" w:rsidR="00223588" w:rsidRDefault="00223588" w:rsidP="00223588">
      <w:pPr>
        <w:rPr>
          <w:lang w:eastAsia="ja-JP"/>
        </w:rPr>
      </w:pPr>
    </w:p>
    <w:p w14:paraId="518787D7" w14:textId="77777777" w:rsidR="00223588" w:rsidRDefault="00223588" w:rsidP="00223588">
      <w:pPr>
        <w:rPr>
          <w:lang w:eastAsia="ja-JP"/>
        </w:rPr>
      </w:pPr>
    </w:p>
    <w:p w14:paraId="5773220A" w14:textId="77777777" w:rsidR="00223588" w:rsidRDefault="00223588" w:rsidP="00223588">
      <w:pPr>
        <w:rPr>
          <w:lang w:eastAsia="ja-JP"/>
        </w:rPr>
      </w:pPr>
    </w:p>
    <w:p w14:paraId="76EDB8CA" w14:textId="77777777" w:rsidR="00223588" w:rsidRDefault="00223588" w:rsidP="00223588">
      <w:pPr>
        <w:rPr>
          <w:lang w:eastAsia="ja-JP"/>
        </w:rPr>
      </w:pPr>
    </w:p>
    <w:p w14:paraId="18D71173" w14:textId="77777777" w:rsidR="00223588" w:rsidRDefault="00223588" w:rsidP="00223588">
      <w:pPr>
        <w:rPr>
          <w:lang w:eastAsia="ja-JP"/>
        </w:rPr>
      </w:pPr>
    </w:p>
    <w:p w14:paraId="0DC52A31" w14:textId="77777777" w:rsidR="00223588" w:rsidRDefault="00223588" w:rsidP="00223588">
      <w:pPr>
        <w:rPr>
          <w:lang w:eastAsia="ja-JP"/>
        </w:rPr>
      </w:pPr>
    </w:p>
    <w:p w14:paraId="5FF0633B" w14:textId="77777777" w:rsidR="00223588" w:rsidRPr="00223588" w:rsidRDefault="00223588" w:rsidP="00223588">
      <w:pPr>
        <w:rPr>
          <w:lang w:eastAsia="ja-JP"/>
        </w:rPr>
      </w:pPr>
    </w:p>
    <w:p w14:paraId="241BA893" w14:textId="77777777" w:rsidR="00C8520A" w:rsidRDefault="00C8520A" w:rsidP="00C8520A">
      <w:pPr>
        <w:rPr>
          <w:lang w:eastAsia="ja-JP"/>
        </w:rPr>
      </w:pPr>
    </w:p>
    <w:p w14:paraId="541ED695" w14:textId="77777777" w:rsidR="00C8520A" w:rsidRDefault="00C8520A" w:rsidP="00C8520A">
      <w:pPr>
        <w:rPr>
          <w:lang w:eastAsia="ja-JP"/>
        </w:rPr>
      </w:pPr>
    </w:p>
    <w:p w14:paraId="3E1B0166" w14:textId="77777777" w:rsidR="00C8520A" w:rsidRDefault="00C8520A" w:rsidP="00C8520A">
      <w:pPr>
        <w:rPr>
          <w:lang w:eastAsia="ja-JP"/>
        </w:rPr>
      </w:pPr>
    </w:p>
    <w:p w14:paraId="2D1175C8" w14:textId="77777777" w:rsidR="00C8520A" w:rsidRPr="00F06651" w:rsidRDefault="00B2275F" w:rsidP="00B2275F">
      <w:pPr>
        <w:jc w:val="center"/>
        <w:rPr>
          <w:sz w:val="22"/>
        </w:rPr>
      </w:pPr>
      <w:r>
        <w:rPr>
          <w:sz w:val="22"/>
        </w:rPr>
        <w:t xml:space="preserve">© </w:t>
      </w:r>
      <w:r w:rsidR="00C8520A" w:rsidRPr="00F06651">
        <w:rPr>
          <w:sz w:val="22"/>
        </w:rPr>
        <w:t>ITU </w:t>
      </w:r>
      <w:bookmarkStart w:id="6" w:name="iiannee"/>
      <w:bookmarkEnd w:id="6"/>
      <w:r w:rsidR="00F87042">
        <w:rPr>
          <w:sz w:val="22"/>
        </w:rPr>
        <w:t>201</w:t>
      </w:r>
      <w:r>
        <w:rPr>
          <w:sz w:val="22"/>
        </w:rPr>
        <w:t>9</w:t>
      </w:r>
    </w:p>
    <w:p w14:paraId="11E03753" w14:textId="77777777" w:rsidR="00891DA7" w:rsidRDefault="00891DA7" w:rsidP="00891DA7">
      <w:pPr>
        <w:pStyle w:val="Default"/>
      </w:pPr>
    </w:p>
    <w:p w14:paraId="61B7316F" w14:textId="77777777" w:rsidR="00223588" w:rsidRDefault="00891DA7" w:rsidP="00891DA7">
      <w:pPr>
        <w:jc w:val="center"/>
        <w:rPr>
          <w:sz w:val="22"/>
        </w:rPr>
      </w:pPr>
      <w:r>
        <w:rPr>
          <w:sz w:val="22"/>
          <w:szCs w:val="22"/>
        </w:rPr>
        <w:t xml:space="preserve">This work is licensed to the public through a Creative Commons Attribution-Non-Commercial-Share Alike 4.0 International license (CC BY-NC-SA 4.0). For more information visit </w:t>
      </w:r>
      <w:hyperlink r:id="rId15" w:history="1">
        <w:r w:rsidRPr="00A01C6C">
          <w:rPr>
            <w:rStyle w:val="Hyperlink"/>
            <w:sz w:val="22"/>
            <w:szCs w:val="22"/>
          </w:rPr>
          <w:t>https://creativecommons.org/licenses/by-nc-sa/4.0/</w:t>
        </w:r>
      </w:hyperlink>
      <w:r>
        <w:rPr>
          <w:sz w:val="22"/>
          <w:szCs w:val="22"/>
        </w:rPr>
        <w:t xml:space="preserve"> . </w:t>
      </w:r>
      <w:r w:rsidR="00223588">
        <w:rPr>
          <w:sz w:val="22"/>
        </w:rPr>
        <w:br w:type="page"/>
      </w:r>
    </w:p>
    <w:p w14:paraId="4BF057B3" w14:textId="77777777" w:rsidR="00C8520A" w:rsidRDefault="00C8520A" w:rsidP="00C8520A">
      <w:pPr>
        <w:rPr>
          <w:sz w:val="22"/>
        </w:rPr>
      </w:pPr>
    </w:p>
    <w:p w14:paraId="5E6148D7" w14:textId="77777777" w:rsidR="00C8520A" w:rsidRPr="00C8520A" w:rsidRDefault="00C8520A" w:rsidP="00C8520A">
      <w:pPr>
        <w:rPr>
          <w:lang w:eastAsia="ja-JP"/>
        </w:rPr>
      </w:pPr>
    </w:p>
    <w:p w14:paraId="55343FA3" w14:textId="77777777" w:rsidR="00C8520A" w:rsidRDefault="00C8520A" w:rsidP="00737170">
      <w:pPr>
        <w:pStyle w:val="Headingb"/>
      </w:pPr>
    </w:p>
    <w:bookmarkEnd w:id="5"/>
    <w:p w14:paraId="507A40C2" w14:textId="77777777" w:rsidR="00C8520A" w:rsidRDefault="00C8520A" w:rsidP="004B39E2">
      <w:pPr>
        <w:rPr>
          <w:b/>
          <w:lang w:eastAsia="ja-JP"/>
        </w:rPr>
      </w:pPr>
    </w:p>
    <w:p w14:paraId="7D132592" w14:textId="77777777" w:rsidR="00C8520A" w:rsidRDefault="00C8520A" w:rsidP="004B39E2">
      <w:pPr>
        <w:rPr>
          <w:b/>
          <w:lang w:eastAsia="ja-JP"/>
        </w:rPr>
      </w:pPr>
    </w:p>
    <w:p w14:paraId="62953CBC" w14:textId="77777777" w:rsidR="00C8520A" w:rsidRDefault="00C8520A" w:rsidP="004B39E2">
      <w:pPr>
        <w:rPr>
          <w:b/>
          <w:lang w:eastAsia="ja-JP"/>
        </w:rPr>
      </w:pPr>
    </w:p>
    <w:p w14:paraId="1247EB51" w14:textId="77777777" w:rsidR="00C8520A" w:rsidRDefault="00C8520A" w:rsidP="004B39E2">
      <w:pPr>
        <w:rPr>
          <w:b/>
          <w:lang w:eastAsia="ja-JP"/>
        </w:rPr>
      </w:pPr>
    </w:p>
    <w:p w14:paraId="6C1B2EEE" w14:textId="77777777" w:rsidR="00C8520A" w:rsidRDefault="00C8520A" w:rsidP="004B39E2">
      <w:pPr>
        <w:rPr>
          <w:b/>
          <w:lang w:eastAsia="ja-JP"/>
        </w:rPr>
      </w:pPr>
    </w:p>
    <w:p w14:paraId="69E45C9D" w14:textId="77777777" w:rsidR="00C8520A" w:rsidRDefault="00C8520A" w:rsidP="004B39E2">
      <w:pPr>
        <w:rPr>
          <w:b/>
          <w:lang w:eastAsia="ja-JP"/>
        </w:rPr>
      </w:pPr>
    </w:p>
    <w:p w14:paraId="78C1F27C" w14:textId="77777777" w:rsidR="00C8520A" w:rsidRDefault="00C8520A" w:rsidP="004B39E2">
      <w:pPr>
        <w:rPr>
          <w:b/>
          <w:lang w:eastAsia="ja-JP"/>
        </w:rPr>
      </w:pPr>
    </w:p>
    <w:p w14:paraId="43807E20" w14:textId="77777777" w:rsidR="00C8520A" w:rsidRDefault="00C8520A" w:rsidP="004B39E2">
      <w:pPr>
        <w:rPr>
          <w:b/>
          <w:lang w:eastAsia="ja-JP"/>
        </w:rPr>
      </w:pPr>
    </w:p>
    <w:p w14:paraId="33736DDD" w14:textId="77777777" w:rsidR="00C8520A" w:rsidRDefault="00C8520A" w:rsidP="004B39E2">
      <w:pPr>
        <w:rPr>
          <w:b/>
          <w:lang w:eastAsia="ja-JP"/>
        </w:rPr>
      </w:pPr>
    </w:p>
    <w:p w14:paraId="6E4A81C3" w14:textId="77777777" w:rsidR="00C8520A" w:rsidRDefault="00C8520A" w:rsidP="004B39E2">
      <w:pPr>
        <w:rPr>
          <w:b/>
          <w:lang w:eastAsia="ja-JP"/>
        </w:rPr>
      </w:pPr>
    </w:p>
    <w:p w14:paraId="3B6104CF" w14:textId="77777777" w:rsidR="00C8520A" w:rsidRDefault="00C8520A" w:rsidP="004B39E2">
      <w:pPr>
        <w:rPr>
          <w:b/>
          <w:lang w:eastAsia="ja-JP"/>
        </w:rPr>
      </w:pPr>
    </w:p>
    <w:p w14:paraId="1402537E" w14:textId="77777777" w:rsidR="00C8520A" w:rsidRDefault="00C8520A" w:rsidP="004B39E2">
      <w:pPr>
        <w:rPr>
          <w:b/>
          <w:lang w:eastAsia="ja-JP"/>
        </w:rPr>
      </w:pPr>
    </w:p>
    <w:p w14:paraId="3849B788" w14:textId="77777777" w:rsidR="00C8520A" w:rsidRDefault="00C8520A" w:rsidP="004B39E2">
      <w:pPr>
        <w:rPr>
          <w:b/>
          <w:lang w:eastAsia="ja-JP"/>
        </w:rPr>
      </w:pPr>
    </w:p>
    <w:p w14:paraId="7F129D11" w14:textId="77777777" w:rsidR="00C8520A" w:rsidRDefault="00C8520A" w:rsidP="004B39E2">
      <w:pPr>
        <w:rPr>
          <w:b/>
          <w:lang w:eastAsia="ja-JP"/>
        </w:rPr>
      </w:pPr>
    </w:p>
    <w:p w14:paraId="08208C04" w14:textId="77777777" w:rsidR="00696548" w:rsidRDefault="00B2275F" w:rsidP="00F87042">
      <w:pPr>
        <w:spacing w:before="0"/>
        <w:jc w:val="center"/>
        <w:rPr>
          <w:b/>
          <w:szCs w:val="24"/>
          <w:lang w:eastAsia="ja-JP"/>
        </w:rPr>
      </w:pPr>
      <w:r>
        <w:rPr>
          <w:rFonts w:ascii="Arial" w:hAnsi="Arial" w:cs="Arial"/>
          <w:b/>
          <w:bCs/>
          <w:sz w:val="36"/>
        </w:rPr>
        <w:t>Reference Architecture and Use Cases Report</w:t>
      </w:r>
      <w:r w:rsidR="00F87042">
        <w:rPr>
          <w:b/>
          <w:szCs w:val="24"/>
          <w:lang w:eastAsia="ja-JP"/>
        </w:rPr>
        <w:t xml:space="preserve"> </w:t>
      </w:r>
      <w:r w:rsidR="00696548">
        <w:rPr>
          <w:b/>
          <w:szCs w:val="24"/>
          <w:lang w:eastAsia="ja-JP"/>
        </w:rPr>
        <w:br w:type="page"/>
      </w:r>
    </w:p>
    <w:p w14:paraId="63A82C39" w14:textId="77777777" w:rsidR="00C8520A" w:rsidRPr="00A874B3" w:rsidRDefault="00742F32" w:rsidP="004B39E2">
      <w:pPr>
        <w:rPr>
          <w:b/>
          <w:szCs w:val="24"/>
          <w:lang w:eastAsia="ja-JP"/>
        </w:rPr>
      </w:pPr>
      <w:r w:rsidRPr="00A874B3">
        <w:rPr>
          <w:b/>
          <w:szCs w:val="24"/>
          <w:lang w:eastAsia="ja-JP"/>
        </w:rPr>
        <w:t>A</w:t>
      </w:r>
      <w:r w:rsidR="00C8520A" w:rsidRPr="00A874B3">
        <w:rPr>
          <w:b/>
          <w:szCs w:val="24"/>
          <w:lang w:eastAsia="ja-JP"/>
        </w:rPr>
        <w:t>bout this Report</w:t>
      </w:r>
    </w:p>
    <w:p w14:paraId="45B57E71" w14:textId="77777777" w:rsidR="00F87042" w:rsidRDefault="00C8520A" w:rsidP="000E19A4">
      <w:pPr>
        <w:spacing w:after="120" w:line="264" w:lineRule="auto"/>
        <w:jc w:val="both"/>
      </w:pPr>
      <w:r w:rsidRPr="00A30CD3">
        <w:rPr>
          <w:szCs w:val="24"/>
          <w:lang w:bidi="ar-DZ"/>
        </w:rPr>
        <w:t xml:space="preserve">This Technical </w:t>
      </w:r>
      <w:r w:rsidR="0055465A">
        <w:rPr>
          <w:szCs w:val="24"/>
          <w:lang w:bidi="ar-DZ"/>
        </w:rPr>
        <w:t>r</w:t>
      </w:r>
      <w:r w:rsidRPr="00A30CD3">
        <w:rPr>
          <w:szCs w:val="24"/>
          <w:lang w:bidi="ar-DZ"/>
        </w:rPr>
        <w:t xml:space="preserve">eport was </w:t>
      </w:r>
      <w:r w:rsidR="000D1144">
        <w:t>prepared by the Reference Architecture Working Group of the ITU-T Focus Group on Digital Currency including Digital Fiat Currency</w:t>
      </w:r>
      <w:r w:rsidR="000D1144" w:rsidRPr="000D1144">
        <w:t xml:space="preserve">, </w:t>
      </w:r>
      <w:r w:rsidR="000D1144" w:rsidRPr="00C55ACB">
        <w:t>with contributions from</w:t>
      </w:r>
      <w:r w:rsidR="00B2275F">
        <w:t>:</w:t>
      </w:r>
    </w:p>
    <w:p w14:paraId="5EC098EE" w14:textId="34EAED7A" w:rsidR="000D1144" w:rsidRDefault="000D1144" w:rsidP="000D1144">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Isabelle Corbett, R3</w:t>
      </w:r>
    </w:p>
    <w:p w14:paraId="1DB7C12C" w14:textId="1C1A8CC6" w:rsidR="00C55ACB" w:rsidRPr="00C55ACB" w:rsidRDefault="00C55ACB" w:rsidP="00C55ACB">
      <w:pPr>
        <w:pStyle w:val="ListParagraph"/>
        <w:numPr>
          <w:ilvl w:val="0"/>
          <w:numId w:val="9"/>
        </w:numPr>
        <w:rPr>
          <w:szCs w:val="24"/>
        </w:rPr>
      </w:pPr>
      <w:r>
        <w:rPr>
          <w:rFonts w:ascii="Times New Roman" w:hAnsi="Times New Roman" w:cs="Times New Roman"/>
          <w:sz w:val="24"/>
          <w:szCs w:val="24"/>
        </w:rPr>
        <w:t>Sonja Davidovic, IMF</w:t>
      </w:r>
    </w:p>
    <w:p w14:paraId="2D7A7F3D" w14:textId="77777777" w:rsidR="000D1144" w:rsidRDefault="000D1144" w:rsidP="000D1144">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John Kiff, IMF</w:t>
      </w:r>
    </w:p>
    <w:p w14:paraId="4F702139" w14:textId="77777777" w:rsidR="000D1144" w:rsidRDefault="000D1144" w:rsidP="000D1144">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Thomas Kudrycki, eCurrency</w:t>
      </w:r>
    </w:p>
    <w:p w14:paraId="1BB76E49" w14:textId="30CD5CD1" w:rsidR="000D1144" w:rsidRPr="000D1144" w:rsidRDefault="000D1144" w:rsidP="000D1144">
      <w:pPr>
        <w:pStyle w:val="ListParagraph"/>
        <w:numPr>
          <w:ilvl w:val="0"/>
          <w:numId w:val="9"/>
        </w:numPr>
      </w:pPr>
      <w:r w:rsidRPr="00B2275F">
        <w:rPr>
          <w:rFonts w:ascii="Times New Roman" w:hAnsi="Times New Roman" w:cs="Times New Roman"/>
          <w:sz w:val="24"/>
          <w:szCs w:val="24"/>
        </w:rPr>
        <w:t xml:space="preserve">Klaus </w:t>
      </w:r>
      <w:r w:rsidR="00597935" w:rsidRPr="00B2275F">
        <w:rPr>
          <w:rFonts w:ascii="Times New Roman" w:hAnsi="Times New Roman" w:cs="Times New Roman"/>
          <w:sz w:val="24"/>
          <w:szCs w:val="24"/>
        </w:rPr>
        <w:t>L</w:t>
      </w:r>
      <w:r w:rsidR="00597935">
        <w:rPr>
          <w:rFonts w:ascii="Times New Roman" w:hAnsi="Times New Roman" w:cs="Times New Roman"/>
          <w:sz w:val="24"/>
          <w:szCs w:val="24"/>
        </w:rPr>
        <w:t>ö</w:t>
      </w:r>
      <w:r w:rsidR="00597935" w:rsidRPr="00B2275F">
        <w:rPr>
          <w:rFonts w:ascii="Times New Roman" w:hAnsi="Times New Roman" w:cs="Times New Roman"/>
          <w:sz w:val="24"/>
          <w:szCs w:val="24"/>
        </w:rPr>
        <w:t>ber</w:t>
      </w:r>
      <w:r w:rsidRPr="00B2275F">
        <w:rPr>
          <w:rFonts w:ascii="Times New Roman" w:hAnsi="Times New Roman" w:cs="Times New Roman"/>
          <w:sz w:val="24"/>
          <w:szCs w:val="24"/>
        </w:rPr>
        <w:t>, European Central Bank</w:t>
      </w:r>
    </w:p>
    <w:p w14:paraId="670EB38B" w14:textId="77777777" w:rsidR="00B2275F" w:rsidRDefault="00B2275F" w:rsidP="00A729B2">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Dinesh Shah, Bank of Canada</w:t>
      </w:r>
    </w:p>
    <w:p w14:paraId="3A0AD136" w14:textId="77777777" w:rsidR="00B2275F" w:rsidRDefault="00B2275F" w:rsidP="00A729B2">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Srinivas Yanamandra, New Development Bank</w:t>
      </w:r>
    </w:p>
    <w:p w14:paraId="07994ABA" w14:textId="0D3F97B4" w:rsidR="00B2275F" w:rsidRDefault="00B47DBB" w:rsidP="000E19A4">
      <w:pPr>
        <w:spacing w:line="264" w:lineRule="auto"/>
        <w:jc w:val="both"/>
        <w:rPr>
          <w:szCs w:val="24"/>
        </w:rPr>
      </w:pPr>
      <w:r>
        <w:rPr>
          <w:szCs w:val="24"/>
        </w:rPr>
        <w:t xml:space="preserve">The authors would like to thank Dan Conner (DisLedger) and Marla Dukharan (Bitt) for their inputs on the use cases and to all members of the Reference Architecture Working Group for their feedback on the report. </w:t>
      </w:r>
    </w:p>
    <w:p w14:paraId="1ED481B6" w14:textId="77777777" w:rsidR="00B47DBB" w:rsidRDefault="00F87042" w:rsidP="000E19A4">
      <w:pPr>
        <w:spacing w:line="264" w:lineRule="auto"/>
        <w:jc w:val="both"/>
        <w:rPr>
          <w:rStyle w:val="Hyperlink"/>
          <w:szCs w:val="24"/>
          <w:lang w:bidi="ar-DZ"/>
        </w:rPr>
      </w:pPr>
      <w:r w:rsidRPr="00AE11F2">
        <w:rPr>
          <w:lang w:bidi="ar-DZ"/>
        </w:rPr>
        <w:t>If you would like to provide any additional information, please contact Vijay Mauree</w:t>
      </w:r>
      <w:r w:rsidR="00B47DBB">
        <w:rPr>
          <w:lang w:bidi="ar-DZ"/>
        </w:rPr>
        <w:t>, Programme Coordinator, ITU</w:t>
      </w:r>
      <w:r w:rsidRPr="00AE11F2">
        <w:rPr>
          <w:lang w:bidi="ar-DZ"/>
        </w:rPr>
        <w:t xml:space="preserve"> at </w:t>
      </w:r>
      <w:hyperlink r:id="rId16" w:history="1">
        <w:r w:rsidR="00685A1D" w:rsidRPr="000D20C0">
          <w:rPr>
            <w:rStyle w:val="Hyperlink"/>
            <w:szCs w:val="24"/>
            <w:lang w:bidi="ar-DZ"/>
          </w:rPr>
          <w:t>tsbfgdfc@itu.int</w:t>
        </w:r>
      </w:hyperlink>
      <w:r w:rsidR="00B47DBB">
        <w:rPr>
          <w:rStyle w:val="Hyperlink"/>
          <w:szCs w:val="24"/>
          <w:lang w:bidi="ar-DZ"/>
        </w:rPr>
        <w:t xml:space="preserve">. </w:t>
      </w:r>
    </w:p>
    <w:p w14:paraId="5980E92D" w14:textId="77777777" w:rsidR="00B47DBB" w:rsidRPr="00B47DBB" w:rsidRDefault="00B47DBB" w:rsidP="000E19A4">
      <w:pPr>
        <w:widowControl w:val="0"/>
        <w:spacing w:line="264" w:lineRule="auto"/>
        <w:jc w:val="both"/>
        <w:rPr>
          <w:kern w:val="2"/>
          <w:szCs w:val="24"/>
        </w:rPr>
      </w:pPr>
      <w:r>
        <w:rPr>
          <w:kern w:val="2"/>
          <w:szCs w:val="24"/>
        </w:rPr>
        <w:t xml:space="preserve">Disclaimer: </w:t>
      </w:r>
      <w:r w:rsidRPr="00B47DBB">
        <w:rPr>
          <w:kern w:val="2"/>
          <w:szCs w:val="24"/>
        </w:rPr>
        <w:t>The opinions and views expressed in this report are those of the authors and do not necessarily reflect the views of the author’s organization</w:t>
      </w:r>
      <w:r w:rsidR="000D1144">
        <w:rPr>
          <w:kern w:val="2"/>
          <w:szCs w:val="24"/>
        </w:rPr>
        <w:t>, central banks referenced in the report,</w:t>
      </w:r>
      <w:r w:rsidRPr="00B47DBB">
        <w:rPr>
          <w:kern w:val="2"/>
          <w:szCs w:val="24"/>
        </w:rPr>
        <w:t xml:space="preserve"> </w:t>
      </w:r>
      <w:r w:rsidR="0093267B">
        <w:rPr>
          <w:kern w:val="2"/>
          <w:szCs w:val="24"/>
        </w:rPr>
        <w:t>or</w:t>
      </w:r>
      <w:r w:rsidRPr="00B47DBB">
        <w:rPr>
          <w:kern w:val="2"/>
          <w:szCs w:val="24"/>
        </w:rPr>
        <w:t xml:space="preserve"> the International Telecommunication Union or its membership.</w:t>
      </w:r>
    </w:p>
    <w:p w14:paraId="417E36D1" w14:textId="77777777" w:rsidR="00B47DBB" w:rsidRPr="00B47DBB" w:rsidRDefault="00B47DBB" w:rsidP="000E19A4">
      <w:pPr>
        <w:spacing w:line="264" w:lineRule="auto"/>
        <w:jc w:val="both"/>
        <w:rPr>
          <w:szCs w:val="24"/>
          <w:lang w:bidi="ar-DZ"/>
        </w:rPr>
      </w:pPr>
    </w:p>
    <w:p w14:paraId="2209D71B" w14:textId="77777777" w:rsidR="00C8520A" w:rsidRDefault="00C8520A" w:rsidP="00B847E7">
      <w:pPr>
        <w:pStyle w:val="Headingb"/>
        <w:rPr>
          <w:highlight w:val="yellow"/>
        </w:rPr>
      </w:pPr>
    </w:p>
    <w:p w14:paraId="6E8DDEDA" w14:textId="77777777" w:rsidR="00C8520A" w:rsidRDefault="00C8520A" w:rsidP="00B847E7">
      <w:pPr>
        <w:pStyle w:val="Headingb"/>
        <w:rPr>
          <w:highlight w:val="yellow"/>
        </w:rPr>
      </w:pPr>
    </w:p>
    <w:p w14:paraId="53AB4C4D" w14:textId="77777777" w:rsidR="00C8520A" w:rsidRDefault="00C8520A" w:rsidP="00B847E7">
      <w:pPr>
        <w:pStyle w:val="Headingb"/>
        <w:rPr>
          <w:highlight w:val="yellow"/>
        </w:rPr>
      </w:pPr>
    </w:p>
    <w:p w14:paraId="6D9B1098" w14:textId="77777777" w:rsidR="00C8520A" w:rsidRDefault="00C8520A" w:rsidP="00B847E7">
      <w:pPr>
        <w:pStyle w:val="Headingb"/>
        <w:rPr>
          <w:highlight w:val="yellow"/>
        </w:rPr>
      </w:pPr>
    </w:p>
    <w:p w14:paraId="70D88343" w14:textId="77777777" w:rsidR="00C8520A" w:rsidRDefault="00C8520A" w:rsidP="00B847E7">
      <w:pPr>
        <w:pStyle w:val="Headingb"/>
        <w:rPr>
          <w:highlight w:val="yellow"/>
        </w:rPr>
      </w:pPr>
    </w:p>
    <w:p w14:paraId="3D309ED8" w14:textId="77777777" w:rsidR="00C8520A" w:rsidRDefault="00C8520A" w:rsidP="00B847E7">
      <w:pPr>
        <w:pStyle w:val="Headingb"/>
        <w:rPr>
          <w:highlight w:val="yellow"/>
        </w:rPr>
      </w:pPr>
    </w:p>
    <w:p w14:paraId="0D4AA7E7" w14:textId="77777777" w:rsidR="00C8520A" w:rsidRDefault="00C8520A" w:rsidP="00B847E7">
      <w:pPr>
        <w:pStyle w:val="Headingb"/>
        <w:rPr>
          <w:highlight w:val="yellow"/>
        </w:rPr>
      </w:pPr>
    </w:p>
    <w:p w14:paraId="0417FDD2" w14:textId="77777777" w:rsidR="00C8520A" w:rsidRDefault="00C8520A" w:rsidP="00B847E7">
      <w:pPr>
        <w:pStyle w:val="Headingb"/>
        <w:rPr>
          <w:highlight w:val="yellow"/>
        </w:rPr>
      </w:pPr>
    </w:p>
    <w:p w14:paraId="27711DE8" w14:textId="77777777" w:rsidR="00C8520A" w:rsidRDefault="00C8520A" w:rsidP="00B847E7">
      <w:pPr>
        <w:pStyle w:val="Headingb"/>
        <w:rPr>
          <w:highlight w:val="yellow"/>
        </w:rPr>
      </w:pPr>
    </w:p>
    <w:p w14:paraId="39952519" w14:textId="77777777" w:rsidR="00004356" w:rsidRDefault="00004356" w:rsidP="00004356">
      <w:pPr>
        <w:rPr>
          <w:highlight w:val="yellow"/>
          <w:lang w:eastAsia="ja-JP"/>
        </w:rPr>
      </w:pPr>
    </w:p>
    <w:p w14:paraId="29BD056D" w14:textId="77777777" w:rsidR="00004356" w:rsidRDefault="00004356" w:rsidP="00004356">
      <w:pPr>
        <w:rPr>
          <w:highlight w:val="yellow"/>
          <w:lang w:eastAsia="ja-JP"/>
        </w:rPr>
      </w:pPr>
    </w:p>
    <w:p w14:paraId="5385FC2A" w14:textId="77777777" w:rsidR="00004356" w:rsidRDefault="00004356" w:rsidP="00004356">
      <w:pPr>
        <w:rPr>
          <w:highlight w:val="yellow"/>
          <w:lang w:eastAsia="ja-JP"/>
        </w:rPr>
      </w:pPr>
    </w:p>
    <w:p w14:paraId="5627C1BB" w14:textId="77777777" w:rsidR="00004356" w:rsidRDefault="00004356" w:rsidP="00004356">
      <w:pPr>
        <w:rPr>
          <w:highlight w:val="yellow"/>
          <w:lang w:eastAsia="ja-JP"/>
        </w:rPr>
      </w:pPr>
    </w:p>
    <w:p w14:paraId="4E40010B" w14:textId="77777777" w:rsidR="00004356" w:rsidRDefault="00004356" w:rsidP="00004356">
      <w:pPr>
        <w:rPr>
          <w:highlight w:val="yellow"/>
          <w:lang w:eastAsia="ja-JP"/>
        </w:rPr>
      </w:pPr>
    </w:p>
    <w:p w14:paraId="0874E23C" w14:textId="77777777" w:rsidR="00004356" w:rsidRDefault="00004356" w:rsidP="00004356">
      <w:pPr>
        <w:rPr>
          <w:highlight w:val="yellow"/>
          <w:lang w:eastAsia="ja-JP"/>
        </w:rPr>
      </w:pPr>
    </w:p>
    <w:p w14:paraId="0717C61B" w14:textId="77777777" w:rsidR="00004356" w:rsidRDefault="00004356" w:rsidP="00004356">
      <w:pPr>
        <w:rPr>
          <w:highlight w:val="yellow"/>
          <w:lang w:eastAsia="ja-JP"/>
        </w:rPr>
      </w:pPr>
    </w:p>
    <w:p w14:paraId="3617B707" w14:textId="77777777" w:rsidR="00004356" w:rsidRDefault="00004356" w:rsidP="00004356">
      <w:pPr>
        <w:rPr>
          <w:highlight w:val="yellow"/>
          <w:lang w:eastAsia="ja-JP"/>
        </w:rPr>
      </w:pPr>
    </w:p>
    <w:p w14:paraId="46D54A61" w14:textId="77777777" w:rsidR="00004356" w:rsidRDefault="00004356" w:rsidP="00004356">
      <w:pPr>
        <w:rPr>
          <w:highlight w:val="yellow"/>
          <w:lang w:eastAsia="ja-JP"/>
        </w:rPr>
      </w:pPr>
    </w:p>
    <w:p w14:paraId="7F9345F9" w14:textId="77777777" w:rsidR="009635CB" w:rsidRPr="001E1939" w:rsidRDefault="00685A1D" w:rsidP="00FF7C22">
      <w:pPr>
        <w:keepNext/>
        <w:jc w:val="center"/>
        <w:rPr>
          <w:b/>
          <w:bCs/>
        </w:rPr>
      </w:pPr>
      <w:r>
        <w:rPr>
          <w:b/>
          <w:bCs/>
        </w:rPr>
        <w:t>Table of C</w:t>
      </w:r>
      <w:r w:rsidR="00FF7C22">
        <w:rPr>
          <w:b/>
          <w:bCs/>
        </w:rPr>
        <w:t>ontents</w:t>
      </w:r>
    </w:p>
    <w:sdt>
      <w:sdtPr>
        <w:rPr>
          <w:rFonts w:ascii="Times New Roman" w:hAnsi="Times New Roman" w:cs="Times New Roman"/>
          <w:b w:val="0"/>
          <w:bCs w:val="0"/>
          <w:sz w:val="24"/>
          <w:szCs w:val="20"/>
        </w:rPr>
        <w:id w:val="-736087698"/>
        <w:docPartObj>
          <w:docPartGallery w:val="Table of Contents"/>
          <w:docPartUnique/>
        </w:docPartObj>
      </w:sdtPr>
      <w:sdtEndPr>
        <w:rPr>
          <w:noProof/>
        </w:rPr>
      </w:sdtEndPr>
      <w:sdtContent>
        <w:p w14:paraId="54373C2A" w14:textId="0E580732" w:rsidR="00F546B7" w:rsidRDefault="00685A1D">
          <w:pPr>
            <w:pStyle w:val="TOC1"/>
            <w:tabs>
              <w:tab w:val="right" w:leader="dot" w:pos="9629"/>
            </w:tabs>
            <w:rPr>
              <w:rFonts w:asciiTheme="minorHAnsi" w:eastAsiaTheme="minorEastAsia" w:hAnsiTheme="minorHAnsi" w:cstheme="minorBidi"/>
              <w:b w:val="0"/>
              <w:bCs w:val="0"/>
              <w:noProof/>
              <w:sz w:val="22"/>
              <w:szCs w:val="22"/>
              <w:lang w:eastAsia="en-GB"/>
            </w:rPr>
          </w:pPr>
          <w:r w:rsidRPr="00506992">
            <w:rPr>
              <w:rFonts w:ascii="Times New Roman" w:hAnsi="Times New Roman" w:cs="Times New Roman"/>
              <w:noProof/>
              <w:sz w:val="22"/>
              <w:szCs w:val="22"/>
            </w:rPr>
            <w:fldChar w:fldCharType="begin"/>
          </w:r>
          <w:r w:rsidRPr="00506992">
            <w:rPr>
              <w:rFonts w:ascii="Times New Roman" w:hAnsi="Times New Roman" w:cs="Times New Roman"/>
              <w:noProof/>
              <w:sz w:val="22"/>
              <w:szCs w:val="22"/>
            </w:rPr>
            <w:instrText xml:space="preserve"> TOC \o "1-3" \h \z \u </w:instrText>
          </w:r>
          <w:r w:rsidRPr="00506992">
            <w:rPr>
              <w:rFonts w:ascii="Times New Roman" w:hAnsi="Times New Roman" w:cs="Times New Roman"/>
              <w:noProof/>
              <w:sz w:val="22"/>
              <w:szCs w:val="22"/>
            </w:rPr>
            <w:fldChar w:fldCharType="separate"/>
          </w:r>
          <w:hyperlink w:anchor="_Toc14190262" w:history="1">
            <w:r w:rsidR="00F546B7" w:rsidRPr="00833CD9">
              <w:rPr>
                <w:rStyle w:val="Hyperlink"/>
                <w:rFonts w:asciiTheme="majorBidi" w:hAnsiTheme="majorBidi" w:cstheme="majorBidi"/>
                <w:noProof/>
              </w:rPr>
              <w:t>Executive Summary</w:t>
            </w:r>
            <w:r w:rsidR="00F546B7">
              <w:rPr>
                <w:noProof/>
                <w:webHidden/>
              </w:rPr>
              <w:tab/>
            </w:r>
            <w:r w:rsidR="00F546B7">
              <w:rPr>
                <w:noProof/>
                <w:webHidden/>
              </w:rPr>
              <w:fldChar w:fldCharType="begin"/>
            </w:r>
            <w:r w:rsidR="00F546B7">
              <w:rPr>
                <w:noProof/>
                <w:webHidden/>
              </w:rPr>
              <w:instrText xml:space="preserve"> PAGEREF _Toc14190262 \h </w:instrText>
            </w:r>
            <w:r w:rsidR="00F546B7">
              <w:rPr>
                <w:noProof/>
                <w:webHidden/>
              </w:rPr>
            </w:r>
            <w:r w:rsidR="00F546B7">
              <w:rPr>
                <w:rFonts w:hint="eastAsia"/>
                <w:noProof/>
                <w:webHidden/>
              </w:rPr>
              <w:fldChar w:fldCharType="separate"/>
            </w:r>
            <w:r w:rsidR="00F546B7">
              <w:rPr>
                <w:rFonts w:hint="eastAsia"/>
                <w:noProof/>
                <w:webHidden/>
              </w:rPr>
              <w:t>6</w:t>
            </w:r>
            <w:r w:rsidR="00F546B7">
              <w:rPr>
                <w:noProof/>
                <w:webHidden/>
              </w:rPr>
              <w:fldChar w:fldCharType="end"/>
            </w:r>
          </w:hyperlink>
        </w:p>
        <w:p w14:paraId="660C06F9" w14:textId="7C91721E" w:rsidR="00F546B7" w:rsidRDefault="00F546B7">
          <w:pPr>
            <w:pStyle w:val="TOC1"/>
            <w:tabs>
              <w:tab w:val="left" w:pos="480"/>
              <w:tab w:val="right" w:leader="dot" w:pos="9629"/>
            </w:tabs>
            <w:rPr>
              <w:rFonts w:asciiTheme="minorHAnsi" w:eastAsiaTheme="minorEastAsia" w:hAnsiTheme="minorHAnsi" w:cstheme="minorBidi"/>
              <w:b w:val="0"/>
              <w:bCs w:val="0"/>
              <w:noProof/>
              <w:sz w:val="22"/>
              <w:szCs w:val="22"/>
              <w:lang w:eastAsia="en-GB"/>
            </w:rPr>
          </w:pPr>
          <w:hyperlink w:anchor="_Toc14190263" w:history="1">
            <w:r w:rsidRPr="00833CD9">
              <w:rPr>
                <w:rStyle w:val="Hyperlink"/>
                <w:noProof/>
              </w:rPr>
              <w:t>1</w:t>
            </w:r>
            <w:r>
              <w:rPr>
                <w:rFonts w:asciiTheme="minorHAnsi" w:eastAsiaTheme="minorEastAsia" w:hAnsiTheme="minorHAnsi" w:cstheme="minorBidi"/>
                <w:b w:val="0"/>
                <w:bCs w:val="0"/>
                <w:noProof/>
                <w:sz w:val="22"/>
                <w:szCs w:val="22"/>
                <w:lang w:eastAsia="en-GB"/>
              </w:rPr>
              <w:tab/>
            </w:r>
            <w:r w:rsidRPr="00833CD9">
              <w:rPr>
                <w:rStyle w:val="Hyperlink"/>
                <w:noProof/>
              </w:rPr>
              <w:t>Introduction</w:t>
            </w:r>
            <w:r>
              <w:rPr>
                <w:noProof/>
                <w:webHidden/>
              </w:rPr>
              <w:tab/>
            </w:r>
            <w:r>
              <w:rPr>
                <w:noProof/>
                <w:webHidden/>
              </w:rPr>
              <w:fldChar w:fldCharType="begin"/>
            </w:r>
            <w:r>
              <w:rPr>
                <w:noProof/>
                <w:webHidden/>
              </w:rPr>
              <w:instrText xml:space="preserve"> PAGEREF _Toc14190263 \h </w:instrText>
            </w:r>
            <w:r>
              <w:rPr>
                <w:noProof/>
                <w:webHidden/>
              </w:rPr>
            </w:r>
            <w:r>
              <w:rPr>
                <w:rFonts w:hint="eastAsia"/>
                <w:noProof/>
                <w:webHidden/>
              </w:rPr>
              <w:fldChar w:fldCharType="separate"/>
            </w:r>
            <w:r>
              <w:rPr>
                <w:rFonts w:hint="eastAsia"/>
                <w:noProof/>
                <w:webHidden/>
              </w:rPr>
              <w:t>7</w:t>
            </w:r>
            <w:r>
              <w:rPr>
                <w:noProof/>
                <w:webHidden/>
              </w:rPr>
              <w:fldChar w:fldCharType="end"/>
            </w:r>
          </w:hyperlink>
        </w:p>
        <w:p w14:paraId="767477FD" w14:textId="63E0D358" w:rsidR="00F546B7" w:rsidRDefault="00F546B7">
          <w:pPr>
            <w:pStyle w:val="TOC1"/>
            <w:tabs>
              <w:tab w:val="left" w:pos="480"/>
              <w:tab w:val="right" w:leader="dot" w:pos="9629"/>
            </w:tabs>
            <w:rPr>
              <w:rFonts w:asciiTheme="minorHAnsi" w:eastAsiaTheme="minorEastAsia" w:hAnsiTheme="minorHAnsi" w:cstheme="minorBidi"/>
              <w:b w:val="0"/>
              <w:bCs w:val="0"/>
              <w:noProof/>
              <w:sz w:val="22"/>
              <w:szCs w:val="22"/>
              <w:lang w:eastAsia="en-GB"/>
            </w:rPr>
          </w:pPr>
          <w:hyperlink w:anchor="_Toc14190264" w:history="1">
            <w:r w:rsidRPr="00833CD9">
              <w:rPr>
                <w:rStyle w:val="Hyperlink"/>
                <w:noProof/>
              </w:rPr>
              <w:t>2</w:t>
            </w:r>
            <w:r>
              <w:rPr>
                <w:rFonts w:asciiTheme="minorHAnsi" w:eastAsiaTheme="minorEastAsia" w:hAnsiTheme="minorHAnsi" w:cstheme="minorBidi"/>
                <w:b w:val="0"/>
                <w:bCs w:val="0"/>
                <w:noProof/>
                <w:sz w:val="22"/>
                <w:szCs w:val="22"/>
                <w:lang w:eastAsia="en-GB"/>
              </w:rPr>
              <w:tab/>
            </w:r>
            <w:r w:rsidRPr="00833CD9">
              <w:rPr>
                <w:rStyle w:val="Hyperlink"/>
                <w:noProof/>
              </w:rPr>
              <w:t>Wholesale CBDC</w:t>
            </w:r>
            <w:r>
              <w:rPr>
                <w:noProof/>
                <w:webHidden/>
              </w:rPr>
              <w:tab/>
            </w:r>
            <w:r>
              <w:rPr>
                <w:noProof/>
                <w:webHidden/>
              </w:rPr>
              <w:fldChar w:fldCharType="begin"/>
            </w:r>
            <w:r>
              <w:rPr>
                <w:noProof/>
                <w:webHidden/>
              </w:rPr>
              <w:instrText xml:space="preserve"> PAGEREF _Toc14190264 \h </w:instrText>
            </w:r>
            <w:r>
              <w:rPr>
                <w:noProof/>
                <w:webHidden/>
              </w:rPr>
            </w:r>
            <w:r>
              <w:rPr>
                <w:rFonts w:hint="eastAsia"/>
                <w:noProof/>
                <w:webHidden/>
              </w:rPr>
              <w:fldChar w:fldCharType="separate"/>
            </w:r>
            <w:r>
              <w:rPr>
                <w:rFonts w:hint="eastAsia"/>
                <w:noProof/>
                <w:webHidden/>
              </w:rPr>
              <w:t>10</w:t>
            </w:r>
            <w:r>
              <w:rPr>
                <w:noProof/>
                <w:webHidden/>
              </w:rPr>
              <w:fldChar w:fldCharType="end"/>
            </w:r>
          </w:hyperlink>
        </w:p>
        <w:p w14:paraId="6D2C1693" w14:textId="42A4B51B"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265" w:history="1">
            <w:r w:rsidRPr="00833CD9">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smallCaps w:val="0"/>
                <w:noProof/>
                <w:sz w:val="22"/>
                <w:szCs w:val="22"/>
                <w:lang w:eastAsia="en-GB"/>
              </w:rPr>
              <w:tab/>
            </w:r>
            <w:r w:rsidRPr="00833CD9">
              <w:rPr>
                <w:rStyle w:val="Hyperlink"/>
                <w:noProof/>
              </w:rPr>
              <w:t>Central Bank Oversight and Operation of Wholesale Payment Systems</w:t>
            </w:r>
            <w:r>
              <w:rPr>
                <w:noProof/>
                <w:webHidden/>
              </w:rPr>
              <w:tab/>
            </w:r>
            <w:r>
              <w:rPr>
                <w:noProof/>
                <w:webHidden/>
              </w:rPr>
              <w:fldChar w:fldCharType="begin"/>
            </w:r>
            <w:r>
              <w:rPr>
                <w:noProof/>
                <w:webHidden/>
              </w:rPr>
              <w:instrText xml:space="preserve"> PAGEREF _Toc14190265 \h </w:instrText>
            </w:r>
            <w:r>
              <w:rPr>
                <w:noProof/>
                <w:webHidden/>
              </w:rPr>
            </w:r>
            <w:r>
              <w:rPr>
                <w:noProof/>
                <w:webHidden/>
              </w:rPr>
              <w:fldChar w:fldCharType="separate"/>
            </w:r>
            <w:r>
              <w:rPr>
                <w:noProof/>
                <w:webHidden/>
              </w:rPr>
              <w:t>10</w:t>
            </w:r>
            <w:r>
              <w:rPr>
                <w:noProof/>
                <w:webHidden/>
              </w:rPr>
              <w:fldChar w:fldCharType="end"/>
            </w:r>
          </w:hyperlink>
        </w:p>
        <w:p w14:paraId="4F6AF45F" w14:textId="24168732"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266" w:history="1">
            <w:r w:rsidRPr="00833CD9">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smallCaps w:val="0"/>
                <w:noProof/>
                <w:sz w:val="22"/>
                <w:szCs w:val="22"/>
                <w:lang w:eastAsia="en-GB"/>
              </w:rPr>
              <w:tab/>
            </w:r>
            <w:r w:rsidRPr="00833CD9">
              <w:rPr>
                <w:rStyle w:val="Hyperlink"/>
                <w:noProof/>
              </w:rPr>
              <w:t>Efficiency of CBDC Wholesale Payment Systems</w:t>
            </w:r>
            <w:r>
              <w:rPr>
                <w:noProof/>
                <w:webHidden/>
              </w:rPr>
              <w:tab/>
            </w:r>
            <w:r>
              <w:rPr>
                <w:noProof/>
                <w:webHidden/>
              </w:rPr>
              <w:fldChar w:fldCharType="begin"/>
            </w:r>
            <w:r>
              <w:rPr>
                <w:noProof/>
                <w:webHidden/>
              </w:rPr>
              <w:instrText xml:space="preserve"> PAGEREF _Toc14190266 \h </w:instrText>
            </w:r>
            <w:r>
              <w:rPr>
                <w:noProof/>
                <w:webHidden/>
              </w:rPr>
            </w:r>
            <w:r>
              <w:rPr>
                <w:noProof/>
                <w:webHidden/>
              </w:rPr>
              <w:fldChar w:fldCharType="separate"/>
            </w:r>
            <w:r>
              <w:rPr>
                <w:noProof/>
                <w:webHidden/>
              </w:rPr>
              <w:t>12</w:t>
            </w:r>
            <w:r>
              <w:rPr>
                <w:noProof/>
                <w:webHidden/>
              </w:rPr>
              <w:fldChar w:fldCharType="end"/>
            </w:r>
          </w:hyperlink>
        </w:p>
        <w:p w14:paraId="552DBACD" w14:textId="63A8A4B2"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267" w:history="1">
            <w:r w:rsidRPr="00833CD9">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smallCaps w:val="0"/>
                <w:noProof/>
                <w:sz w:val="22"/>
                <w:szCs w:val="22"/>
                <w:lang w:eastAsia="en-GB"/>
              </w:rPr>
              <w:tab/>
            </w:r>
            <w:r w:rsidRPr="00833CD9">
              <w:rPr>
                <w:rStyle w:val="Hyperlink"/>
                <w:noProof/>
              </w:rPr>
              <w:t>Additional Functionalities for Wholesale Payment Systems</w:t>
            </w:r>
            <w:r>
              <w:rPr>
                <w:noProof/>
                <w:webHidden/>
              </w:rPr>
              <w:tab/>
            </w:r>
            <w:r>
              <w:rPr>
                <w:noProof/>
                <w:webHidden/>
              </w:rPr>
              <w:fldChar w:fldCharType="begin"/>
            </w:r>
            <w:r>
              <w:rPr>
                <w:noProof/>
                <w:webHidden/>
              </w:rPr>
              <w:instrText xml:space="preserve"> PAGEREF _Toc14190267 \h </w:instrText>
            </w:r>
            <w:r>
              <w:rPr>
                <w:noProof/>
                <w:webHidden/>
              </w:rPr>
            </w:r>
            <w:r>
              <w:rPr>
                <w:noProof/>
                <w:webHidden/>
              </w:rPr>
              <w:fldChar w:fldCharType="separate"/>
            </w:r>
            <w:r>
              <w:rPr>
                <w:noProof/>
                <w:webHidden/>
              </w:rPr>
              <w:t>15</w:t>
            </w:r>
            <w:r>
              <w:rPr>
                <w:noProof/>
                <w:webHidden/>
              </w:rPr>
              <w:fldChar w:fldCharType="end"/>
            </w:r>
          </w:hyperlink>
        </w:p>
        <w:p w14:paraId="56641F97" w14:textId="3A09D2D3"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268" w:history="1">
            <w:r w:rsidRPr="00833CD9">
              <w:rPr>
                <w:rStyle w:val="Hyperlink"/>
                <w:noProof/>
                <w14:scene3d>
                  <w14:camera w14:prst="orthographicFront"/>
                  <w14:lightRig w14:rig="threePt" w14:dir="t">
                    <w14:rot w14:lat="0" w14:lon="0" w14:rev="0"/>
                  </w14:lightRig>
                </w14:scene3d>
              </w:rPr>
              <w:t>2.4</w:t>
            </w:r>
            <w:r>
              <w:rPr>
                <w:rFonts w:asciiTheme="minorHAnsi" w:eastAsiaTheme="minorEastAsia" w:hAnsiTheme="minorHAnsi" w:cstheme="minorBidi"/>
                <w:smallCaps w:val="0"/>
                <w:noProof/>
                <w:sz w:val="22"/>
                <w:szCs w:val="22"/>
                <w:lang w:eastAsia="en-GB"/>
              </w:rPr>
              <w:tab/>
            </w:r>
            <w:r w:rsidRPr="00833CD9">
              <w:rPr>
                <w:rStyle w:val="Hyperlink"/>
                <w:noProof/>
              </w:rPr>
              <w:t>Market Environment and Eco-system Considerations</w:t>
            </w:r>
            <w:r>
              <w:rPr>
                <w:noProof/>
                <w:webHidden/>
              </w:rPr>
              <w:tab/>
            </w:r>
            <w:r>
              <w:rPr>
                <w:noProof/>
                <w:webHidden/>
              </w:rPr>
              <w:fldChar w:fldCharType="begin"/>
            </w:r>
            <w:r>
              <w:rPr>
                <w:noProof/>
                <w:webHidden/>
              </w:rPr>
              <w:instrText xml:space="preserve"> PAGEREF _Toc14190268 \h </w:instrText>
            </w:r>
            <w:r>
              <w:rPr>
                <w:noProof/>
                <w:webHidden/>
              </w:rPr>
            </w:r>
            <w:r>
              <w:rPr>
                <w:noProof/>
                <w:webHidden/>
              </w:rPr>
              <w:fldChar w:fldCharType="separate"/>
            </w:r>
            <w:r>
              <w:rPr>
                <w:noProof/>
                <w:webHidden/>
              </w:rPr>
              <w:t>18</w:t>
            </w:r>
            <w:r>
              <w:rPr>
                <w:noProof/>
                <w:webHidden/>
              </w:rPr>
              <w:fldChar w:fldCharType="end"/>
            </w:r>
          </w:hyperlink>
        </w:p>
        <w:p w14:paraId="5A1CCAE1" w14:textId="3D02C939" w:rsidR="00F546B7" w:rsidRDefault="00F546B7">
          <w:pPr>
            <w:pStyle w:val="TOC1"/>
            <w:tabs>
              <w:tab w:val="left" w:pos="480"/>
              <w:tab w:val="right" w:leader="dot" w:pos="9629"/>
            </w:tabs>
            <w:rPr>
              <w:rFonts w:asciiTheme="minorHAnsi" w:eastAsiaTheme="minorEastAsia" w:hAnsiTheme="minorHAnsi" w:cstheme="minorBidi"/>
              <w:b w:val="0"/>
              <w:bCs w:val="0"/>
              <w:noProof/>
              <w:sz w:val="22"/>
              <w:szCs w:val="22"/>
              <w:lang w:eastAsia="en-GB"/>
            </w:rPr>
          </w:pPr>
          <w:hyperlink w:anchor="_Toc14190269" w:history="1">
            <w:r w:rsidRPr="00833CD9">
              <w:rPr>
                <w:rStyle w:val="Hyperlink"/>
                <w:rFonts w:eastAsia="Batang"/>
                <w:noProof/>
              </w:rPr>
              <w:t>3</w:t>
            </w:r>
            <w:r>
              <w:rPr>
                <w:rFonts w:asciiTheme="minorHAnsi" w:eastAsiaTheme="minorEastAsia" w:hAnsiTheme="minorHAnsi" w:cstheme="minorBidi"/>
                <w:b w:val="0"/>
                <w:bCs w:val="0"/>
                <w:noProof/>
                <w:sz w:val="22"/>
                <w:szCs w:val="22"/>
                <w:lang w:eastAsia="en-GB"/>
              </w:rPr>
              <w:tab/>
            </w:r>
            <w:r w:rsidRPr="00833CD9">
              <w:rPr>
                <w:rStyle w:val="Hyperlink"/>
                <w:rFonts w:eastAsia="Batang"/>
                <w:noProof/>
              </w:rPr>
              <w:t>Retail CBDC</w:t>
            </w:r>
            <w:r>
              <w:rPr>
                <w:noProof/>
                <w:webHidden/>
              </w:rPr>
              <w:tab/>
            </w:r>
            <w:r>
              <w:rPr>
                <w:noProof/>
                <w:webHidden/>
              </w:rPr>
              <w:fldChar w:fldCharType="begin"/>
            </w:r>
            <w:r>
              <w:rPr>
                <w:noProof/>
                <w:webHidden/>
              </w:rPr>
              <w:instrText xml:space="preserve"> PAGEREF _Toc14190269 \h </w:instrText>
            </w:r>
            <w:r>
              <w:rPr>
                <w:noProof/>
                <w:webHidden/>
              </w:rPr>
            </w:r>
            <w:r>
              <w:rPr>
                <w:rFonts w:hint="eastAsia"/>
                <w:noProof/>
                <w:webHidden/>
              </w:rPr>
              <w:fldChar w:fldCharType="separate"/>
            </w:r>
            <w:r>
              <w:rPr>
                <w:rFonts w:hint="eastAsia"/>
                <w:noProof/>
                <w:webHidden/>
              </w:rPr>
              <w:t>18</w:t>
            </w:r>
            <w:r>
              <w:rPr>
                <w:noProof/>
                <w:webHidden/>
              </w:rPr>
              <w:fldChar w:fldCharType="end"/>
            </w:r>
          </w:hyperlink>
        </w:p>
        <w:p w14:paraId="1DA01094" w14:textId="2F44FE1D"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270" w:history="1">
            <w:r w:rsidRPr="00833CD9">
              <w:rPr>
                <w:rStyle w:val="Hyperlink"/>
                <w:noProof/>
                <w:lang w:val="en-US"/>
                <w14:scene3d>
                  <w14:camera w14:prst="orthographicFront"/>
                  <w14:lightRig w14:rig="threePt" w14:dir="t">
                    <w14:rot w14:lat="0" w14:lon="0" w14:rev="0"/>
                  </w14:lightRig>
                </w14:scene3d>
              </w:rPr>
              <w:t>3.1</w:t>
            </w:r>
            <w:r>
              <w:rPr>
                <w:rFonts w:asciiTheme="minorHAnsi" w:eastAsiaTheme="minorEastAsia" w:hAnsiTheme="minorHAnsi" w:cstheme="minorBidi"/>
                <w:smallCaps w:val="0"/>
                <w:noProof/>
                <w:sz w:val="22"/>
                <w:szCs w:val="22"/>
                <w:lang w:eastAsia="en-GB"/>
              </w:rPr>
              <w:tab/>
            </w:r>
            <w:r w:rsidRPr="00833CD9">
              <w:rPr>
                <w:rStyle w:val="Hyperlink"/>
                <w:noProof/>
                <w:lang w:val="en-US"/>
              </w:rPr>
              <w:t>Retail CBDC design principles and attributes</w:t>
            </w:r>
            <w:r>
              <w:rPr>
                <w:noProof/>
                <w:webHidden/>
              </w:rPr>
              <w:tab/>
            </w:r>
            <w:r>
              <w:rPr>
                <w:noProof/>
                <w:webHidden/>
              </w:rPr>
              <w:fldChar w:fldCharType="begin"/>
            </w:r>
            <w:r>
              <w:rPr>
                <w:noProof/>
                <w:webHidden/>
              </w:rPr>
              <w:instrText xml:space="preserve"> PAGEREF _Toc14190270 \h </w:instrText>
            </w:r>
            <w:r>
              <w:rPr>
                <w:noProof/>
                <w:webHidden/>
              </w:rPr>
            </w:r>
            <w:r>
              <w:rPr>
                <w:noProof/>
                <w:webHidden/>
              </w:rPr>
              <w:fldChar w:fldCharType="separate"/>
            </w:r>
            <w:r>
              <w:rPr>
                <w:noProof/>
                <w:webHidden/>
              </w:rPr>
              <w:t>20</w:t>
            </w:r>
            <w:r>
              <w:rPr>
                <w:noProof/>
                <w:webHidden/>
              </w:rPr>
              <w:fldChar w:fldCharType="end"/>
            </w:r>
          </w:hyperlink>
        </w:p>
        <w:p w14:paraId="20A8B464" w14:textId="75CDE254" w:rsidR="00F546B7" w:rsidRDefault="00F546B7">
          <w:pPr>
            <w:pStyle w:val="TOC2"/>
            <w:tabs>
              <w:tab w:val="right" w:leader="dot" w:pos="9629"/>
            </w:tabs>
            <w:rPr>
              <w:rFonts w:asciiTheme="minorHAnsi" w:eastAsiaTheme="minorEastAsia" w:hAnsiTheme="minorHAnsi" w:cstheme="minorBidi"/>
              <w:smallCaps w:val="0"/>
              <w:noProof/>
              <w:sz w:val="22"/>
              <w:szCs w:val="22"/>
              <w:lang w:eastAsia="en-GB"/>
            </w:rPr>
          </w:pPr>
          <w:hyperlink w:anchor="_Toc14190271" w:history="1">
            <w:r w:rsidRPr="00833CD9">
              <w:rPr>
                <w:rStyle w:val="Hyperlink"/>
                <w:noProof/>
                <w:lang w:val="en-US"/>
              </w:rPr>
              <w:t>Table 3: Summary of Retail CBDC design principles and attributes</w:t>
            </w:r>
            <w:r>
              <w:rPr>
                <w:noProof/>
                <w:webHidden/>
              </w:rPr>
              <w:tab/>
            </w:r>
            <w:r>
              <w:rPr>
                <w:noProof/>
                <w:webHidden/>
              </w:rPr>
              <w:fldChar w:fldCharType="begin"/>
            </w:r>
            <w:r>
              <w:rPr>
                <w:noProof/>
                <w:webHidden/>
              </w:rPr>
              <w:instrText xml:space="preserve"> PAGEREF _Toc14190271 \h </w:instrText>
            </w:r>
            <w:r>
              <w:rPr>
                <w:noProof/>
                <w:webHidden/>
              </w:rPr>
            </w:r>
            <w:r>
              <w:rPr>
                <w:noProof/>
                <w:webHidden/>
              </w:rPr>
              <w:fldChar w:fldCharType="separate"/>
            </w:r>
            <w:r>
              <w:rPr>
                <w:noProof/>
                <w:webHidden/>
              </w:rPr>
              <w:t>20</w:t>
            </w:r>
            <w:r>
              <w:rPr>
                <w:noProof/>
                <w:webHidden/>
              </w:rPr>
              <w:fldChar w:fldCharType="end"/>
            </w:r>
          </w:hyperlink>
        </w:p>
        <w:p w14:paraId="031D23C5" w14:textId="67FDD33E"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272" w:history="1">
            <w:r w:rsidRPr="00833CD9">
              <w:rPr>
                <w:rStyle w:val="Hyperlink"/>
                <w:noProof/>
                <w:lang w:val="en-US"/>
                <w14:scene3d>
                  <w14:camera w14:prst="orthographicFront"/>
                  <w14:lightRig w14:rig="threePt" w14:dir="t">
                    <w14:rot w14:lat="0" w14:lon="0" w14:rev="0"/>
                  </w14:lightRig>
                </w14:scene3d>
              </w:rPr>
              <w:t>3.2</w:t>
            </w:r>
            <w:r>
              <w:rPr>
                <w:rFonts w:asciiTheme="minorHAnsi" w:eastAsiaTheme="minorEastAsia" w:hAnsiTheme="minorHAnsi" w:cstheme="minorBidi"/>
                <w:smallCaps w:val="0"/>
                <w:noProof/>
                <w:sz w:val="22"/>
                <w:szCs w:val="22"/>
                <w:lang w:eastAsia="en-GB"/>
              </w:rPr>
              <w:tab/>
            </w:r>
            <w:r w:rsidRPr="00833CD9">
              <w:rPr>
                <w:rStyle w:val="Hyperlink"/>
                <w:noProof/>
                <w:lang w:val="en-US"/>
              </w:rPr>
              <w:t>Possible DFC Architectures</w:t>
            </w:r>
            <w:r>
              <w:rPr>
                <w:noProof/>
                <w:webHidden/>
              </w:rPr>
              <w:tab/>
            </w:r>
            <w:r>
              <w:rPr>
                <w:noProof/>
                <w:webHidden/>
              </w:rPr>
              <w:fldChar w:fldCharType="begin"/>
            </w:r>
            <w:r>
              <w:rPr>
                <w:noProof/>
                <w:webHidden/>
              </w:rPr>
              <w:instrText xml:space="preserve"> PAGEREF _Toc14190272 \h </w:instrText>
            </w:r>
            <w:r>
              <w:rPr>
                <w:noProof/>
                <w:webHidden/>
              </w:rPr>
            </w:r>
            <w:r>
              <w:rPr>
                <w:noProof/>
                <w:webHidden/>
              </w:rPr>
              <w:fldChar w:fldCharType="separate"/>
            </w:r>
            <w:r>
              <w:rPr>
                <w:noProof/>
                <w:webHidden/>
              </w:rPr>
              <w:t>21</w:t>
            </w:r>
            <w:r>
              <w:rPr>
                <w:noProof/>
                <w:webHidden/>
              </w:rPr>
              <w:fldChar w:fldCharType="end"/>
            </w:r>
          </w:hyperlink>
        </w:p>
        <w:p w14:paraId="0FF1DBF7" w14:textId="4C1DED7D" w:rsidR="00F546B7" w:rsidRDefault="00F546B7">
          <w:pPr>
            <w:pStyle w:val="TOC3"/>
            <w:tabs>
              <w:tab w:val="left" w:pos="1200"/>
              <w:tab w:val="right" w:leader="dot" w:pos="9629"/>
            </w:tabs>
            <w:rPr>
              <w:rFonts w:asciiTheme="minorHAnsi" w:eastAsiaTheme="minorEastAsia" w:hAnsiTheme="minorHAnsi" w:cstheme="minorBidi"/>
              <w:i w:val="0"/>
              <w:iCs w:val="0"/>
              <w:noProof/>
              <w:sz w:val="22"/>
              <w:szCs w:val="22"/>
              <w:lang w:eastAsia="en-GB"/>
            </w:rPr>
          </w:pPr>
          <w:hyperlink w:anchor="_Toc14190273" w:history="1">
            <w:r w:rsidRPr="00833CD9">
              <w:rPr>
                <w:rStyle w:val="Hyperlink"/>
                <w:noProof/>
                <w:lang w:val="en-US"/>
              </w:rPr>
              <w:t>3.2.1</w:t>
            </w:r>
            <w:r>
              <w:rPr>
                <w:rFonts w:asciiTheme="minorHAnsi" w:eastAsiaTheme="minorEastAsia" w:hAnsiTheme="minorHAnsi" w:cstheme="minorBidi"/>
                <w:i w:val="0"/>
                <w:iCs w:val="0"/>
                <w:noProof/>
                <w:sz w:val="22"/>
                <w:szCs w:val="22"/>
                <w:lang w:eastAsia="en-GB"/>
              </w:rPr>
              <w:tab/>
            </w:r>
            <w:r w:rsidRPr="00833CD9">
              <w:rPr>
                <w:rStyle w:val="Hyperlink"/>
                <w:noProof/>
                <w:lang w:val="en-US"/>
              </w:rPr>
              <w:t>Centralized system</w:t>
            </w:r>
            <w:r>
              <w:rPr>
                <w:noProof/>
                <w:webHidden/>
              </w:rPr>
              <w:tab/>
            </w:r>
            <w:r>
              <w:rPr>
                <w:noProof/>
                <w:webHidden/>
              </w:rPr>
              <w:fldChar w:fldCharType="begin"/>
            </w:r>
            <w:r>
              <w:rPr>
                <w:noProof/>
                <w:webHidden/>
              </w:rPr>
              <w:instrText xml:space="preserve"> PAGEREF _Toc14190273 \h </w:instrText>
            </w:r>
            <w:r>
              <w:rPr>
                <w:noProof/>
                <w:webHidden/>
              </w:rPr>
            </w:r>
            <w:r>
              <w:rPr>
                <w:noProof/>
                <w:webHidden/>
              </w:rPr>
              <w:fldChar w:fldCharType="separate"/>
            </w:r>
            <w:r>
              <w:rPr>
                <w:noProof/>
                <w:webHidden/>
              </w:rPr>
              <w:t>22</w:t>
            </w:r>
            <w:r>
              <w:rPr>
                <w:noProof/>
                <w:webHidden/>
              </w:rPr>
              <w:fldChar w:fldCharType="end"/>
            </w:r>
          </w:hyperlink>
        </w:p>
        <w:p w14:paraId="4C904A54" w14:textId="09D5E045" w:rsidR="00F546B7" w:rsidRDefault="00F546B7">
          <w:pPr>
            <w:pStyle w:val="TOC3"/>
            <w:tabs>
              <w:tab w:val="left" w:pos="1200"/>
              <w:tab w:val="right" w:leader="dot" w:pos="9629"/>
            </w:tabs>
            <w:rPr>
              <w:rFonts w:asciiTheme="minorHAnsi" w:eastAsiaTheme="minorEastAsia" w:hAnsiTheme="minorHAnsi" w:cstheme="minorBidi"/>
              <w:i w:val="0"/>
              <w:iCs w:val="0"/>
              <w:noProof/>
              <w:sz w:val="22"/>
              <w:szCs w:val="22"/>
              <w:lang w:eastAsia="en-GB"/>
            </w:rPr>
          </w:pPr>
          <w:hyperlink w:anchor="_Toc14190274" w:history="1">
            <w:r w:rsidRPr="00833CD9">
              <w:rPr>
                <w:rStyle w:val="Hyperlink"/>
                <w:noProof/>
                <w:lang w:val="en-US"/>
              </w:rPr>
              <w:t>3.2.2</w:t>
            </w:r>
            <w:r>
              <w:rPr>
                <w:rFonts w:asciiTheme="minorHAnsi" w:eastAsiaTheme="minorEastAsia" w:hAnsiTheme="minorHAnsi" w:cstheme="minorBidi"/>
                <w:i w:val="0"/>
                <w:iCs w:val="0"/>
                <w:noProof/>
                <w:sz w:val="22"/>
                <w:szCs w:val="22"/>
                <w:lang w:eastAsia="en-GB"/>
              </w:rPr>
              <w:tab/>
            </w:r>
            <w:r w:rsidRPr="00833CD9">
              <w:rPr>
                <w:rStyle w:val="Hyperlink"/>
                <w:noProof/>
                <w:lang w:val="en-US"/>
              </w:rPr>
              <w:t>Accessible DFC as-a-service</w:t>
            </w:r>
            <w:r>
              <w:rPr>
                <w:noProof/>
                <w:webHidden/>
              </w:rPr>
              <w:tab/>
            </w:r>
            <w:r>
              <w:rPr>
                <w:noProof/>
                <w:webHidden/>
              </w:rPr>
              <w:fldChar w:fldCharType="begin"/>
            </w:r>
            <w:r>
              <w:rPr>
                <w:noProof/>
                <w:webHidden/>
              </w:rPr>
              <w:instrText xml:space="preserve"> PAGEREF _Toc14190274 \h </w:instrText>
            </w:r>
            <w:r>
              <w:rPr>
                <w:noProof/>
                <w:webHidden/>
              </w:rPr>
            </w:r>
            <w:r>
              <w:rPr>
                <w:noProof/>
                <w:webHidden/>
              </w:rPr>
              <w:fldChar w:fldCharType="separate"/>
            </w:r>
            <w:r>
              <w:rPr>
                <w:noProof/>
                <w:webHidden/>
              </w:rPr>
              <w:t>22</w:t>
            </w:r>
            <w:r>
              <w:rPr>
                <w:noProof/>
                <w:webHidden/>
              </w:rPr>
              <w:fldChar w:fldCharType="end"/>
            </w:r>
          </w:hyperlink>
        </w:p>
        <w:p w14:paraId="160F05C6" w14:textId="7638793E" w:rsidR="00F546B7" w:rsidRDefault="00F546B7">
          <w:pPr>
            <w:pStyle w:val="TOC3"/>
            <w:tabs>
              <w:tab w:val="left" w:pos="1200"/>
              <w:tab w:val="right" w:leader="dot" w:pos="9629"/>
            </w:tabs>
            <w:rPr>
              <w:rFonts w:asciiTheme="minorHAnsi" w:eastAsiaTheme="minorEastAsia" w:hAnsiTheme="minorHAnsi" w:cstheme="minorBidi"/>
              <w:i w:val="0"/>
              <w:iCs w:val="0"/>
              <w:noProof/>
              <w:sz w:val="22"/>
              <w:szCs w:val="22"/>
              <w:lang w:eastAsia="en-GB"/>
            </w:rPr>
          </w:pPr>
          <w:hyperlink w:anchor="_Toc14190276" w:history="1">
            <w:r w:rsidRPr="00833CD9">
              <w:rPr>
                <w:rStyle w:val="Hyperlink"/>
                <w:noProof/>
                <w:lang w:val="en-US"/>
              </w:rPr>
              <w:t>3.2.3</w:t>
            </w:r>
            <w:r>
              <w:rPr>
                <w:rFonts w:asciiTheme="minorHAnsi" w:eastAsiaTheme="minorEastAsia" w:hAnsiTheme="minorHAnsi" w:cstheme="minorBidi"/>
                <w:i w:val="0"/>
                <w:iCs w:val="0"/>
                <w:noProof/>
                <w:sz w:val="22"/>
                <w:szCs w:val="22"/>
                <w:lang w:eastAsia="en-GB"/>
              </w:rPr>
              <w:tab/>
            </w:r>
            <w:r w:rsidRPr="00833CD9">
              <w:rPr>
                <w:rStyle w:val="Hyperlink"/>
                <w:noProof/>
                <w:lang w:val="en-US"/>
              </w:rPr>
              <w:t>Hierarchical, distributed network</w:t>
            </w:r>
            <w:r>
              <w:rPr>
                <w:noProof/>
                <w:webHidden/>
              </w:rPr>
              <w:tab/>
            </w:r>
            <w:r>
              <w:rPr>
                <w:noProof/>
                <w:webHidden/>
              </w:rPr>
              <w:fldChar w:fldCharType="begin"/>
            </w:r>
            <w:r>
              <w:rPr>
                <w:noProof/>
                <w:webHidden/>
              </w:rPr>
              <w:instrText xml:space="preserve"> PAGEREF _Toc14190276 \h </w:instrText>
            </w:r>
            <w:r>
              <w:rPr>
                <w:noProof/>
                <w:webHidden/>
              </w:rPr>
            </w:r>
            <w:r>
              <w:rPr>
                <w:noProof/>
                <w:webHidden/>
              </w:rPr>
              <w:fldChar w:fldCharType="separate"/>
            </w:r>
            <w:r>
              <w:rPr>
                <w:noProof/>
                <w:webHidden/>
              </w:rPr>
              <w:t>23</w:t>
            </w:r>
            <w:r>
              <w:rPr>
                <w:noProof/>
                <w:webHidden/>
              </w:rPr>
              <w:fldChar w:fldCharType="end"/>
            </w:r>
          </w:hyperlink>
        </w:p>
        <w:p w14:paraId="688F6682" w14:textId="3BCA88B1" w:rsidR="00F546B7" w:rsidRDefault="00F546B7">
          <w:pPr>
            <w:pStyle w:val="TOC1"/>
            <w:tabs>
              <w:tab w:val="left" w:pos="480"/>
              <w:tab w:val="right" w:leader="dot" w:pos="9629"/>
            </w:tabs>
            <w:rPr>
              <w:rFonts w:asciiTheme="minorHAnsi" w:eastAsiaTheme="minorEastAsia" w:hAnsiTheme="minorHAnsi" w:cstheme="minorBidi"/>
              <w:b w:val="0"/>
              <w:bCs w:val="0"/>
              <w:noProof/>
              <w:sz w:val="22"/>
              <w:szCs w:val="22"/>
              <w:lang w:eastAsia="en-GB"/>
            </w:rPr>
          </w:pPr>
          <w:hyperlink w:anchor="_Toc14190278" w:history="1">
            <w:r w:rsidRPr="00833CD9">
              <w:rPr>
                <w:rStyle w:val="Hyperlink"/>
                <w:noProof/>
              </w:rPr>
              <w:t>4</w:t>
            </w:r>
            <w:r>
              <w:rPr>
                <w:rFonts w:asciiTheme="minorHAnsi" w:eastAsiaTheme="minorEastAsia" w:hAnsiTheme="minorHAnsi" w:cstheme="minorBidi"/>
                <w:b w:val="0"/>
                <w:bCs w:val="0"/>
                <w:noProof/>
                <w:sz w:val="22"/>
                <w:szCs w:val="22"/>
                <w:lang w:eastAsia="en-GB"/>
              </w:rPr>
              <w:tab/>
            </w:r>
            <w:r w:rsidRPr="00833CD9">
              <w:rPr>
                <w:rStyle w:val="Hyperlink"/>
                <w:noProof/>
              </w:rPr>
              <w:t>Cross-Border CBDC</w:t>
            </w:r>
            <w:r>
              <w:rPr>
                <w:noProof/>
                <w:webHidden/>
              </w:rPr>
              <w:tab/>
            </w:r>
            <w:r>
              <w:rPr>
                <w:noProof/>
                <w:webHidden/>
              </w:rPr>
              <w:fldChar w:fldCharType="begin"/>
            </w:r>
            <w:r>
              <w:rPr>
                <w:noProof/>
                <w:webHidden/>
              </w:rPr>
              <w:instrText xml:space="preserve"> PAGEREF _Toc14190278 \h </w:instrText>
            </w:r>
            <w:r>
              <w:rPr>
                <w:noProof/>
                <w:webHidden/>
              </w:rPr>
            </w:r>
            <w:r>
              <w:rPr>
                <w:rFonts w:hint="eastAsia"/>
                <w:noProof/>
                <w:webHidden/>
              </w:rPr>
              <w:fldChar w:fldCharType="separate"/>
            </w:r>
            <w:r>
              <w:rPr>
                <w:rFonts w:hint="eastAsia"/>
                <w:noProof/>
                <w:webHidden/>
              </w:rPr>
              <w:t>24</w:t>
            </w:r>
            <w:r>
              <w:rPr>
                <w:noProof/>
                <w:webHidden/>
              </w:rPr>
              <w:fldChar w:fldCharType="end"/>
            </w:r>
          </w:hyperlink>
        </w:p>
        <w:p w14:paraId="605C8635" w14:textId="0AF73CCD"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279" w:history="1">
            <w:r w:rsidRPr="00833CD9">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smallCaps w:val="0"/>
                <w:noProof/>
                <w:sz w:val="22"/>
                <w:szCs w:val="22"/>
                <w:lang w:eastAsia="en-GB"/>
              </w:rPr>
              <w:tab/>
            </w:r>
            <w:r w:rsidRPr="00833CD9">
              <w:rPr>
                <w:rStyle w:val="Hyperlink"/>
                <w:noProof/>
              </w:rPr>
              <w:t>Heterogeneity of Domestic Systems</w:t>
            </w:r>
            <w:r>
              <w:rPr>
                <w:noProof/>
                <w:webHidden/>
              </w:rPr>
              <w:tab/>
            </w:r>
            <w:r>
              <w:rPr>
                <w:noProof/>
                <w:webHidden/>
              </w:rPr>
              <w:fldChar w:fldCharType="begin"/>
            </w:r>
            <w:r>
              <w:rPr>
                <w:noProof/>
                <w:webHidden/>
              </w:rPr>
              <w:instrText xml:space="preserve"> PAGEREF _Toc14190279 \h </w:instrText>
            </w:r>
            <w:r>
              <w:rPr>
                <w:noProof/>
                <w:webHidden/>
              </w:rPr>
            </w:r>
            <w:r>
              <w:rPr>
                <w:noProof/>
                <w:webHidden/>
              </w:rPr>
              <w:fldChar w:fldCharType="separate"/>
            </w:r>
            <w:r>
              <w:rPr>
                <w:noProof/>
                <w:webHidden/>
              </w:rPr>
              <w:t>24</w:t>
            </w:r>
            <w:r>
              <w:rPr>
                <w:noProof/>
                <w:webHidden/>
              </w:rPr>
              <w:fldChar w:fldCharType="end"/>
            </w:r>
          </w:hyperlink>
        </w:p>
        <w:p w14:paraId="58957831" w14:textId="075B234B"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280" w:history="1">
            <w:r w:rsidRPr="00833CD9">
              <w:rPr>
                <w:rStyle w:val="Hyperlink"/>
                <w:rFonts w:eastAsia="Batang"/>
                <w:noProof/>
                <w:lang w:val="en-CA"/>
                <w14:scene3d>
                  <w14:camera w14:prst="orthographicFront"/>
                  <w14:lightRig w14:rig="threePt" w14:dir="t">
                    <w14:rot w14:lat="0" w14:lon="0" w14:rev="0"/>
                  </w14:lightRig>
                </w14:scene3d>
              </w:rPr>
              <w:t>4.2</w:t>
            </w:r>
            <w:r>
              <w:rPr>
                <w:rFonts w:asciiTheme="minorHAnsi" w:eastAsiaTheme="minorEastAsia" w:hAnsiTheme="minorHAnsi" w:cstheme="minorBidi"/>
                <w:smallCaps w:val="0"/>
                <w:noProof/>
                <w:sz w:val="22"/>
                <w:szCs w:val="22"/>
                <w:lang w:eastAsia="en-GB"/>
              </w:rPr>
              <w:tab/>
            </w:r>
            <w:r w:rsidRPr="00833CD9">
              <w:rPr>
                <w:rStyle w:val="Hyperlink"/>
                <w:noProof/>
              </w:rPr>
              <w:t>Sovereignty</w:t>
            </w:r>
            <w:r w:rsidRPr="00833CD9">
              <w:rPr>
                <w:rStyle w:val="Hyperlink"/>
                <w:rFonts w:eastAsia="Batang"/>
                <w:noProof/>
                <w:lang w:val="en-CA"/>
              </w:rPr>
              <w:t>, Oversight and Governance</w:t>
            </w:r>
            <w:r>
              <w:rPr>
                <w:noProof/>
                <w:webHidden/>
              </w:rPr>
              <w:tab/>
            </w:r>
            <w:r>
              <w:rPr>
                <w:noProof/>
                <w:webHidden/>
              </w:rPr>
              <w:fldChar w:fldCharType="begin"/>
            </w:r>
            <w:r>
              <w:rPr>
                <w:noProof/>
                <w:webHidden/>
              </w:rPr>
              <w:instrText xml:space="preserve"> PAGEREF _Toc14190280 \h </w:instrText>
            </w:r>
            <w:r>
              <w:rPr>
                <w:noProof/>
                <w:webHidden/>
              </w:rPr>
            </w:r>
            <w:r>
              <w:rPr>
                <w:noProof/>
                <w:webHidden/>
              </w:rPr>
              <w:fldChar w:fldCharType="separate"/>
            </w:r>
            <w:r>
              <w:rPr>
                <w:noProof/>
                <w:webHidden/>
              </w:rPr>
              <w:t>25</w:t>
            </w:r>
            <w:r>
              <w:rPr>
                <w:noProof/>
                <w:webHidden/>
              </w:rPr>
              <w:fldChar w:fldCharType="end"/>
            </w:r>
          </w:hyperlink>
        </w:p>
        <w:p w14:paraId="7930E0F0" w14:textId="1BDBE90D"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281" w:history="1">
            <w:r w:rsidRPr="00833CD9">
              <w:rPr>
                <w:rStyle w:val="Hyperlink"/>
                <w:noProof/>
                <w14:scene3d>
                  <w14:camera w14:prst="orthographicFront"/>
                  <w14:lightRig w14:rig="threePt" w14:dir="t">
                    <w14:rot w14:lat="0" w14:lon="0" w14:rev="0"/>
                  </w14:lightRig>
                </w14:scene3d>
              </w:rPr>
              <w:t>4.3</w:t>
            </w:r>
            <w:r>
              <w:rPr>
                <w:rFonts w:asciiTheme="minorHAnsi" w:eastAsiaTheme="minorEastAsia" w:hAnsiTheme="minorHAnsi" w:cstheme="minorBidi"/>
                <w:smallCaps w:val="0"/>
                <w:noProof/>
                <w:sz w:val="22"/>
                <w:szCs w:val="22"/>
                <w:lang w:eastAsia="en-GB"/>
              </w:rPr>
              <w:tab/>
            </w:r>
            <w:r w:rsidRPr="00833CD9">
              <w:rPr>
                <w:rStyle w:val="Hyperlink"/>
                <w:noProof/>
              </w:rPr>
              <w:t>Compliance</w:t>
            </w:r>
            <w:r>
              <w:rPr>
                <w:noProof/>
                <w:webHidden/>
              </w:rPr>
              <w:tab/>
            </w:r>
            <w:r>
              <w:rPr>
                <w:noProof/>
                <w:webHidden/>
              </w:rPr>
              <w:fldChar w:fldCharType="begin"/>
            </w:r>
            <w:r>
              <w:rPr>
                <w:noProof/>
                <w:webHidden/>
              </w:rPr>
              <w:instrText xml:space="preserve"> PAGEREF _Toc14190281 \h </w:instrText>
            </w:r>
            <w:r>
              <w:rPr>
                <w:noProof/>
                <w:webHidden/>
              </w:rPr>
            </w:r>
            <w:r>
              <w:rPr>
                <w:noProof/>
                <w:webHidden/>
              </w:rPr>
              <w:fldChar w:fldCharType="separate"/>
            </w:r>
            <w:r>
              <w:rPr>
                <w:noProof/>
                <w:webHidden/>
              </w:rPr>
              <w:t>25</w:t>
            </w:r>
            <w:r>
              <w:rPr>
                <w:noProof/>
                <w:webHidden/>
              </w:rPr>
              <w:fldChar w:fldCharType="end"/>
            </w:r>
          </w:hyperlink>
        </w:p>
        <w:p w14:paraId="63326207" w14:textId="08E35A3A"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282" w:history="1">
            <w:r w:rsidRPr="00833CD9">
              <w:rPr>
                <w:rStyle w:val="Hyperlink"/>
                <w:rFonts w:eastAsia="Batang"/>
                <w:noProof/>
                <w:lang w:val="en-CA"/>
                <w14:scene3d>
                  <w14:camera w14:prst="orthographicFront"/>
                  <w14:lightRig w14:rig="threePt" w14:dir="t">
                    <w14:rot w14:lat="0" w14:lon="0" w14:rev="0"/>
                  </w14:lightRig>
                </w14:scene3d>
              </w:rPr>
              <w:t>4.4</w:t>
            </w:r>
            <w:r>
              <w:rPr>
                <w:rFonts w:asciiTheme="minorHAnsi" w:eastAsiaTheme="minorEastAsia" w:hAnsiTheme="minorHAnsi" w:cstheme="minorBidi"/>
                <w:smallCaps w:val="0"/>
                <w:noProof/>
                <w:sz w:val="22"/>
                <w:szCs w:val="22"/>
                <w:lang w:eastAsia="en-GB"/>
              </w:rPr>
              <w:tab/>
            </w:r>
            <w:r w:rsidRPr="00833CD9">
              <w:rPr>
                <w:rStyle w:val="Hyperlink"/>
                <w:noProof/>
              </w:rPr>
              <w:t>Business</w:t>
            </w:r>
            <w:r w:rsidRPr="00833CD9">
              <w:rPr>
                <w:rStyle w:val="Hyperlink"/>
                <w:rFonts w:eastAsia="Batang"/>
                <w:noProof/>
                <w:lang w:val="en-CA"/>
              </w:rPr>
              <w:t xml:space="preserve"> Models</w:t>
            </w:r>
            <w:r>
              <w:rPr>
                <w:noProof/>
                <w:webHidden/>
              </w:rPr>
              <w:tab/>
            </w:r>
            <w:r>
              <w:rPr>
                <w:noProof/>
                <w:webHidden/>
              </w:rPr>
              <w:fldChar w:fldCharType="begin"/>
            </w:r>
            <w:r>
              <w:rPr>
                <w:noProof/>
                <w:webHidden/>
              </w:rPr>
              <w:instrText xml:space="preserve"> PAGEREF _Toc14190282 \h </w:instrText>
            </w:r>
            <w:r>
              <w:rPr>
                <w:noProof/>
                <w:webHidden/>
              </w:rPr>
            </w:r>
            <w:r>
              <w:rPr>
                <w:noProof/>
                <w:webHidden/>
              </w:rPr>
              <w:fldChar w:fldCharType="separate"/>
            </w:r>
            <w:r>
              <w:rPr>
                <w:noProof/>
                <w:webHidden/>
              </w:rPr>
              <w:t>25</w:t>
            </w:r>
            <w:r>
              <w:rPr>
                <w:noProof/>
                <w:webHidden/>
              </w:rPr>
              <w:fldChar w:fldCharType="end"/>
            </w:r>
          </w:hyperlink>
        </w:p>
        <w:p w14:paraId="1EE796B7" w14:textId="0DFB7BED"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283" w:history="1">
            <w:r w:rsidRPr="00833CD9">
              <w:rPr>
                <w:rStyle w:val="Hyperlink"/>
                <w:noProof/>
                <w14:scene3d>
                  <w14:camera w14:prst="orthographicFront"/>
                  <w14:lightRig w14:rig="threePt" w14:dir="t">
                    <w14:rot w14:lat="0" w14:lon="0" w14:rev="0"/>
                  </w14:lightRig>
                </w14:scene3d>
              </w:rPr>
              <w:t>4.5</w:t>
            </w:r>
            <w:r>
              <w:rPr>
                <w:rFonts w:asciiTheme="minorHAnsi" w:eastAsiaTheme="minorEastAsia" w:hAnsiTheme="minorHAnsi" w:cstheme="minorBidi"/>
                <w:smallCaps w:val="0"/>
                <w:noProof/>
                <w:sz w:val="22"/>
                <w:szCs w:val="22"/>
                <w:lang w:eastAsia="en-GB"/>
              </w:rPr>
              <w:tab/>
            </w:r>
            <w:r w:rsidRPr="00833CD9">
              <w:rPr>
                <w:rStyle w:val="Hyperlink"/>
                <w:noProof/>
              </w:rPr>
              <w:t>Trust Model</w:t>
            </w:r>
            <w:r>
              <w:rPr>
                <w:noProof/>
                <w:webHidden/>
              </w:rPr>
              <w:tab/>
            </w:r>
            <w:r>
              <w:rPr>
                <w:noProof/>
                <w:webHidden/>
              </w:rPr>
              <w:fldChar w:fldCharType="begin"/>
            </w:r>
            <w:r>
              <w:rPr>
                <w:noProof/>
                <w:webHidden/>
              </w:rPr>
              <w:instrText xml:space="preserve"> PAGEREF _Toc14190283 \h </w:instrText>
            </w:r>
            <w:r>
              <w:rPr>
                <w:noProof/>
                <w:webHidden/>
              </w:rPr>
            </w:r>
            <w:r>
              <w:rPr>
                <w:noProof/>
                <w:webHidden/>
              </w:rPr>
              <w:fldChar w:fldCharType="separate"/>
            </w:r>
            <w:r>
              <w:rPr>
                <w:noProof/>
                <w:webHidden/>
              </w:rPr>
              <w:t>25</w:t>
            </w:r>
            <w:r>
              <w:rPr>
                <w:noProof/>
                <w:webHidden/>
              </w:rPr>
              <w:fldChar w:fldCharType="end"/>
            </w:r>
          </w:hyperlink>
        </w:p>
        <w:p w14:paraId="358D9ABC" w14:textId="00A52406"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284" w:history="1">
            <w:r w:rsidRPr="00833CD9">
              <w:rPr>
                <w:rStyle w:val="Hyperlink"/>
                <w:noProof/>
                <w14:scene3d>
                  <w14:camera w14:prst="orthographicFront"/>
                  <w14:lightRig w14:rig="threePt" w14:dir="t">
                    <w14:rot w14:lat="0" w14:lon="0" w14:rev="0"/>
                  </w14:lightRig>
                </w14:scene3d>
              </w:rPr>
              <w:t>4.6</w:t>
            </w:r>
            <w:r>
              <w:rPr>
                <w:rFonts w:asciiTheme="minorHAnsi" w:eastAsiaTheme="minorEastAsia" w:hAnsiTheme="minorHAnsi" w:cstheme="minorBidi"/>
                <w:smallCaps w:val="0"/>
                <w:noProof/>
                <w:sz w:val="22"/>
                <w:szCs w:val="22"/>
                <w:lang w:eastAsia="en-GB"/>
              </w:rPr>
              <w:tab/>
            </w:r>
            <w:r w:rsidRPr="00833CD9">
              <w:rPr>
                <w:rStyle w:val="Hyperlink"/>
                <w:noProof/>
              </w:rPr>
              <w:t>Settlement Instrument</w:t>
            </w:r>
            <w:r>
              <w:rPr>
                <w:noProof/>
                <w:webHidden/>
              </w:rPr>
              <w:tab/>
            </w:r>
            <w:r>
              <w:rPr>
                <w:noProof/>
                <w:webHidden/>
              </w:rPr>
              <w:fldChar w:fldCharType="begin"/>
            </w:r>
            <w:r>
              <w:rPr>
                <w:noProof/>
                <w:webHidden/>
              </w:rPr>
              <w:instrText xml:space="preserve"> PAGEREF _Toc14190284 \h </w:instrText>
            </w:r>
            <w:r>
              <w:rPr>
                <w:noProof/>
                <w:webHidden/>
              </w:rPr>
            </w:r>
            <w:r>
              <w:rPr>
                <w:noProof/>
                <w:webHidden/>
              </w:rPr>
              <w:fldChar w:fldCharType="separate"/>
            </w:r>
            <w:r>
              <w:rPr>
                <w:noProof/>
                <w:webHidden/>
              </w:rPr>
              <w:t>25</w:t>
            </w:r>
            <w:r>
              <w:rPr>
                <w:noProof/>
                <w:webHidden/>
              </w:rPr>
              <w:fldChar w:fldCharType="end"/>
            </w:r>
          </w:hyperlink>
        </w:p>
        <w:p w14:paraId="1475F73D" w14:textId="15C71F80"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285" w:history="1">
            <w:r w:rsidRPr="00833CD9">
              <w:rPr>
                <w:rStyle w:val="Hyperlink"/>
                <w:noProof/>
                <w14:scene3d>
                  <w14:camera w14:prst="orthographicFront"/>
                  <w14:lightRig w14:rig="threePt" w14:dir="t">
                    <w14:rot w14:lat="0" w14:lon="0" w14:rev="0"/>
                  </w14:lightRig>
                </w14:scene3d>
              </w:rPr>
              <w:t>4.7</w:t>
            </w:r>
            <w:r>
              <w:rPr>
                <w:rFonts w:asciiTheme="minorHAnsi" w:eastAsiaTheme="minorEastAsia" w:hAnsiTheme="minorHAnsi" w:cstheme="minorBidi"/>
                <w:smallCaps w:val="0"/>
                <w:noProof/>
                <w:sz w:val="22"/>
                <w:szCs w:val="22"/>
                <w:lang w:eastAsia="en-GB"/>
              </w:rPr>
              <w:tab/>
            </w:r>
            <w:r w:rsidRPr="00833CD9">
              <w:rPr>
                <w:rStyle w:val="Hyperlink"/>
                <w:noProof/>
              </w:rPr>
              <w:t>Confidentiality</w:t>
            </w:r>
            <w:r>
              <w:rPr>
                <w:noProof/>
                <w:webHidden/>
              </w:rPr>
              <w:tab/>
            </w:r>
            <w:r>
              <w:rPr>
                <w:noProof/>
                <w:webHidden/>
              </w:rPr>
              <w:fldChar w:fldCharType="begin"/>
            </w:r>
            <w:r>
              <w:rPr>
                <w:noProof/>
                <w:webHidden/>
              </w:rPr>
              <w:instrText xml:space="preserve"> PAGEREF _Toc14190285 \h </w:instrText>
            </w:r>
            <w:r>
              <w:rPr>
                <w:noProof/>
                <w:webHidden/>
              </w:rPr>
            </w:r>
            <w:r>
              <w:rPr>
                <w:noProof/>
                <w:webHidden/>
              </w:rPr>
              <w:fldChar w:fldCharType="separate"/>
            </w:r>
            <w:r>
              <w:rPr>
                <w:noProof/>
                <w:webHidden/>
              </w:rPr>
              <w:t>26</w:t>
            </w:r>
            <w:r>
              <w:rPr>
                <w:noProof/>
                <w:webHidden/>
              </w:rPr>
              <w:fldChar w:fldCharType="end"/>
            </w:r>
          </w:hyperlink>
        </w:p>
        <w:p w14:paraId="0C9AA9F1" w14:textId="4DE94230"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286" w:history="1">
            <w:r w:rsidRPr="00833CD9">
              <w:rPr>
                <w:rStyle w:val="Hyperlink"/>
                <w:noProof/>
                <w14:scene3d>
                  <w14:camera w14:prst="orthographicFront"/>
                  <w14:lightRig w14:rig="threePt" w14:dir="t">
                    <w14:rot w14:lat="0" w14:lon="0" w14:rev="0"/>
                  </w14:lightRig>
                </w14:scene3d>
              </w:rPr>
              <w:t>4.8</w:t>
            </w:r>
            <w:r>
              <w:rPr>
                <w:rFonts w:asciiTheme="minorHAnsi" w:eastAsiaTheme="minorEastAsia" w:hAnsiTheme="minorHAnsi" w:cstheme="minorBidi"/>
                <w:smallCaps w:val="0"/>
                <w:noProof/>
                <w:sz w:val="22"/>
                <w:szCs w:val="22"/>
                <w:lang w:eastAsia="en-GB"/>
              </w:rPr>
              <w:tab/>
            </w:r>
            <w:r w:rsidRPr="00833CD9">
              <w:rPr>
                <w:rStyle w:val="Hyperlink"/>
                <w:noProof/>
              </w:rPr>
              <w:t>Transparency</w:t>
            </w:r>
            <w:r>
              <w:rPr>
                <w:noProof/>
                <w:webHidden/>
              </w:rPr>
              <w:tab/>
            </w:r>
            <w:r>
              <w:rPr>
                <w:noProof/>
                <w:webHidden/>
              </w:rPr>
              <w:fldChar w:fldCharType="begin"/>
            </w:r>
            <w:r>
              <w:rPr>
                <w:noProof/>
                <w:webHidden/>
              </w:rPr>
              <w:instrText xml:space="preserve"> PAGEREF _Toc14190286 \h </w:instrText>
            </w:r>
            <w:r>
              <w:rPr>
                <w:noProof/>
                <w:webHidden/>
              </w:rPr>
            </w:r>
            <w:r>
              <w:rPr>
                <w:noProof/>
                <w:webHidden/>
              </w:rPr>
              <w:fldChar w:fldCharType="separate"/>
            </w:r>
            <w:r>
              <w:rPr>
                <w:noProof/>
                <w:webHidden/>
              </w:rPr>
              <w:t>26</w:t>
            </w:r>
            <w:r>
              <w:rPr>
                <w:noProof/>
                <w:webHidden/>
              </w:rPr>
              <w:fldChar w:fldCharType="end"/>
            </w:r>
          </w:hyperlink>
        </w:p>
        <w:p w14:paraId="247640AB" w14:textId="3EF778EF"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287" w:history="1">
            <w:r w:rsidRPr="00833CD9">
              <w:rPr>
                <w:rStyle w:val="Hyperlink"/>
                <w:noProof/>
                <w14:scene3d>
                  <w14:camera w14:prst="orthographicFront"/>
                  <w14:lightRig w14:rig="threePt" w14:dir="t">
                    <w14:rot w14:lat="0" w14:lon="0" w14:rev="0"/>
                  </w14:lightRig>
                </w14:scene3d>
              </w:rPr>
              <w:t>4.9</w:t>
            </w:r>
            <w:r>
              <w:rPr>
                <w:rFonts w:asciiTheme="minorHAnsi" w:eastAsiaTheme="minorEastAsia" w:hAnsiTheme="minorHAnsi" w:cstheme="minorBidi"/>
                <w:smallCaps w:val="0"/>
                <w:noProof/>
                <w:sz w:val="22"/>
                <w:szCs w:val="22"/>
                <w:lang w:eastAsia="en-GB"/>
              </w:rPr>
              <w:tab/>
            </w:r>
            <w:r w:rsidRPr="00833CD9">
              <w:rPr>
                <w:rStyle w:val="Hyperlink"/>
                <w:noProof/>
              </w:rPr>
              <w:t>Access</w:t>
            </w:r>
            <w:r>
              <w:rPr>
                <w:noProof/>
                <w:webHidden/>
              </w:rPr>
              <w:tab/>
            </w:r>
            <w:r>
              <w:rPr>
                <w:noProof/>
                <w:webHidden/>
              </w:rPr>
              <w:fldChar w:fldCharType="begin"/>
            </w:r>
            <w:r>
              <w:rPr>
                <w:noProof/>
                <w:webHidden/>
              </w:rPr>
              <w:instrText xml:space="preserve"> PAGEREF _Toc14190287 \h </w:instrText>
            </w:r>
            <w:r>
              <w:rPr>
                <w:noProof/>
                <w:webHidden/>
              </w:rPr>
            </w:r>
            <w:r>
              <w:rPr>
                <w:noProof/>
                <w:webHidden/>
              </w:rPr>
              <w:fldChar w:fldCharType="separate"/>
            </w:r>
            <w:r>
              <w:rPr>
                <w:noProof/>
                <w:webHidden/>
              </w:rPr>
              <w:t>26</w:t>
            </w:r>
            <w:r>
              <w:rPr>
                <w:noProof/>
                <w:webHidden/>
              </w:rPr>
              <w:fldChar w:fldCharType="end"/>
            </w:r>
          </w:hyperlink>
        </w:p>
        <w:p w14:paraId="679BA9D9" w14:textId="737F1956" w:rsidR="00F546B7" w:rsidRDefault="00F546B7">
          <w:pPr>
            <w:pStyle w:val="TOC2"/>
            <w:tabs>
              <w:tab w:val="left" w:pos="960"/>
              <w:tab w:val="right" w:leader="dot" w:pos="9629"/>
            </w:tabs>
            <w:rPr>
              <w:rFonts w:asciiTheme="minorHAnsi" w:eastAsiaTheme="minorEastAsia" w:hAnsiTheme="minorHAnsi" w:cstheme="minorBidi"/>
              <w:smallCaps w:val="0"/>
              <w:noProof/>
              <w:sz w:val="22"/>
              <w:szCs w:val="22"/>
              <w:lang w:eastAsia="en-GB"/>
            </w:rPr>
          </w:pPr>
          <w:hyperlink w:anchor="_Toc14190288" w:history="1">
            <w:r w:rsidRPr="00833CD9">
              <w:rPr>
                <w:rStyle w:val="Hyperlink"/>
                <w:noProof/>
                <w14:scene3d>
                  <w14:camera w14:prst="orthographicFront"/>
                  <w14:lightRig w14:rig="threePt" w14:dir="t">
                    <w14:rot w14:lat="0" w14:lon="0" w14:rev="0"/>
                  </w14:lightRig>
                </w14:scene3d>
              </w:rPr>
              <w:t>4.10</w:t>
            </w:r>
            <w:r>
              <w:rPr>
                <w:rFonts w:asciiTheme="minorHAnsi" w:eastAsiaTheme="minorEastAsia" w:hAnsiTheme="minorHAnsi" w:cstheme="minorBidi"/>
                <w:smallCaps w:val="0"/>
                <w:noProof/>
                <w:sz w:val="22"/>
                <w:szCs w:val="22"/>
                <w:lang w:eastAsia="en-GB"/>
              </w:rPr>
              <w:tab/>
            </w:r>
            <w:r w:rsidRPr="00833CD9">
              <w:rPr>
                <w:rStyle w:val="Hyperlink"/>
                <w:noProof/>
              </w:rPr>
              <w:t>Speed</w:t>
            </w:r>
            <w:r>
              <w:rPr>
                <w:noProof/>
                <w:webHidden/>
              </w:rPr>
              <w:tab/>
            </w:r>
            <w:r>
              <w:rPr>
                <w:noProof/>
                <w:webHidden/>
              </w:rPr>
              <w:fldChar w:fldCharType="begin"/>
            </w:r>
            <w:r>
              <w:rPr>
                <w:noProof/>
                <w:webHidden/>
              </w:rPr>
              <w:instrText xml:space="preserve"> PAGEREF _Toc14190288 \h </w:instrText>
            </w:r>
            <w:r>
              <w:rPr>
                <w:noProof/>
                <w:webHidden/>
              </w:rPr>
            </w:r>
            <w:r>
              <w:rPr>
                <w:noProof/>
                <w:webHidden/>
              </w:rPr>
              <w:fldChar w:fldCharType="separate"/>
            </w:r>
            <w:r>
              <w:rPr>
                <w:noProof/>
                <w:webHidden/>
              </w:rPr>
              <w:t>27</w:t>
            </w:r>
            <w:r>
              <w:rPr>
                <w:noProof/>
                <w:webHidden/>
              </w:rPr>
              <w:fldChar w:fldCharType="end"/>
            </w:r>
          </w:hyperlink>
        </w:p>
        <w:p w14:paraId="59CFDFD8" w14:textId="403E06F2" w:rsidR="00F546B7" w:rsidRDefault="00F546B7">
          <w:pPr>
            <w:pStyle w:val="TOC2"/>
            <w:tabs>
              <w:tab w:val="left" w:pos="960"/>
              <w:tab w:val="right" w:leader="dot" w:pos="9629"/>
            </w:tabs>
            <w:rPr>
              <w:rFonts w:asciiTheme="minorHAnsi" w:eastAsiaTheme="minorEastAsia" w:hAnsiTheme="minorHAnsi" w:cstheme="minorBidi"/>
              <w:smallCaps w:val="0"/>
              <w:noProof/>
              <w:sz w:val="22"/>
              <w:szCs w:val="22"/>
              <w:lang w:eastAsia="en-GB"/>
            </w:rPr>
          </w:pPr>
          <w:hyperlink w:anchor="_Toc14190289" w:history="1">
            <w:r w:rsidRPr="00833CD9">
              <w:rPr>
                <w:rStyle w:val="Hyperlink"/>
                <w:rFonts w:eastAsia="Batang"/>
                <w:noProof/>
                <w:lang w:val="en-CA"/>
                <w14:scene3d>
                  <w14:camera w14:prst="orthographicFront"/>
                  <w14:lightRig w14:rig="threePt" w14:dir="t">
                    <w14:rot w14:lat="0" w14:lon="0" w14:rev="0"/>
                  </w14:lightRig>
                </w14:scene3d>
              </w:rPr>
              <w:t>4.11</w:t>
            </w:r>
            <w:r>
              <w:rPr>
                <w:rFonts w:asciiTheme="minorHAnsi" w:eastAsiaTheme="minorEastAsia" w:hAnsiTheme="minorHAnsi" w:cstheme="minorBidi"/>
                <w:smallCaps w:val="0"/>
                <w:noProof/>
                <w:sz w:val="22"/>
                <w:szCs w:val="22"/>
                <w:lang w:eastAsia="en-GB"/>
              </w:rPr>
              <w:tab/>
            </w:r>
            <w:r w:rsidRPr="00833CD9">
              <w:rPr>
                <w:rStyle w:val="Hyperlink"/>
                <w:noProof/>
              </w:rPr>
              <w:t>Cost</w:t>
            </w:r>
            <w:r>
              <w:rPr>
                <w:noProof/>
                <w:webHidden/>
              </w:rPr>
              <w:tab/>
            </w:r>
            <w:r>
              <w:rPr>
                <w:noProof/>
                <w:webHidden/>
              </w:rPr>
              <w:fldChar w:fldCharType="begin"/>
            </w:r>
            <w:r>
              <w:rPr>
                <w:noProof/>
                <w:webHidden/>
              </w:rPr>
              <w:instrText xml:space="preserve"> PAGEREF _Toc14190289 \h </w:instrText>
            </w:r>
            <w:r>
              <w:rPr>
                <w:noProof/>
                <w:webHidden/>
              </w:rPr>
            </w:r>
            <w:r>
              <w:rPr>
                <w:noProof/>
                <w:webHidden/>
              </w:rPr>
              <w:fldChar w:fldCharType="separate"/>
            </w:r>
            <w:r>
              <w:rPr>
                <w:noProof/>
                <w:webHidden/>
              </w:rPr>
              <w:t>27</w:t>
            </w:r>
            <w:r>
              <w:rPr>
                <w:noProof/>
                <w:webHidden/>
              </w:rPr>
              <w:fldChar w:fldCharType="end"/>
            </w:r>
          </w:hyperlink>
        </w:p>
        <w:p w14:paraId="16CB3E88" w14:textId="33C64CE4" w:rsidR="00F546B7" w:rsidRDefault="00F546B7">
          <w:pPr>
            <w:pStyle w:val="TOC1"/>
            <w:tabs>
              <w:tab w:val="left" w:pos="480"/>
              <w:tab w:val="right" w:leader="dot" w:pos="9629"/>
            </w:tabs>
            <w:rPr>
              <w:rFonts w:asciiTheme="minorHAnsi" w:eastAsiaTheme="minorEastAsia" w:hAnsiTheme="minorHAnsi" w:cstheme="minorBidi"/>
              <w:b w:val="0"/>
              <w:bCs w:val="0"/>
              <w:noProof/>
              <w:sz w:val="22"/>
              <w:szCs w:val="22"/>
              <w:lang w:eastAsia="en-GB"/>
            </w:rPr>
          </w:pPr>
          <w:hyperlink w:anchor="_Toc14190290" w:history="1">
            <w:r w:rsidRPr="00833CD9">
              <w:rPr>
                <w:rStyle w:val="Hyperlink"/>
                <w:noProof/>
                <w:lang w:val="en-CA"/>
              </w:rPr>
              <w:t>5</w:t>
            </w:r>
            <w:r>
              <w:rPr>
                <w:rFonts w:asciiTheme="minorHAnsi" w:eastAsiaTheme="minorEastAsia" w:hAnsiTheme="minorHAnsi" w:cstheme="minorBidi"/>
                <w:b w:val="0"/>
                <w:bCs w:val="0"/>
                <w:noProof/>
                <w:sz w:val="22"/>
                <w:szCs w:val="22"/>
                <w:lang w:eastAsia="en-GB"/>
              </w:rPr>
              <w:tab/>
            </w:r>
            <w:r w:rsidRPr="00833CD9">
              <w:rPr>
                <w:rStyle w:val="Hyperlink"/>
                <w:noProof/>
              </w:rPr>
              <w:t>Cross-Border CBDC Architecture</w:t>
            </w:r>
            <w:r w:rsidRPr="00833CD9">
              <w:rPr>
                <w:rStyle w:val="Hyperlink"/>
                <w:noProof/>
                <w:lang w:val="en-CA"/>
              </w:rPr>
              <w:t xml:space="preserve"> Options</w:t>
            </w:r>
            <w:r>
              <w:rPr>
                <w:noProof/>
                <w:webHidden/>
              </w:rPr>
              <w:tab/>
            </w:r>
            <w:r>
              <w:rPr>
                <w:noProof/>
                <w:webHidden/>
              </w:rPr>
              <w:fldChar w:fldCharType="begin"/>
            </w:r>
            <w:r>
              <w:rPr>
                <w:noProof/>
                <w:webHidden/>
              </w:rPr>
              <w:instrText xml:space="preserve"> PAGEREF _Toc14190290 \h </w:instrText>
            </w:r>
            <w:r>
              <w:rPr>
                <w:noProof/>
                <w:webHidden/>
              </w:rPr>
            </w:r>
            <w:r>
              <w:rPr>
                <w:rFonts w:hint="eastAsia"/>
                <w:noProof/>
                <w:webHidden/>
              </w:rPr>
              <w:fldChar w:fldCharType="separate"/>
            </w:r>
            <w:r>
              <w:rPr>
                <w:rFonts w:hint="eastAsia"/>
                <w:noProof/>
                <w:webHidden/>
              </w:rPr>
              <w:t>27</w:t>
            </w:r>
            <w:r>
              <w:rPr>
                <w:noProof/>
                <w:webHidden/>
              </w:rPr>
              <w:fldChar w:fldCharType="end"/>
            </w:r>
          </w:hyperlink>
        </w:p>
        <w:p w14:paraId="0E2AB1D0" w14:textId="50369397"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291" w:history="1">
            <w:r w:rsidRPr="00833CD9">
              <w:rPr>
                <w:rStyle w:val="Hyperlink"/>
                <w:rFonts w:eastAsia="Batang"/>
                <w:noProof/>
                <w:lang w:val="en-CA"/>
                <w14:scene3d>
                  <w14:camera w14:prst="orthographicFront"/>
                  <w14:lightRig w14:rig="threePt" w14:dir="t">
                    <w14:rot w14:lat="0" w14:lon="0" w14:rev="0"/>
                  </w14:lightRig>
                </w14:scene3d>
              </w:rPr>
              <w:t>5.1</w:t>
            </w:r>
            <w:r>
              <w:rPr>
                <w:rFonts w:asciiTheme="minorHAnsi" w:eastAsiaTheme="minorEastAsia" w:hAnsiTheme="minorHAnsi" w:cstheme="minorBidi"/>
                <w:smallCaps w:val="0"/>
                <w:noProof/>
                <w:sz w:val="22"/>
                <w:szCs w:val="22"/>
                <w:lang w:eastAsia="en-GB"/>
              </w:rPr>
              <w:tab/>
            </w:r>
            <w:r w:rsidRPr="00833CD9">
              <w:rPr>
                <w:rStyle w:val="Hyperlink"/>
                <w:rFonts w:eastAsia="Batang"/>
                <w:noProof/>
                <w:lang w:val="en-CA"/>
              </w:rPr>
              <w:t>Interoperable Domestic CBDCs</w:t>
            </w:r>
            <w:r>
              <w:rPr>
                <w:noProof/>
                <w:webHidden/>
              </w:rPr>
              <w:tab/>
            </w:r>
            <w:r>
              <w:rPr>
                <w:noProof/>
                <w:webHidden/>
              </w:rPr>
              <w:fldChar w:fldCharType="begin"/>
            </w:r>
            <w:r>
              <w:rPr>
                <w:noProof/>
                <w:webHidden/>
              </w:rPr>
              <w:instrText xml:space="preserve"> PAGEREF _Toc14190291 \h </w:instrText>
            </w:r>
            <w:r>
              <w:rPr>
                <w:noProof/>
                <w:webHidden/>
              </w:rPr>
            </w:r>
            <w:r>
              <w:rPr>
                <w:noProof/>
                <w:webHidden/>
              </w:rPr>
              <w:fldChar w:fldCharType="separate"/>
            </w:r>
            <w:r>
              <w:rPr>
                <w:noProof/>
                <w:webHidden/>
              </w:rPr>
              <w:t>27</w:t>
            </w:r>
            <w:r>
              <w:rPr>
                <w:noProof/>
                <w:webHidden/>
              </w:rPr>
              <w:fldChar w:fldCharType="end"/>
            </w:r>
          </w:hyperlink>
        </w:p>
        <w:p w14:paraId="16F43A34" w14:textId="51269C73"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292" w:history="1">
            <w:r w:rsidRPr="00833CD9">
              <w:rPr>
                <w:rStyle w:val="Hyperlink"/>
                <w:rFonts w:eastAsia="Batang"/>
                <w:noProof/>
                <w:lang w:val="en-CA"/>
                <w14:scene3d>
                  <w14:camera w14:prst="orthographicFront"/>
                  <w14:lightRig w14:rig="threePt" w14:dir="t">
                    <w14:rot w14:lat="0" w14:lon="0" w14:rev="0"/>
                  </w14:lightRig>
                </w14:scene3d>
              </w:rPr>
              <w:t>5.2</w:t>
            </w:r>
            <w:r>
              <w:rPr>
                <w:rFonts w:asciiTheme="minorHAnsi" w:eastAsiaTheme="minorEastAsia" w:hAnsiTheme="minorHAnsi" w:cstheme="minorBidi"/>
                <w:smallCaps w:val="0"/>
                <w:noProof/>
                <w:sz w:val="22"/>
                <w:szCs w:val="22"/>
                <w:lang w:eastAsia="en-GB"/>
              </w:rPr>
              <w:tab/>
            </w:r>
            <w:r w:rsidRPr="00833CD9">
              <w:rPr>
                <w:rStyle w:val="Hyperlink"/>
                <w:rFonts w:eastAsia="Batang"/>
                <w:noProof/>
                <w:lang w:val="en-CA"/>
              </w:rPr>
              <w:t>Universal CBDC</w:t>
            </w:r>
            <w:r>
              <w:rPr>
                <w:noProof/>
                <w:webHidden/>
              </w:rPr>
              <w:tab/>
            </w:r>
            <w:r>
              <w:rPr>
                <w:noProof/>
                <w:webHidden/>
              </w:rPr>
              <w:fldChar w:fldCharType="begin"/>
            </w:r>
            <w:r>
              <w:rPr>
                <w:noProof/>
                <w:webHidden/>
              </w:rPr>
              <w:instrText xml:space="preserve"> PAGEREF _Toc14190292 \h </w:instrText>
            </w:r>
            <w:r>
              <w:rPr>
                <w:noProof/>
                <w:webHidden/>
              </w:rPr>
            </w:r>
            <w:r>
              <w:rPr>
                <w:noProof/>
                <w:webHidden/>
              </w:rPr>
              <w:fldChar w:fldCharType="separate"/>
            </w:r>
            <w:r>
              <w:rPr>
                <w:noProof/>
                <w:webHidden/>
              </w:rPr>
              <w:t>28</w:t>
            </w:r>
            <w:r>
              <w:rPr>
                <w:noProof/>
                <w:webHidden/>
              </w:rPr>
              <w:fldChar w:fldCharType="end"/>
            </w:r>
          </w:hyperlink>
        </w:p>
        <w:p w14:paraId="326994DD" w14:textId="592B8DBA" w:rsidR="00F546B7" w:rsidRDefault="00F546B7">
          <w:pPr>
            <w:pStyle w:val="TOC1"/>
            <w:tabs>
              <w:tab w:val="left" w:pos="480"/>
              <w:tab w:val="right" w:leader="dot" w:pos="9629"/>
            </w:tabs>
            <w:rPr>
              <w:rFonts w:asciiTheme="minorHAnsi" w:eastAsiaTheme="minorEastAsia" w:hAnsiTheme="minorHAnsi" w:cstheme="minorBidi"/>
              <w:b w:val="0"/>
              <w:bCs w:val="0"/>
              <w:noProof/>
              <w:sz w:val="22"/>
              <w:szCs w:val="22"/>
              <w:lang w:eastAsia="en-GB"/>
            </w:rPr>
          </w:pPr>
          <w:hyperlink w:anchor="_Toc14190293" w:history="1">
            <w:r w:rsidRPr="00833CD9">
              <w:rPr>
                <w:rStyle w:val="Hyperlink"/>
                <w:rFonts w:eastAsia="Batang"/>
                <w:noProof/>
                <w:lang w:val="en-CA"/>
              </w:rPr>
              <w:t>6</w:t>
            </w:r>
            <w:r>
              <w:rPr>
                <w:rFonts w:asciiTheme="minorHAnsi" w:eastAsiaTheme="minorEastAsia" w:hAnsiTheme="minorHAnsi" w:cstheme="minorBidi"/>
                <w:b w:val="0"/>
                <w:bCs w:val="0"/>
                <w:noProof/>
                <w:sz w:val="22"/>
                <w:szCs w:val="22"/>
                <w:lang w:eastAsia="en-GB"/>
              </w:rPr>
              <w:tab/>
            </w:r>
            <w:r w:rsidRPr="00833CD9">
              <w:rPr>
                <w:rStyle w:val="Hyperlink"/>
                <w:rFonts w:eastAsia="Batang"/>
                <w:noProof/>
                <w:lang w:val="en-CA"/>
              </w:rPr>
              <w:t>Cross-Border Wholesale CBDC Case Studies</w:t>
            </w:r>
            <w:r>
              <w:rPr>
                <w:noProof/>
                <w:webHidden/>
              </w:rPr>
              <w:tab/>
            </w:r>
            <w:r>
              <w:rPr>
                <w:noProof/>
                <w:webHidden/>
              </w:rPr>
              <w:fldChar w:fldCharType="begin"/>
            </w:r>
            <w:r>
              <w:rPr>
                <w:noProof/>
                <w:webHidden/>
              </w:rPr>
              <w:instrText xml:space="preserve"> PAGEREF _Toc14190293 \h </w:instrText>
            </w:r>
            <w:r>
              <w:rPr>
                <w:noProof/>
                <w:webHidden/>
              </w:rPr>
            </w:r>
            <w:r>
              <w:rPr>
                <w:rFonts w:hint="eastAsia"/>
                <w:noProof/>
                <w:webHidden/>
              </w:rPr>
              <w:fldChar w:fldCharType="separate"/>
            </w:r>
            <w:r>
              <w:rPr>
                <w:rFonts w:hint="eastAsia"/>
                <w:noProof/>
                <w:webHidden/>
              </w:rPr>
              <w:t>28</w:t>
            </w:r>
            <w:r>
              <w:rPr>
                <w:noProof/>
                <w:webHidden/>
              </w:rPr>
              <w:fldChar w:fldCharType="end"/>
            </w:r>
          </w:hyperlink>
        </w:p>
        <w:p w14:paraId="1780B010" w14:textId="7666260A"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294" w:history="1">
            <w:r w:rsidRPr="00833CD9">
              <w:rPr>
                <w:rStyle w:val="Hyperlink"/>
                <w:rFonts w:eastAsia="Batang"/>
                <w:noProof/>
                <w:lang w:val="en-CA"/>
                <w14:scene3d>
                  <w14:camera w14:prst="orthographicFront"/>
                  <w14:lightRig w14:rig="threePt" w14:dir="t">
                    <w14:rot w14:lat="0" w14:lon="0" w14:rev="0"/>
                  </w14:lightRig>
                </w14:scene3d>
              </w:rPr>
              <w:t>6.1</w:t>
            </w:r>
            <w:r>
              <w:rPr>
                <w:rFonts w:asciiTheme="minorHAnsi" w:eastAsiaTheme="minorEastAsia" w:hAnsiTheme="minorHAnsi" w:cstheme="minorBidi"/>
                <w:smallCaps w:val="0"/>
                <w:noProof/>
                <w:sz w:val="22"/>
                <w:szCs w:val="22"/>
                <w:lang w:eastAsia="en-GB"/>
              </w:rPr>
              <w:tab/>
            </w:r>
            <w:r w:rsidRPr="00833CD9">
              <w:rPr>
                <w:rStyle w:val="Hyperlink"/>
                <w:rFonts w:eastAsia="Batang"/>
                <w:noProof/>
                <w:lang w:val="en-CA"/>
              </w:rPr>
              <w:t>Cross-Border Interbank Payments and Settlements</w:t>
            </w:r>
            <w:r>
              <w:rPr>
                <w:noProof/>
                <w:webHidden/>
              </w:rPr>
              <w:tab/>
            </w:r>
            <w:r>
              <w:rPr>
                <w:noProof/>
                <w:webHidden/>
              </w:rPr>
              <w:fldChar w:fldCharType="begin"/>
            </w:r>
            <w:r>
              <w:rPr>
                <w:noProof/>
                <w:webHidden/>
              </w:rPr>
              <w:instrText xml:space="preserve"> PAGEREF _Toc14190294 \h </w:instrText>
            </w:r>
            <w:r>
              <w:rPr>
                <w:noProof/>
                <w:webHidden/>
              </w:rPr>
            </w:r>
            <w:r>
              <w:rPr>
                <w:noProof/>
                <w:webHidden/>
              </w:rPr>
              <w:fldChar w:fldCharType="separate"/>
            </w:r>
            <w:r>
              <w:rPr>
                <w:noProof/>
                <w:webHidden/>
              </w:rPr>
              <w:t>28</w:t>
            </w:r>
            <w:r>
              <w:rPr>
                <w:noProof/>
                <w:webHidden/>
              </w:rPr>
              <w:fldChar w:fldCharType="end"/>
            </w:r>
          </w:hyperlink>
        </w:p>
        <w:p w14:paraId="3EEF1E1E" w14:textId="23156D65"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295" w:history="1">
            <w:r w:rsidRPr="00833CD9">
              <w:rPr>
                <w:rStyle w:val="Hyperlink"/>
                <w:rFonts w:eastAsia="Batang"/>
                <w:noProof/>
                <w:lang w:val="en-CA"/>
                <w14:scene3d>
                  <w14:camera w14:prst="orthographicFront"/>
                  <w14:lightRig w14:rig="threePt" w14:dir="t">
                    <w14:rot w14:lat="0" w14:lon="0" w14:rev="0"/>
                  </w14:lightRig>
                </w14:scene3d>
              </w:rPr>
              <w:t>6.2</w:t>
            </w:r>
            <w:r>
              <w:rPr>
                <w:rFonts w:asciiTheme="minorHAnsi" w:eastAsiaTheme="minorEastAsia" w:hAnsiTheme="minorHAnsi" w:cstheme="minorBidi"/>
                <w:smallCaps w:val="0"/>
                <w:noProof/>
                <w:sz w:val="22"/>
                <w:szCs w:val="22"/>
                <w:lang w:eastAsia="en-GB"/>
              </w:rPr>
              <w:tab/>
            </w:r>
            <w:r w:rsidRPr="00833CD9">
              <w:rPr>
                <w:rStyle w:val="Hyperlink"/>
                <w:rFonts w:eastAsia="Batang"/>
                <w:noProof/>
                <w:lang w:val="en-CA"/>
              </w:rPr>
              <w:t>Enabling Cross-Border High Value Transfer Using Distributed Ledger Technologies</w:t>
            </w:r>
            <w:r>
              <w:rPr>
                <w:noProof/>
                <w:webHidden/>
              </w:rPr>
              <w:tab/>
            </w:r>
            <w:r>
              <w:rPr>
                <w:noProof/>
                <w:webHidden/>
              </w:rPr>
              <w:fldChar w:fldCharType="begin"/>
            </w:r>
            <w:r>
              <w:rPr>
                <w:noProof/>
                <w:webHidden/>
              </w:rPr>
              <w:instrText xml:space="preserve"> PAGEREF _Toc14190295 \h </w:instrText>
            </w:r>
            <w:r>
              <w:rPr>
                <w:noProof/>
                <w:webHidden/>
              </w:rPr>
            </w:r>
            <w:r>
              <w:rPr>
                <w:noProof/>
                <w:webHidden/>
              </w:rPr>
              <w:fldChar w:fldCharType="separate"/>
            </w:r>
            <w:r>
              <w:rPr>
                <w:noProof/>
                <w:webHidden/>
              </w:rPr>
              <w:t>30</w:t>
            </w:r>
            <w:r>
              <w:rPr>
                <w:noProof/>
                <w:webHidden/>
              </w:rPr>
              <w:fldChar w:fldCharType="end"/>
            </w:r>
          </w:hyperlink>
        </w:p>
        <w:p w14:paraId="76634999" w14:textId="214C213B"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296" w:history="1">
            <w:r w:rsidRPr="00833CD9">
              <w:rPr>
                <w:rStyle w:val="Hyperlink"/>
                <w:rFonts w:eastAsia="Batang"/>
                <w:noProof/>
                <w:lang w:val="en-CA"/>
                <w14:scene3d>
                  <w14:camera w14:prst="orthographicFront"/>
                  <w14:lightRig w14:rig="threePt" w14:dir="t">
                    <w14:rot w14:lat="0" w14:lon="0" w14:rev="0"/>
                  </w14:lightRig>
                </w14:scene3d>
              </w:rPr>
              <w:t>6.3</w:t>
            </w:r>
            <w:r>
              <w:rPr>
                <w:rFonts w:asciiTheme="minorHAnsi" w:eastAsiaTheme="minorEastAsia" w:hAnsiTheme="minorHAnsi" w:cstheme="minorBidi"/>
                <w:smallCaps w:val="0"/>
                <w:noProof/>
                <w:sz w:val="22"/>
                <w:szCs w:val="22"/>
                <w:lang w:eastAsia="en-GB"/>
              </w:rPr>
              <w:tab/>
            </w:r>
            <w:r w:rsidRPr="00833CD9">
              <w:rPr>
                <w:rStyle w:val="Hyperlink"/>
                <w:rFonts w:eastAsia="Batang"/>
                <w:noProof/>
                <w:lang w:val="en-CA"/>
              </w:rPr>
              <w:t>Utility Settlement Coin</w:t>
            </w:r>
            <w:r>
              <w:rPr>
                <w:noProof/>
                <w:webHidden/>
              </w:rPr>
              <w:tab/>
            </w:r>
            <w:r>
              <w:rPr>
                <w:noProof/>
                <w:webHidden/>
              </w:rPr>
              <w:fldChar w:fldCharType="begin"/>
            </w:r>
            <w:r>
              <w:rPr>
                <w:noProof/>
                <w:webHidden/>
              </w:rPr>
              <w:instrText xml:space="preserve"> PAGEREF _Toc14190296 \h </w:instrText>
            </w:r>
            <w:r>
              <w:rPr>
                <w:noProof/>
                <w:webHidden/>
              </w:rPr>
            </w:r>
            <w:r>
              <w:rPr>
                <w:noProof/>
                <w:webHidden/>
              </w:rPr>
              <w:fldChar w:fldCharType="separate"/>
            </w:r>
            <w:r>
              <w:rPr>
                <w:noProof/>
                <w:webHidden/>
              </w:rPr>
              <w:t>32</w:t>
            </w:r>
            <w:r>
              <w:rPr>
                <w:noProof/>
                <w:webHidden/>
              </w:rPr>
              <w:fldChar w:fldCharType="end"/>
            </w:r>
          </w:hyperlink>
        </w:p>
        <w:p w14:paraId="5A0B7794" w14:textId="3F5F0E7F"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297" w:history="1">
            <w:r w:rsidRPr="00833CD9">
              <w:rPr>
                <w:rStyle w:val="Hyperlink"/>
                <w:rFonts w:eastAsia="Batang"/>
                <w:noProof/>
                <w:lang w:val="en-CA"/>
                <w14:scene3d>
                  <w14:camera w14:prst="orthographicFront"/>
                  <w14:lightRig w14:rig="threePt" w14:dir="t">
                    <w14:rot w14:lat="0" w14:lon="0" w14:rev="0"/>
                  </w14:lightRig>
                </w14:scene3d>
              </w:rPr>
              <w:t>6.4</w:t>
            </w:r>
            <w:r>
              <w:rPr>
                <w:rFonts w:asciiTheme="minorHAnsi" w:eastAsiaTheme="minorEastAsia" w:hAnsiTheme="minorHAnsi" w:cstheme="minorBidi"/>
                <w:smallCaps w:val="0"/>
                <w:noProof/>
                <w:sz w:val="22"/>
                <w:szCs w:val="22"/>
                <w:lang w:eastAsia="en-GB"/>
              </w:rPr>
              <w:tab/>
            </w:r>
            <w:r w:rsidRPr="00833CD9">
              <w:rPr>
                <w:rStyle w:val="Hyperlink"/>
                <w:rFonts w:eastAsia="Batang"/>
                <w:noProof/>
                <w:lang w:val="en-CA"/>
              </w:rPr>
              <w:t>Cross Border Settlement with Central Bank Money</w:t>
            </w:r>
            <w:r>
              <w:rPr>
                <w:noProof/>
                <w:webHidden/>
              </w:rPr>
              <w:tab/>
            </w:r>
            <w:r>
              <w:rPr>
                <w:noProof/>
                <w:webHidden/>
              </w:rPr>
              <w:fldChar w:fldCharType="begin"/>
            </w:r>
            <w:r>
              <w:rPr>
                <w:noProof/>
                <w:webHidden/>
              </w:rPr>
              <w:instrText xml:space="preserve"> PAGEREF _Toc14190297 \h </w:instrText>
            </w:r>
            <w:r>
              <w:rPr>
                <w:noProof/>
                <w:webHidden/>
              </w:rPr>
            </w:r>
            <w:r>
              <w:rPr>
                <w:noProof/>
                <w:webHidden/>
              </w:rPr>
              <w:fldChar w:fldCharType="separate"/>
            </w:r>
            <w:r>
              <w:rPr>
                <w:noProof/>
                <w:webHidden/>
              </w:rPr>
              <w:t>32</w:t>
            </w:r>
            <w:r>
              <w:rPr>
                <w:noProof/>
                <w:webHidden/>
              </w:rPr>
              <w:fldChar w:fldCharType="end"/>
            </w:r>
          </w:hyperlink>
        </w:p>
        <w:p w14:paraId="04F7527E" w14:textId="250D8927" w:rsidR="00F546B7" w:rsidRDefault="00F546B7">
          <w:pPr>
            <w:pStyle w:val="TOC1"/>
            <w:tabs>
              <w:tab w:val="right" w:leader="dot" w:pos="9629"/>
            </w:tabs>
            <w:rPr>
              <w:rFonts w:asciiTheme="minorHAnsi" w:eastAsiaTheme="minorEastAsia" w:hAnsiTheme="minorHAnsi" w:cstheme="minorBidi"/>
              <w:b w:val="0"/>
              <w:bCs w:val="0"/>
              <w:noProof/>
              <w:sz w:val="22"/>
              <w:szCs w:val="22"/>
              <w:lang w:eastAsia="en-GB"/>
            </w:rPr>
          </w:pPr>
          <w:hyperlink w:anchor="_Toc14190298" w:history="1">
            <w:r w:rsidRPr="00833CD9">
              <w:rPr>
                <w:rStyle w:val="Hyperlink"/>
                <w:rFonts w:eastAsia="Batang"/>
                <w:noProof/>
                <w:lang w:val="en-CA"/>
              </w:rPr>
              <w:t>Annex 1: Potential configurations of DLT arrangements (Source: BIS 2017)</w:t>
            </w:r>
            <w:r>
              <w:rPr>
                <w:noProof/>
                <w:webHidden/>
              </w:rPr>
              <w:tab/>
            </w:r>
            <w:r>
              <w:rPr>
                <w:noProof/>
                <w:webHidden/>
              </w:rPr>
              <w:fldChar w:fldCharType="begin"/>
            </w:r>
            <w:r>
              <w:rPr>
                <w:noProof/>
                <w:webHidden/>
              </w:rPr>
              <w:instrText xml:space="preserve"> PAGEREF _Toc14190298 \h </w:instrText>
            </w:r>
            <w:r>
              <w:rPr>
                <w:noProof/>
                <w:webHidden/>
              </w:rPr>
            </w:r>
            <w:r>
              <w:rPr>
                <w:rFonts w:hint="eastAsia"/>
                <w:noProof/>
                <w:webHidden/>
              </w:rPr>
              <w:fldChar w:fldCharType="separate"/>
            </w:r>
            <w:r>
              <w:rPr>
                <w:rFonts w:hint="eastAsia"/>
                <w:noProof/>
                <w:webHidden/>
              </w:rPr>
              <w:t>34</w:t>
            </w:r>
            <w:r>
              <w:rPr>
                <w:noProof/>
                <w:webHidden/>
              </w:rPr>
              <w:fldChar w:fldCharType="end"/>
            </w:r>
          </w:hyperlink>
        </w:p>
        <w:p w14:paraId="1F246A91" w14:textId="413068CD" w:rsidR="00F546B7" w:rsidRDefault="00F546B7">
          <w:pPr>
            <w:pStyle w:val="TOC1"/>
            <w:tabs>
              <w:tab w:val="right" w:leader="dot" w:pos="9629"/>
            </w:tabs>
            <w:rPr>
              <w:rFonts w:asciiTheme="minorHAnsi" w:eastAsiaTheme="minorEastAsia" w:hAnsiTheme="minorHAnsi" w:cstheme="minorBidi"/>
              <w:b w:val="0"/>
              <w:bCs w:val="0"/>
              <w:noProof/>
              <w:sz w:val="22"/>
              <w:szCs w:val="22"/>
              <w:lang w:eastAsia="en-GB"/>
            </w:rPr>
          </w:pPr>
          <w:hyperlink w:anchor="_Toc14190299" w:history="1">
            <w:r w:rsidRPr="00833CD9">
              <w:rPr>
                <w:rStyle w:val="Hyperlink"/>
                <w:rFonts w:eastAsia="Batang"/>
                <w:noProof/>
                <w:lang w:val="en-CA"/>
              </w:rPr>
              <w:t>Annex 2: Retail CBDC Use Cases</w:t>
            </w:r>
            <w:r>
              <w:rPr>
                <w:noProof/>
                <w:webHidden/>
              </w:rPr>
              <w:tab/>
            </w:r>
            <w:r>
              <w:rPr>
                <w:noProof/>
                <w:webHidden/>
              </w:rPr>
              <w:fldChar w:fldCharType="begin"/>
            </w:r>
            <w:r>
              <w:rPr>
                <w:noProof/>
                <w:webHidden/>
              </w:rPr>
              <w:instrText xml:space="preserve"> PAGEREF _Toc14190299 \h </w:instrText>
            </w:r>
            <w:r>
              <w:rPr>
                <w:noProof/>
                <w:webHidden/>
              </w:rPr>
            </w:r>
            <w:r>
              <w:rPr>
                <w:rFonts w:hint="eastAsia"/>
                <w:noProof/>
                <w:webHidden/>
              </w:rPr>
              <w:fldChar w:fldCharType="separate"/>
            </w:r>
            <w:r>
              <w:rPr>
                <w:rFonts w:hint="eastAsia"/>
                <w:noProof/>
                <w:webHidden/>
              </w:rPr>
              <w:t>35</w:t>
            </w:r>
            <w:r>
              <w:rPr>
                <w:noProof/>
                <w:webHidden/>
              </w:rPr>
              <w:fldChar w:fldCharType="end"/>
            </w:r>
          </w:hyperlink>
        </w:p>
        <w:p w14:paraId="5318F865" w14:textId="54451D88"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300" w:history="1">
            <w:r w:rsidRPr="00833CD9">
              <w:rPr>
                <w:rStyle w:val="Hyperlink"/>
                <w:noProof/>
              </w:rPr>
              <w:t>A.</w:t>
            </w:r>
            <w:r>
              <w:rPr>
                <w:rFonts w:asciiTheme="minorHAnsi" w:eastAsiaTheme="minorEastAsia" w:hAnsiTheme="minorHAnsi" w:cstheme="minorBidi"/>
                <w:smallCaps w:val="0"/>
                <w:noProof/>
                <w:sz w:val="22"/>
                <w:szCs w:val="22"/>
                <w:lang w:eastAsia="en-GB"/>
              </w:rPr>
              <w:tab/>
            </w:r>
            <w:r w:rsidRPr="00833CD9">
              <w:rPr>
                <w:rStyle w:val="Hyperlink"/>
                <w:noProof/>
              </w:rPr>
              <w:t xml:space="preserve">E-Piso Use </w:t>
            </w:r>
            <w:r w:rsidRPr="00833CD9">
              <w:rPr>
                <w:rStyle w:val="Hyperlink"/>
                <w:rFonts w:eastAsia="Batang"/>
                <w:noProof/>
                <w:lang w:val="en-CA"/>
              </w:rPr>
              <w:t>Cases</w:t>
            </w:r>
            <w:r>
              <w:rPr>
                <w:noProof/>
                <w:webHidden/>
              </w:rPr>
              <w:tab/>
            </w:r>
            <w:r>
              <w:rPr>
                <w:noProof/>
                <w:webHidden/>
              </w:rPr>
              <w:fldChar w:fldCharType="begin"/>
            </w:r>
            <w:r>
              <w:rPr>
                <w:noProof/>
                <w:webHidden/>
              </w:rPr>
              <w:instrText xml:space="preserve"> PAGEREF _Toc14190300 \h </w:instrText>
            </w:r>
            <w:r>
              <w:rPr>
                <w:noProof/>
                <w:webHidden/>
              </w:rPr>
            </w:r>
            <w:r>
              <w:rPr>
                <w:noProof/>
                <w:webHidden/>
              </w:rPr>
              <w:fldChar w:fldCharType="separate"/>
            </w:r>
            <w:r>
              <w:rPr>
                <w:noProof/>
                <w:webHidden/>
              </w:rPr>
              <w:t>35</w:t>
            </w:r>
            <w:r>
              <w:rPr>
                <w:noProof/>
                <w:webHidden/>
              </w:rPr>
              <w:fldChar w:fldCharType="end"/>
            </w:r>
          </w:hyperlink>
        </w:p>
        <w:p w14:paraId="7FFE0B9C" w14:textId="1A83837D" w:rsidR="00F546B7" w:rsidRDefault="00F546B7">
          <w:pPr>
            <w:pStyle w:val="TOC3"/>
            <w:tabs>
              <w:tab w:val="right" w:leader="dot" w:pos="9629"/>
            </w:tabs>
            <w:rPr>
              <w:rFonts w:asciiTheme="minorHAnsi" w:eastAsiaTheme="minorEastAsia" w:hAnsiTheme="minorHAnsi" w:cstheme="minorBidi"/>
              <w:i w:val="0"/>
              <w:iCs w:val="0"/>
              <w:noProof/>
              <w:sz w:val="22"/>
              <w:szCs w:val="22"/>
              <w:lang w:eastAsia="en-GB"/>
            </w:rPr>
          </w:pPr>
          <w:hyperlink w:anchor="_Toc14190301" w:history="1">
            <w:r w:rsidRPr="00833CD9">
              <w:rPr>
                <w:rStyle w:val="Hyperlink"/>
                <w:noProof/>
              </w:rPr>
              <w:t>E-Piso Use Case: Issuing DFC</w:t>
            </w:r>
            <w:r>
              <w:rPr>
                <w:noProof/>
                <w:webHidden/>
              </w:rPr>
              <w:tab/>
            </w:r>
            <w:r>
              <w:rPr>
                <w:noProof/>
                <w:webHidden/>
              </w:rPr>
              <w:fldChar w:fldCharType="begin"/>
            </w:r>
            <w:r>
              <w:rPr>
                <w:noProof/>
                <w:webHidden/>
              </w:rPr>
              <w:instrText xml:space="preserve"> PAGEREF _Toc14190301 \h </w:instrText>
            </w:r>
            <w:r>
              <w:rPr>
                <w:noProof/>
                <w:webHidden/>
              </w:rPr>
            </w:r>
            <w:r>
              <w:rPr>
                <w:noProof/>
                <w:webHidden/>
              </w:rPr>
              <w:fldChar w:fldCharType="separate"/>
            </w:r>
            <w:r>
              <w:rPr>
                <w:noProof/>
                <w:webHidden/>
              </w:rPr>
              <w:t>35</w:t>
            </w:r>
            <w:r>
              <w:rPr>
                <w:noProof/>
                <w:webHidden/>
              </w:rPr>
              <w:fldChar w:fldCharType="end"/>
            </w:r>
          </w:hyperlink>
        </w:p>
        <w:p w14:paraId="50106678" w14:textId="66F89B25" w:rsidR="00F546B7" w:rsidRDefault="00F546B7">
          <w:pPr>
            <w:pStyle w:val="TOC3"/>
            <w:tabs>
              <w:tab w:val="right" w:leader="dot" w:pos="9629"/>
            </w:tabs>
            <w:rPr>
              <w:rFonts w:asciiTheme="minorHAnsi" w:eastAsiaTheme="minorEastAsia" w:hAnsiTheme="minorHAnsi" w:cstheme="minorBidi"/>
              <w:i w:val="0"/>
              <w:iCs w:val="0"/>
              <w:noProof/>
              <w:sz w:val="22"/>
              <w:szCs w:val="22"/>
              <w:lang w:eastAsia="en-GB"/>
            </w:rPr>
          </w:pPr>
          <w:hyperlink w:anchor="_Toc14190302" w:history="1">
            <w:r w:rsidRPr="00833CD9">
              <w:rPr>
                <w:rStyle w:val="Hyperlink"/>
                <w:noProof/>
              </w:rPr>
              <w:t>E-Piso Use Case: Distributing DFC</w:t>
            </w:r>
            <w:r>
              <w:rPr>
                <w:noProof/>
                <w:webHidden/>
              </w:rPr>
              <w:tab/>
            </w:r>
            <w:r>
              <w:rPr>
                <w:noProof/>
                <w:webHidden/>
              </w:rPr>
              <w:fldChar w:fldCharType="begin"/>
            </w:r>
            <w:r>
              <w:rPr>
                <w:noProof/>
                <w:webHidden/>
              </w:rPr>
              <w:instrText xml:space="preserve"> PAGEREF _Toc14190302 \h </w:instrText>
            </w:r>
            <w:r>
              <w:rPr>
                <w:noProof/>
                <w:webHidden/>
              </w:rPr>
            </w:r>
            <w:r>
              <w:rPr>
                <w:noProof/>
                <w:webHidden/>
              </w:rPr>
              <w:fldChar w:fldCharType="separate"/>
            </w:r>
            <w:r>
              <w:rPr>
                <w:noProof/>
                <w:webHidden/>
              </w:rPr>
              <w:t>38</w:t>
            </w:r>
            <w:r>
              <w:rPr>
                <w:noProof/>
                <w:webHidden/>
              </w:rPr>
              <w:fldChar w:fldCharType="end"/>
            </w:r>
          </w:hyperlink>
        </w:p>
        <w:p w14:paraId="2037DABE" w14:textId="0787C2F8" w:rsidR="00F546B7" w:rsidRDefault="00F546B7">
          <w:pPr>
            <w:pStyle w:val="TOC3"/>
            <w:tabs>
              <w:tab w:val="right" w:leader="dot" w:pos="9629"/>
            </w:tabs>
            <w:rPr>
              <w:rFonts w:asciiTheme="minorHAnsi" w:eastAsiaTheme="minorEastAsia" w:hAnsiTheme="minorHAnsi" w:cstheme="minorBidi"/>
              <w:i w:val="0"/>
              <w:iCs w:val="0"/>
              <w:noProof/>
              <w:sz w:val="22"/>
              <w:szCs w:val="22"/>
              <w:lang w:eastAsia="en-GB"/>
            </w:rPr>
          </w:pPr>
          <w:hyperlink w:anchor="_Toc14190303" w:history="1">
            <w:r w:rsidRPr="00833CD9">
              <w:rPr>
                <w:rStyle w:val="Hyperlink"/>
                <w:noProof/>
              </w:rPr>
              <w:t>E-Piso Use Case: Transacting in DFC</w:t>
            </w:r>
            <w:r>
              <w:rPr>
                <w:noProof/>
                <w:webHidden/>
              </w:rPr>
              <w:tab/>
            </w:r>
            <w:r>
              <w:rPr>
                <w:noProof/>
                <w:webHidden/>
              </w:rPr>
              <w:fldChar w:fldCharType="begin"/>
            </w:r>
            <w:r>
              <w:rPr>
                <w:noProof/>
                <w:webHidden/>
              </w:rPr>
              <w:instrText xml:space="preserve"> PAGEREF _Toc14190303 \h </w:instrText>
            </w:r>
            <w:r>
              <w:rPr>
                <w:noProof/>
                <w:webHidden/>
              </w:rPr>
            </w:r>
            <w:r>
              <w:rPr>
                <w:noProof/>
                <w:webHidden/>
              </w:rPr>
              <w:fldChar w:fldCharType="separate"/>
            </w:r>
            <w:r>
              <w:rPr>
                <w:noProof/>
                <w:webHidden/>
              </w:rPr>
              <w:t>41</w:t>
            </w:r>
            <w:r>
              <w:rPr>
                <w:noProof/>
                <w:webHidden/>
              </w:rPr>
              <w:fldChar w:fldCharType="end"/>
            </w:r>
          </w:hyperlink>
        </w:p>
        <w:p w14:paraId="19CF7A00" w14:textId="314BC08A"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304" w:history="1">
            <w:r w:rsidRPr="00833CD9">
              <w:rPr>
                <w:rStyle w:val="Hyperlink"/>
                <w:noProof/>
              </w:rPr>
              <w:t>B.</w:t>
            </w:r>
            <w:r>
              <w:rPr>
                <w:rFonts w:asciiTheme="minorHAnsi" w:eastAsiaTheme="minorEastAsia" w:hAnsiTheme="minorHAnsi" w:cstheme="minorBidi"/>
                <w:smallCaps w:val="0"/>
                <w:noProof/>
                <w:sz w:val="22"/>
                <w:szCs w:val="22"/>
                <w:lang w:eastAsia="en-GB"/>
              </w:rPr>
              <w:tab/>
            </w:r>
            <w:r w:rsidRPr="00833CD9">
              <w:rPr>
                <w:rStyle w:val="Hyperlink"/>
                <w:noProof/>
              </w:rPr>
              <w:t>E-Peso Use Case for Financial Inclusion in Uruguay</w:t>
            </w:r>
            <w:r>
              <w:rPr>
                <w:noProof/>
                <w:webHidden/>
              </w:rPr>
              <w:tab/>
            </w:r>
            <w:r>
              <w:rPr>
                <w:noProof/>
                <w:webHidden/>
              </w:rPr>
              <w:fldChar w:fldCharType="begin"/>
            </w:r>
            <w:r>
              <w:rPr>
                <w:noProof/>
                <w:webHidden/>
              </w:rPr>
              <w:instrText xml:space="preserve"> PAGEREF _Toc14190304 \h </w:instrText>
            </w:r>
            <w:r>
              <w:rPr>
                <w:noProof/>
                <w:webHidden/>
              </w:rPr>
            </w:r>
            <w:r>
              <w:rPr>
                <w:noProof/>
                <w:webHidden/>
              </w:rPr>
              <w:fldChar w:fldCharType="separate"/>
            </w:r>
            <w:r>
              <w:rPr>
                <w:noProof/>
                <w:webHidden/>
              </w:rPr>
              <w:t>45</w:t>
            </w:r>
            <w:r>
              <w:rPr>
                <w:noProof/>
                <w:webHidden/>
              </w:rPr>
              <w:fldChar w:fldCharType="end"/>
            </w:r>
          </w:hyperlink>
        </w:p>
        <w:p w14:paraId="478816B6" w14:textId="5063D4D0" w:rsidR="00F546B7" w:rsidRDefault="00F546B7">
          <w:pPr>
            <w:pStyle w:val="TOC3"/>
            <w:tabs>
              <w:tab w:val="right" w:leader="dot" w:pos="9629"/>
            </w:tabs>
            <w:rPr>
              <w:rFonts w:asciiTheme="minorHAnsi" w:eastAsiaTheme="minorEastAsia" w:hAnsiTheme="minorHAnsi" w:cstheme="minorBidi"/>
              <w:i w:val="0"/>
              <w:iCs w:val="0"/>
              <w:noProof/>
              <w:sz w:val="22"/>
              <w:szCs w:val="22"/>
              <w:lang w:eastAsia="en-GB"/>
            </w:rPr>
          </w:pPr>
          <w:hyperlink w:anchor="_Toc14190305" w:history="1">
            <w:r w:rsidRPr="00833CD9">
              <w:rPr>
                <w:rStyle w:val="Hyperlink"/>
                <w:noProof/>
              </w:rPr>
              <w:t>Current Process</w:t>
            </w:r>
            <w:r>
              <w:rPr>
                <w:noProof/>
                <w:webHidden/>
              </w:rPr>
              <w:tab/>
            </w:r>
            <w:r>
              <w:rPr>
                <w:noProof/>
                <w:webHidden/>
              </w:rPr>
              <w:fldChar w:fldCharType="begin"/>
            </w:r>
            <w:r>
              <w:rPr>
                <w:noProof/>
                <w:webHidden/>
              </w:rPr>
              <w:instrText xml:space="preserve"> PAGEREF _Toc14190305 \h </w:instrText>
            </w:r>
            <w:r>
              <w:rPr>
                <w:noProof/>
                <w:webHidden/>
              </w:rPr>
            </w:r>
            <w:r>
              <w:rPr>
                <w:noProof/>
                <w:webHidden/>
              </w:rPr>
              <w:fldChar w:fldCharType="separate"/>
            </w:r>
            <w:r>
              <w:rPr>
                <w:noProof/>
                <w:webHidden/>
              </w:rPr>
              <w:t>47</w:t>
            </w:r>
            <w:r>
              <w:rPr>
                <w:noProof/>
                <w:webHidden/>
              </w:rPr>
              <w:fldChar w:fldCharType="end"/>
            </w:r>
          </w:hyperlink>
        </w:p>
        <w:p w14:paraId="4ADC0D3F" w14:textId="5FDC744C" w:rsidR="00F546B7" w:rsidRDefault="00F546B7">
          <w:pPr>
            <w:pStyle w:val="TOC3"/>
            <w:tabs>
              <w:tab w:val="right" w:leader="dot" w:pos="9629"/>
            </w:tabs>
            <w:rPr>
              <w:rFonts w:asciiTheme="minorHAnsi" w:eastAsiaTheme="minorEastAsia" w:hAnsiTheme="minorHAnsi" w:cstheme="minorBidi"/>
              <w:i w:val="0"/>
              <w:iCs w:val="0"/>
              <w:noProof/>
              <w:sz w:val="22"/>
              <w:szCs w:val="22"/>
              <w:lang w:eastAsia="en-GB"/>
            </w:rPr>
          </w:pPr>
          <w:hyperlink w:anchor="_Toc14190306" w:history="1">
            <w:r w:rsidRPr="00833CD9">
              <w:rPr>
                <w:rStyle w:val="Hyperlink"/>
                <w:noProof/>
              </w:rPr>
              <w:t>Pilot project process</w:t>
            </w:r>
            <w:r>
              <w:rPr>
                <w:noProof/>
                <w:webHidden/>
              </w:rPr>
              <w:tab/>
            </w:r>
            <w:r>
              <w:rPr>
                <w:noProof/>
                <w:webHidden/>
              </w:rPr>
              <w:fldChar w:fldCharType="begin"/>
            </w:r>
            <w:r>
              <w:rPr>
                <w:noProof/>
                <w:webHidden/>
              </w:rPr>
              <w:instrText xml:space="preserve"> PAGEREF _Toc14190306 \h </w:instrText>
            </w:r>
            <w:r>
              <w:rPr>
                <w:noProof/>
                <w:webHidden/>
              </w:rPr>
            </w:r>
            <w:r>
              <w:rPr>
                <w:noProof/>
                <w:webHidden/>
              </w:rPr>
              <w:fldChar w:fldCharType="separate"/>
            </w:r>
            <w:r>
              <w:rPr>
                <w:noProof/>
                <w:webHidden/>
              </w:rPr>
              <w:t>48</w:t>
            </w:r>
            <w:r>
              <w:rPr>
                <w:noProof/>
                <w:webHidden/>
              </w:rPr>
              <w:fldChar w:fldCharType="end"/>
            </w:r>
          </w:hyperlink>
        </w:p>
        <w:p w14:paraId="76F50E83" w14:textId="3CF4873E" w:rsidR="00F546B7" w:rsidRDefault="00F546B7">
          <w:pPr>
            <w:pStyle w:val="TOC2"/>
            <w:tabs>
              <w:tab w:val="left" w:pos="720"/>
              <w:tab w:val="right" w:leader="dot" w:pos="9629"/>
            </w:tabs>
            <w:rPr>
              <w:rFonts w:asciiTheme="minorHAnsi" w:eastAsiaTheme="minorEastAsia" w:hAnsiTheme="minorHAnsi" w:cstheme="minorBidi"/>
              <w:smallCaps w:val="0"/>
              <w:noProof/>
              <w:sz w:val="22"/>
              <w:szCs w:val="22"/>
              <w:lang w:eastAsia="en-GB"/>
            </w:rPr>
          </w:pPr>
          <w:hyperlink w:anchor="_Toc14190307" w:history="1">
            <w:r w:rsidRPr="00833CD9">
              <w:rPr>
                <w:rStyle w:val="Hyperlink"/>
                <w:noProof/>
                <w:lang w:val="en-US"/>
              </w:rPr>
              <w:t>C.</w:t>
            </w:r>
            <w:r>
              <w:rPr>
                <w:rFonts w:asciiTheme="minorHAnsi" w:eastAsiaTheme="minorEastAsia" w:hAnsiTheme="minorHAnsi" w:cstheme="minorBidi"/>
                <w:smallCaps w:val="0"/>
                <w:noProof/>
                <w:sz w:val="22"/>
                <w:szCs w:val="22"/>
                <w:lang w:eastAsia="en-GB"/>
              </w:rPr>
              <w:tab/>
            </w:r>
            <w:r w:rsidRPr="00833CD9">
              <w:rPr>
                <w:rStyle w:val="Hyperlink"/>
                <w:noProof/>
                <w:lang w:val="en-US"/>
              </w:rPr>
              <w:t xml:space="preserve">CBDC-Based Digital </w:t>
            </w:r>
            <w:r w:rsidRPr="00833CD9">
              <w:rPr>
                <w:rStyle w:val="Hyperlink"/>
                <w:noProof/>
              </w:rPr>
              <w:t>Financial</w:t>
            </w:r>
            <w:r w:rsidRPr="00833CD9">
              <w:rPr>
                <w:rStyle w:val="Hyperlink"/>
                <w:noProof/>
                <w:lang w:val="en-US"/>
              </w:rPr>
              <w:t xml:space="preserve"> Ecosystem in Carribean Region</w:t>
            </w:r>
            <w:r>
              <w:rPr>
                <w:noProof/>
                <w:webHidden/>
              </w:rPr>
              <w:tab/>
            </w:r>
            <w:r>
              <w:rPr>
                <w:noProof/>
                <w:webHidden/>
              </w:rPr>
              <w:fldChar w:fldCharType="begin"/>
            </w:r>
            <w:r>
              <w:rPr>
                <w:noProof/>
                <w:webHidden/>
              </w:rPr>
              <w:instrText xml:space="preserve"> PAGEREF _Toc14190307 \h </w:instrText>
            </w:r>
            <w:r>
              <w:rPr>
                <w:noProof/>
                <w:webHidden/>
              </w:rPr>
            </w:r>
            <w:r>
              <w:rPr>
                <w:noProof/>
                <w:webHidden/>
              </w:rPr>
              <w:fldChar w:fldCharType="separate"/>
            </w:r>
            <w:r>
              <w:rPr>
                <w:noProof/>
                <w:webHidden/>
              </w:rPr>
              <w:t>51</w:t>
            </w:r>
            <w:r>
              <w:rPr>
                <w:noProof/>
                <w:webHidden/>
              </w:rPr>
              <w:fldChar w:fldCharType="end"/>
            </w:r>
          </w:hyperlink>
        </w:p>
        <w:p w14:paraId="323AB59F" w14:textId="5D4D9D36" w:rsidR="00F546B7" w:rsidRDefault="00F546B7">
          <w:pPr>
            <w:pStyle w:val="TOC3"/>
            <w:tabs>
              <w:tab w:val="right" w:leader="dot" w:pos="9629"/>
            </w:tabs>
            <w:rPr>
              <w:rFonts w:asciiTheme="minorHAnsi" w:eastAsiaTheme="minorEastAsia" w:hAnsiTheme="minorHAnsi" w:cstheme="minorBidi"/>
              <w:i w:val="0"/>
              <w:iCs w:val="0"/>
              <w:noProof/>
              <w:sz w:val="22"/>
              <w:szCs w:val="22"/>
              <w:lang w:eastAsia="en-GB"/>
            </w:rPr>
          </w:pPr>
          <w:hyperlink w:anchor="_Toc14190308" w:history="1">
            <w:r w:rsidRPr="00833CD9">
              <w:rPr>
                <w:rStyle w:val="Hyperlink"/>
                <w:noProof/>
                <w:lang w:val="en-US"/>
              </w:rPr>
              <w:t>Current process</w:t>
            </w:r>
            <w:r>
              <w:rPr>
                <w:noProof/>
                <w:webHidden/>
              </w:rPr>
              <w:tab/>
            </w:r>
            <w:r>
              <w:rPr>
                <w:noProof/>
                <w:webHidden/>
              </w:rPr>
              <w:fldChar w:fldCharType="begin"/>
            </w:r>
            <w:r>
              <w:rPr>
                <w:noProof/>
                <w:webHidden/>
              </w:rPr>
              <w:instrText xml:space="preserve"> PAGEREF _Toc14190308 \h </w:instrText>
            </w:r>
            <w:r>
              <w:rPr>
                <w:noProof/>
                <w:webHidden/>
              </w:rPr>
            </w:r>
            <w:r>
              <w:rPr>
                <w:noProof/>
                <w:webHidden/>
              </w:rPr>
              <w:fldChar w:fldCharType="separate"/>
            </w:r>
            <w:r>
              <w:rPr>
                <w:noProof/>
                <w:webHidden/>
              </w:rPr>
              <w:t>54</w:t>
            </w:r>
            <w:r>
              <w:rPr>
                <w:noProof/>
                <w:webHidden/>
              </w:rPr>
              <w:fldChar w:fldCharType="end"/>
            </w:r>
          </w:hyperlink>
        </w:p>
        <w:p w14:paraId="11565C52" w14:textId="13982CA2" w:rsidR="00F546B7" w:rsidRDefault="00F546B7">
          <w:pPr>
            <w:pStyle w:val="TOC3"/>
            <w:tabs>
              <w:tab w:val="right" w:leader="dot" w:pos="9629"/>
            </w:tabs>
            <w:rPr>
              <w:rFonts w:asciiTheme="minorHAnsi" w:eastAsiaTheme="minorEastAsia" w:hAnsiTheme="minorHAnsi" w:cstheme="minorBidi"/>
              <w:i w:val="0"/>
              <w:iCs w:val="0"/>
              <w:noProof/>
              <w:sz w:val="22"/>
              <w:szCs w:val="22"/>
              <w:lang w:eastAsia="en-GB"/>
            </w:rPr>
          </w:pPr>
          <w:hyperlink w:anchor="_Toc14190309" w:history="1">
            <w:r w:rsidRPr="00833CD9">
              <w:rPr>
                <w:rStyle w:val="Hyperlink"/>
                <w:noProof/>
                <w:lang w:val="en-US"/>
              </w:rPr>
              <w:t>Expected process</w:t>
            </w:r>
            <w:r>
              <w:rPr>
                <w:noProof/>
                <w:webHidden/>
              </w:rPr>
              <w:tab/>
            </w:r>
            <w:r>
              <w:rPr>
                <w:noProof/>
                <w:webHidden/>
              </w:rPr>
              <w:fldChar w:fldCharType="begin"/>
            </w:r>
            <w:r>
              <w:rPr>
                <w:noProof/>
                <w:webHidden/>
              </w:rPr>
              <w:instrText xml:space="preserve"> PAGEREF _Toc14190309 \h </w:instrText>
            </w:r>
            <w:r>
              <w:rPr>
                <w:noProof/>
                <w:webHidden/>
              </w:rPr>
            </w:r>
            <w:r>
              <w:rPr>
                <w:noProof/>
                <w:webHidden/>
              </w:rPr>
              <w:fldChar w:fldCharType="separate"/>
            </w:r>
            <w:r>
              <w:rPr>
                <w:noProof/>
                <w:webHidden/>
              </w:rPr>
              <w:t>55</w:t>
            </w:r>
            <w:r>
              <w:rPr>
                <w:noProof/>
                <w:webHidden/>
              </w:rPr>
              <w:fldChar w:fldCharType="end"/>
            </w:r>
          </w:hyperlink>
        </w:p>
        <w:p w14:paraId="194CE6AC" w14:textId="351726C6" w:rsidR="00685A1D" w:rsidRDefault="00685A1D">
          <w:r w:rsidRPr="00506992">
            <w:rPr>
              <w:b/>
              <w:bCs/>
              <w:noProof/>
              <w:sz w:val="22"/>
              <w:szCs w:val="22"/>
            </w:rPr>
            <w:fldChar w:fldCharType="end"/>
          </w:r>
        </w:p>
      </w:sdtContent>
    </w:sdt>
    <w:p w14:paraId="363A1992" w14:textId="77777777" w:rsidR="004938E3" w:rsidRDefault="004938E3">
      <w:pPr>
        <w:spacing w:before="0"/>
        <w:rPr>
          <w:b/>
          <w:bCs/>
          <w:szCs w:val="24"/>
          <w:highlight w:val="green"/>
        </w:rPr>
      </w:pPr>
      <w:bookmarkStart w:id="7" w:name="_GoBack"/>
      <w:bookmarkEnd w:id="7"/>
    </w:p>
    <w:p w14:paraId="3A729F54" w14:textId="46E37790" w:rsidR="004E391E" w:rsidRDefault="004E391E">
      <w:pPr>
        <w:spacing w:before="0"/>
        <w:rPr>
          <w:lang w:eastAsia="ja-JP"/>
        </w:rPr>
      </w:pPr>
    </w:p>
    <w:p w14:paraId="67B75B46" w14:textId="77777777" w:rsidR="00A928A0" w:rsidRDefault="00A928A0">
      <w:pPr>
        <w:spacing w:before="0"/>
        <w:rPr>
          <w:rFonts w:asciiTheme="majorBidi" w:hAnsiTheme="majorBidi" w:cstheme="majorBidi"/>
          <w:b/>
          <w:bCs/>
          <w:kern w:val="32"/>
          <w:szCs w:val="24"/>
          <w:lang w:eastAsia="ja-JP"/>
        </w:rPr>
      </w:pPr>
      <w:bookmarkStart w:id="8" w:name="_Toc465260134"/>
      <w:r>
        <w:rPr>
          <w:rFonts w:asciiTheme="majorBidi" w:hAnsiTheme="majorBidi" w:cstheme="majorBidi"/>
          <w:szCs w:val="24"/>
        </w:rPr>
        <w:br w:type="page"/>
      </w:r>
    </w:p>
    <w:p w14:paraId="5A57330E" w14:textId="5751090F" w:rsidR="00BE289F" w:rsidRDefault="00FA017E" w:rsidP="0055465A">
      <w:pPr>
        <w:pStyle w:val="Heading1"/>
        <w:numPr>
          <w:ilvl w:val="0"/>
          <w:numId w:val="0"/>
        </w:numPr>
        <w:ind w:left="432" w:hanging="432"/>
        <w:rPr>
          <w:rFonts w:asciiTheme="majorBidi" w:hAnsiTheme="majorBidi" w:cstheme="majorBidi"/>
          <w:szCs w:val="24"/>
        </w:rPr>
      </w:pPr>
      <w:bookmarkStart w:id="9" w:name="_Toc14190262"/>
      <w:r>
        <w:rPr>
          <w:rFonts w:asciiTheme="majorBidi" w:hAnsiTheme="majorBidi" w:cstheme="majorBidi"/>
          <w:szCs w:val="24"/>
        </w:rPr>
        <w:t>Executive Summary</w:t>
      </w:r>
      <w:bookmarkEnd w:id="9"/>
    </w:p>
    <w:p w14:paraId="5AD57BF5" w14:textId="77777777" w:rsidR="000548B5" w:rsidRPr="000548B5" w:rsidRDefault="000548B5" w:rsidP="000548B5">
      <w:pPr>
        <w:rPr>
          <w:lang w:eastAsia="ja-JP"/>
        </w:rPr>
      </w:pPr>
    </w:p>
    <w:p w14:paraId="63D65023" w14:textId="7F622DDE" w:rsidR="000A1898" w:rsidRDefault="000A1898" w:rsidP="000548B5">
      <w:pPr>
        <w:spacing w:before="0" w:after="120" w:line="264" w:lineRule="auto"/>
        <w:jc w:val="both"/>
      </w:pPr>
      <w:r w:rsidRPr="000A1898">
        <w:rPr>
          <w:b/>
          <w:color w:val="1F497D" w:themeColor="text2"/>
        </w:rPr>
        <w:t xml:space="preserve">Digitalization is reshaping economic activity across the world. In some advanced </w:t>
      </w:r>
      <w:r w:rsidR="00D05560" w:rsidRPr="000A1898">
        <w:rPr>
          <w:b/>
          <w:color w:val="1F497D" w:themeColor="text2"/>
        </w:rPr>
        <w:t>economies,</w:t>
      </w:r>
      <w:r w:rsidRPr="000A1898">
        <w:rPr>
          <w:b/>
          <w:color w:val="1F497D" w:themeColor="text2"/>
        </w:rPr>
        <w:t xml:space="preserve"> it is shrinking the role of cash and spurring new digital forms of money</w:t>
      </w:r>
      <w:r>
        <w:t xml:space="preserve">. In developing countries, it may provide new financial inclusion options, and reduce operational costs and risks associated with the management of physical currency. Central banks have been pondering whether and how to respond to these new developments, especially considering the private sector’s increasing prominence in digital payment systems. </w:t>
      </w:r>
    </w:p>
    <w:p w14:paraId="6DE71241" w14:textId="24038581" w:rsidR="000A1898" w:rsidRDefault="000A1898" w:rsidP="000548B5">
      <w:pPr>
        <w:spacing w:before="0" w:after="120" w:line="264" w:lineRule="auto"/>
        <w:jc w:val="both"/>
      </w:pPr>
      <w:r w:rsidRPr="000A1898">
        <w:rPr>
          <w:b/>
          <w:color w:val="1F497D" w:themeColor="text2"/>
        </w:rPr>
        <w:t>One possibility for central banks is to explore wholesale Central Bank Digital Currency (CBDC) and privately-issued Digital Fiat Currency (DFC) that facilitate wholesale payment transactions between the national central bank and participating financial institutions</w:t>
      </w:r>
      <w:r w:rsidRPr="009949DA">
        <w:t>.</w:t>
      </w:r>
      <w:r>
        <w:t xml:space="preserve"> Another option is to issue a retail CBDC, which is a widely accessible digital form of fiat money that could be legal tender. In economies that are highly depended on cross-border transactions such as remittances, central banks would want to consider introducing a cross-border dimensionality to their retail or wholesale CBDCs.</w:t>
      </w:r>
    </w:p>
    <w:p w14:paraId="207C4DF9" w14:textId="74868ABE" w:rsidR="000A1898" w:rsidRDefault="000A1898" w:rsidP="000548B5">
      <w:pPr>
        <w:spacing w:before="0" w:after="120" w:line="264" w:lineRule="auto"/>
        <w:jc w:val="both"/>
      </w:pPr>
      <w:r w:rsidRPr="000A1898">
        <w:rPr>
          <w:b/>
          <w:color w:val="1F497D" w:themeColor="text2"/>
        </w:rPr>
        <w:t>The rationale for CBDC issuance will drive a central bank’s choice of the operating model, architecture, and technology</w:t>
      </w:r>
      <w:r>
        <w:t xml:space="preserve">. There are universally applicable design features for all types of CBDC such as security, robustness, and flexibility of the architecture as well as the central bank mandate market environment, and legal and regulatory framework that provide the context a </w:t>
      </w:r>
      <w:r w:rsidR="00D05560">
        <w:t>in which the</w:t>
      </w:r>
      <w:r>
        <w:t xml:space="preserve"> CBDC. The relevance and prominence of other design features will vary by the specific type of CBDC. Although specific design features will be aligned with the CBDC type, it is important to consider all design features holistically to account for possible trade-offs and gaps within the architecture. </w:t>
      </w:r>
    </w:p>
    <w:p w14:paraId="040166C4" w14:textId="0EA16022" w:rsidR="00F8181D" w:rsidRDefault="000A1898" w:rsidP="000548B5">
      <w:pPr>
        <w:spacing w:before="0" w:after="120" w:line="264" w:lineRule="auto"/>
        <w:jc w:val="both"/>
      </w:pPr>
      <w:r w:rsidRPr="000A1898">
        <w:rPr>
          <w:b/>
          <w:color w:val="1F497D" w:themeColor="text2"/>
        </w:rPr>
        <w:t>This report presents the architecture options for three types CBDCs -wholesale, retail, or cross-border CBDCs based on stylized examples</w:t>
      </w:r>
      <w:r>
        <w:t xml:space="preserve">. Without prescribing </w:t>
      </w:r>
      <w:r w:rsidRPr="009949DA">
        <w:t xml:space="preserve">any specific </w:t>
      </w:r>
      <w:r>
        <w:t xml:space="preserve">design and technology </w:t>
      </w:r>
      <w:r w:rsidRPr="009949DA">
        <w:t xml:space="preserve">choices for </w:t>
      </w:r>
      <w:r>
        <w:t>the CBDC architecture, it merely serves as a reference document for policymakers that can guide and inform their decision-making process. For standard-setting bodies such as the International Telecommunications Union (ITU), the report will provide key inputs for a possible standardization of CBDC issuance, distribution and payment transactions.</w:t>
      </w:r>
    </w:p>
    <w:bookmarkEnd w:id="8"/>
    <w:p w14:paraId="44D01391" w14:textId="77777777" w:rsidR="009D63CA" w:rsidRDefault="009D63CA" w:rsidP="000548B5">
      <w:pPr>
        <w:spacing w:before="0"/>
        <w:jc w:val="both"/>
        <w:rPr>
          <w:szCs w:val="24"/>
        </w:rPr>
      </w:pPr>
      <w:r>
        <w:rPr>
          <w:szCs w:val="24"/>
        </w:rPr>
        <w:br w:type="page"/>
      </w:r>
    </w:p>
    <w:p w14:paraId="7D8B7B83" w14:textId="77777777" w:rsidR="006E6463" w:rsidRDefault="009D63CA" w:rsidP="006E6463">
      <w:pPr>
        <w:pStyle w:val="Heading1"/>
      </w:pPr>
      <w:bookmarkStart w:id="10" w:name="_Toc14190263"/>
      <w:r>
        <w:t>Introductio</w:t>
      </w:r>
      <w:r w:rsidR="006E6463">
        <w:t>n</w:t>
      </w:r>
      <w:bookmarkEnd w:id="10"/>
    </w:p>
    <w:p w14:paraId="6B0E489F" w14:textId="484E0FC3" w:rsidR="006E6463" w:rsidRDefault="0093267B" w:rsidP="00DD71F4">
      <w:pPr>
        <w:spacing w:after="120" w:line="264" w:lineRule="auto"/>
        <w:jc w:val="both"/>
      </w:pPr>
      <w:r w:rsidRPr="0060119B">
        <w:rPr>
          <w:b/>
          <w:color w:val="1F497D" w:themeColor="text2"/>
        </w:rPr>
        <w:t>This document will refer to d</w:t>
      </w:r>
      <w:r w:rsidR="006E6463" w:rsidRPr="0060119B">
        <w:rPr>
          <w:b/>
          <w:color w:val="1F497D" w:themeColor="text2"/>
        </w:rPr>
        <w:t xml:space="preserve">igital fiat currency (DFC) </w:t>
      </w:r>
      <w:r w:rsidRPr="0060119B">
        <w:rPr>
          <w:b/>
          <w:color w:val="1F497D" w:themeColor="text2"/>
        </w:rPr>
        <w:t>as</w:t>
      </w:r>
      <w:r w:rsidR="006E6463" w:rsidRPr="0060119B">
        <w:rPr>
          <w:b/>
          <w:color w:val="1F497D" w:themeColor="text2"/>
        </w:rPr>
        <w:t xml:space="preserve"> a tokenized, digital representation of a sovereign currency issued by an authorized public or private entity</w:t>
      </w:r>
      <w:r w:rsidR="006E6463">
        <w:t xml:space="preserve">. When issued and </w:t>
      </w:r>
      <w:r w:rsidR="006E6463" w:rsidRPr="00BC530D">
        <w:t xml:space="preserve">distributed by a </w:t>
      </w:r>
      <w:r w:rsidR="006E6463">
        <w:t xml:space="preserve">central bank or other </w:t>
      </w:r>
      <w:r w:rsidR="006E6463" w:rsidRPr="00BC530D">
        <w:t>monetary authority</w:t>
      </w:r>
      <w:r w:rsidR="006E6463">
        <w:t>, it is a central bank digital currency (CBDC). If it is issued by a private entity, it may be e-money (e.g., AliPay and M-Pesa) or another form of digital commercial bank money/private digital tokens</w:t>
      </w:r>
      <w:r w:rsidR="00587DD5">
        <w:t>/stablecoins</w:t>
      </w:r>
      <w:r w:rsidR="00597935">
        <w:t xml:space="preserve">, </w:t>
      </w:r>
      <w:r w:rsidR="006E6463">
        <w:t>even if backed by central bank money.</w:t>
      </w:r>
      <w:r w:rsidR="00587DD5">
        <w:rPr>
          <w:rStyle w:val="FootnoteReference"/>
        </w:rPr>
        <w:footnoteReference w:id="2"/>
      </w:r>
      <w:r w:rsidR="006E6463">
        <w:t xml:space="preserve"> An important difference between the two is that CBDC is generally designated as </w:t>
      </w:r>
      <w:r w:rsidR="006E6463" w:rsidRPr="00357E96">
        <w:t>legal tender</w:t>
      </w:r>
      <w:r w:rsidR="006E6463">
        <w:t>.</w:t>
      </w:r>
      <w:r w:rsidR="006E6463">
        <w:rPr>
          <w:rStyle w:val="FootnoteReference"/>
        </w:rPr>
        <w:footnoteReference w:id="3"/>
      </w:r>
      <w:r w:rsidR="00C55ACB">
        <w:t xml:space="preserve"> This document will focus on three variations of CBDC</w:t>
      </w:r>
      <w:r w:rsidR="00CE00FC">
        <w:t>:</w:t>
      </w:r>
    </w:p>
    <w:p w14:paraId="1E04FBAB" w14:textId="6BC7218A" w:rsidR="00CE00FC" w:rsidRDefault="009669A1" w:rsidP="00DD71F4">
      <w:pPr>
        <w:pStyle w:val="ListBullet"/>
        <w:spacing w:line="264" w:lineRule="auto"/>
        <w:jc w:val="both"/>
      </w:pPr>
      <w:bookmarkStart w:id="11" w:name="_Hlk11235092"/>
      <w:r w:rsidRPr="00C55ACB">
        <w:t>Wholesale CBDC limited to banks and other members of national payment systems</w:t>
      </w:r>
      <w:r>
        <w:t xml:space="preserve">, and </w:t>
      </w:r>
      <w:r w:rsidRPr="009669A1">
        <w:t xml:space="preserve">made available for settlement purposes, updating, complementing or replacing central bank deposit technology. </w:t>
      </w:r>
      <w:bookmarkEnd w:id="11"/>
    </w:p>
    <w:p w14:paraId="403784FF" w14:textId="0443E188" w:rsidR="00CE00FC" w:rsidRDefault="009669A1" w:rsidP="00DD71F4">
      <w:pPr>
        <w:pStyle w:val="ListBullet"/>
        <w:spacing w:line="264" w:lineRule="auto"/>
        <w:jc w:val="both"/>
      </w:pPr>
      <w:r>
        <w:t>R</w:t>
      </w:r>
      <w:r w:rsidRPr="009669A1">
        <w:t xml:space="preserve">etail CBDC </w:t>
      </w:r>
      <w:r w:rsidR="00CE00FC">
        <w:t xml:space="preserve">that is a </w:t>
      </w:r>
      <w:r w:rsidRPr="009669A1">
        <w:t xml:space="preserve">widely accessible digital representation of a sovereign currency that is issued by, and a liability of, a jurisdiction’s central bank or monetary authority, and </w:t>
      </w:r>
      <w:r w:rsidR="000548B5">
        <w:t xml:space="preserve">would likely be </w:t>
      </w:r>
      <w:r w:rsidR="007F5363" w:rsidRPr="007F5363">
        <w:t>designated as legal tender as stipulated in pertinent legislative acts</w:t>
      </w:r>
      <w:r w:rsidRPr="009669A1">
        <w:t>.</w:t>
      </w:r>
    </w:p>
    <w:p w14:paraId="2CF5F51E" w14:textId="151EBFF3" w:rsidR="009669A1" w:rsidRDefault="0089446F" w:rsidP="00DD71F4">
      <w:pPr>
        <w:pStyle w:val="ListBullet"/>
        <w:spacing w:line="264" w:lineRule="auto"/>
        <w:jc w:val="both"/>
      </w:pPr>
      <w:r>
        <w:t>CBDC for both retail and wholesale purposes a</w:t>
      </w:r>
      <w:r w:rsidR="000D1F78">
        <w:t xml:space="preserve"> </w:t>
      </w:r>
      <w:r w:rsidR="00217A0F">
        <w:t>Cross-Border</w:t>
      </w:r>
      <w:r>
        <w:t>s, for example remittance flows.</w:t>
      </w:r>
    </w:p>
    <w:p w14:paraId="72C94880" w14:textId="77777777" w:rsidR="006E6463" w:rsidRDefault="006E6463" w:rsidP="00DD71F4">
      <w:pPr>
        <w:spacing w:after="120" w:line="264" w:lineRule="auto"/>
        <w:jc w:val="both"/>
      </w:pPr>
      <w:r w:rsidRPr="0060119B">
        <w:rPr>
          <w:b/>
          <w:color w:val="1F497D" w:themeColor="text2"/>
        </w:rPr>
        <w:t>To date no central bank has issued CBDC</w:t>
      </w:r>
      <w:r w:rsidR="00D66A18" w:rsidRPr="0060119B">
        <w:rPr>
          <w:b/>
          <w:color w:val="1F497D" w:themeColor="text2"/>
        </w:rPr>
        <w:t xml:space="preserve"> in production</w:t>
      </w:r>
      <w:r w:rsidRPr="0060119B">
        <w:rPr>
          <w:b/>
          <w:color w:val="1F497D" w:themeColor="text2"/>
        </w:rPr>
        <w:t>, but according to Barontini and Holden (2019) at least 44 are currently (or will soon be) engaged in CBDC work</w:t>
      </w:r>
      <w:r>
        <w:t>. Of those, 38 are focusing on widely accessible retail CBDC that could be legal tender, and 30 are focusing on wholesale CBDC</w:t>
      </w:r>
      <w:r w:rsidR="009669A1">
        <w:t>.</w:t>
      </w:r>
      <w:r>
        <w:t xml:space="preserve"> Table 1 lists over thirty jurisdictions where central banks are currently (or have been) engaged in retail CBDC work, based on publicly-available information. </w:t>
      </w:r>
      <w:r w:rsidRPr="00C25DBE">
        <w:t>Table 2 lists jurisdictions conducting wholesale CBDC investigations, based on publicly</w:t>
      </w:r>
      <w:r>
        <w:t xml:space="preserve"> </w:t>
      </w:r>
      <w:r w:rsidRPr="00C25DBE">
        <w:t>available information</w:t>
      </w:r>
      <w:r>
        <w:t>.</w:t>
      </w:r>
    </w:p>
    <w:p w14:paraId="2EEF5714" w14:textId="77777777" w:rsidR="00964E09" w:rsidRDefault="00964E09" w:rsidP="00DD71F4">
      <w:pPr>
        <w:spacing w:after="120" w:line="264" w:lineRule="auto"/>
        <w:jc w:val="both"/>
      </w:pPr>
      <w:r w:rsidRPr="0060119B">
        <w:rPr>
          <w:b/>
          <w:color w:val="1F497D" w:themeColor="text2"/>
        </w:rPr>
        <w:t>A number of central and private banks are actively exploring wholesale CBDC and privately-issued DFC</w:t>
      </w:r>
      <w:r>
        <w:t xml:space="preserve">. </w:t>
      </w:r>
      <w:r w:rsidRPr="007D7E85">
        <w:t>Wholesale CBDC theoretically facilitate wholesale payment transactions between the national central bank and participant financial institutions.</w:t>
      </w:r>
      <w:r>
        <w:t xml:space="preserve"> More generally, privately-issued wholesale DFCs (such as JP Morgan’s JPM Coin) </w:t>
      </w:r>
      <w:r w:rsidRPr="00915987">
        <w:t xml:space="preserve">could facilitate additional functional possibilities for payment systems such as inter-operability of ledgers and capabilities </w:t>
      </w:r>
      <w:r w:rsidRPr="00117FD9">
        <w:t>for atomic transaction execution.</w:t>
      </w:r>
      <w:r w:rsidR="00BB009C" w:rsidRPr="00C55ACB">
        <w:rPr>
          <w:rStyle w:val="FootnoteReference"/>
        </w:rPr>
        <w:footnoteReference w:id="4"/>
      </w:r>
      <w:r w:rsidRPr="00117FD9">
        <w:t xml:space="preserve"> This could allow smart contracting choices to market players, opening further possibilities</w:t>
      </w:r>
      <w:r w:rsidR="00117FD9">
        <w:t xml:space="preserve"> for programming the currency</w:t>
      </w:r>
      <w:r w:rsidRPr="00117FD9">
        <w:t>.</w:t>
      </w:r>
    </w:p>
    <w:p w14:paraId="2EEC686B" w14:textId="09CFC372" w:rsidR="00964E09" w:rsidRDefault="00964E09" w:rsidP="00DD71F4">
      <w:pPr>
        <w:spacing w:after="120" w:line="264" w:lineRule="auto"/>
        <w:jc w:val="both"/>
      </w:pPr>
      <w:r w:rsidRPr="0060119B">
        <w:rPr>
          <w:b/>
          <w:color w:val="1F497D" w:themeColor="text2"/>
        </w:rPr>
        <w:t xml:space="preserve">Recent central bank pilot studies indicate that </w:t>
      </w:r>
      <w:r w:rsidR="00B050CA">
        <w:rPr>
          <w:b/>
          <w:color w:val="1F497D" w:themeColor="text2"/>
        </w:rPr>
        <w:t>d</w:t>
      </w:r>
      <w:r w:rsidR="008F253A" w:rsidRPr="0060119B">
        <w:rPr>
          <w:b/>
          <w:color w:val="1F497D" w:themeColor="text2"/>
        </w:rPr>
        <w:t xml:space="preserve">istributed </w:t>
      </w:r>
      <w:r w:rsidR="00B050CA">
        <w:rPr>
          <w:b/>
          <w:color w:val="1F497D" w:themeColor="text2"/>
        </w:rPr>
        <w:t>l</w:t>
      </w:r>
      <w:r w:rsidR="008F253A" w:rsidRPr="0060119B">
        <w:rPr>
          <w:b/>
          <w:color w:val="1F497D" w:themeColor="text2"/>
        </w:rPr>
        <w:t xml:space="preserve">edger </w:t>
      </w:r>
      <w:r w:rsidR="00B050CA">
        <w:rPr>
          <w:b/>
          <w:color w:val="1F497D" w:themeColor="text2"/>
        </w:rPr>
        <w:t>t</w:t>
      </w:r>
      <w:r w:rsidR="008F253A" w:rsidRPr="0060119B">
        <w:rPr>
          <w:b/>
          <w:color w:val="1F497D" w:themeColor="text2"/>
        </w:rPr>
        <w:t>echnology (</w:t>
      </w:r>
      <w:r w:rsidRPr="0060119B">
        <w:rPr>
          <w:b/>
          <w:color w:val="1F497D" w:themeColor="text2"/>
        </w:rPr>
        <w:t>DLT</w:t>
      </w:r>
      <w:r w:rsidR="008F253A" w:rsidRPr="0060119B">
        <w:rPr>
          <w:b/>
          <w:color w:val="1F497D" w:themeColor="text2"/>
        </w:rPr>
        <w:t>)</w:t>
      </w:r>
      <w:r w:rsidRPr="0060119B">
        <w:rPr>
          <w:b/>
          <w:color w:val="1F497D" w:themeColor="text2"/>
        </w:rPr>
        <w:t xml:space="preserve"> based systems provide for possibilities of tokenization of both cash and securities on a single shared ledger</w:t>
      </w:r>
      <w:r w:rsidRPr="0060119B">
        <w:rPr>
          <w:color w:val="1F497D" w:themeColor="text2"/>
        </w:rPr>
        <w:t xml:space="preserve"> </w:t>
      </w:r>
      <w:r w:rsidRPr="000F52BC">
        <w:t xml:space="preserve">resulting in better asset interactions during </w:t>
      </w:r>
      <w:r>
        <w:t>delivery-versus-payment (</w:t>
      </w:r>
      <w:r w:rsidRPr="000F52BC">
        <w:t>DVP</w:t>
      </w:r>
      <w:r>
        <w:t>)</w:t>
      </w:r>
      <w:r w:rsidRPr="000F52BC">
        <w:t xml:space="preserve"> settlement relative to current settlement mechanisms. </w:t>
      </w:r>
      <w:r w:rsidR="00245297" w:rsidRPr="00245297">
        <w:t>DLT refers to the processes and related technologies that enable nodes in a network (or arrangement) to securely propose, validate and record state changes (or updates) to a synchronized ledger that is distributed across the network’s nodes</w:t>
      </w:r>
      <w:r w:rsidR="00245297">
        <w:t xml:space="preserve"> (BIS, 2017)</w:t>
      </w:r>
      <w:r w:rsidR="00245297" w:rsidRPr="00245297">
        <w:t>.</w:t>
      </w:r>
      <w:r w:rsidR="00245297">
        <w:t xml:space="preserve"> </w:t>
      </w:r>
      <w:r w:rsidRPr="000F52BC">
        <w:t>Transactions recorded using</w:t>
      </w:r>
      <w:r w:rsidR="00B050CA">
        <w:t xml:space="preserve"> DLT-based</w:t>
      </w:r>
      <w:r w:rsidRPr="000F52BC">
        <w:t xml:space="preserve"> DFC payment systems could be cheaper in aggregate than transactions recorded across multiple siloed accounts increasing the utility of the wholesale payments system.</w:t>
      </w:r>
    </w:p>
    <w:p w14:paraId="3E6E95A8" w14:textId="77777777" w:rsidR="006E6463" w:rsidRDefault="006E6463" w:rsidP="00DD71F4">
      <w:pPr>
        <w:spacing w:after="120" w:line="264" w:lineRule="auto"/>
        <w:jc w:val="both"/>
      </w:pPr>
      <w:r w:rsidRPr="0060119B">
        <w:rPr>
          <w:b/>
          <w:color w:val="1F497D" w:themeColor="text2"/>
        </w:rPr>
        <w:t xml:space="preserve">At least two central banks (Ecuador and Uruguay) are known to have conducted limited-scale pilot </w:t>
      </w:r>
      <w:r w:rsidR="00F30088" w:rsidRPr="0060119B">
        <w:rPr>
          <w:b/>
          <w:color w:val="1F497D" w:themeColor="text2"/>
        </w:rPr>
        <w:t xml:space="preserve">retail CBDC </w:t>
      </w:r>
      <w:r w:rsidRPr="0060119B">
        <w:rPr>
          <w:b/>
          <w:color w:val="1F497D" w:themeColor="text2"/>
        </w:rPr>
        <w:t>issuance</w:t>
      </w:r>
      <w:r>
        <w:t xml:space="preserve">, and others are </w:t>
      </w:r>
      <w:r w:rsidR="00F30088">
        <w:t>researching pilots</w:t>
      </w:r>
      <w:r>
        <w:t xml:space="preserve"> (e.g., Bahamas, Eastern Caribbean Currency Union, Sweden, and Ukraine). Senegal and Tunisia have purportedly issued CBDCs, but these appear to be DFC not issued by the respective central banks.</w:t>
      </w:r>
      <w:r>
        <w:rPr>
          <w:rStyle w:val="FootnoteReference"/>
        </w:rPr>
        <w:footnoteReference w:id="5"/>
      </w:r>
      <w:r>
        <w:t xml:space="preserve"> Some central banks (e.g., Barbados and Philippines) are supporting private sector DFC in regulatory sandboxes. </w:t>
      </w:r>
    </w:p>
    <w:p w14:paraId="439FACE1" w14:textId="77777777" w:rsidR="004D6471" w:rsidRDefault="00117FD9" w:rsidP="00DD71F4">
      <w:pPr>
        <w:spacing w:after="120" w:line="264" w:lineRule="auto"/>
        <w:jc w:val="both"/>
      </w:pPr>
      <w:r w:rsidRPr="0060119B">
        <w:rPr>
          <w:b/>
          <w:color w:val="1F497D" w:themeColor="text2"/>
        </w:rPr>
        <w:t>Central banks have been exploring various technological solutions and operating models for their retail CBDCs</w:t>
      </w:r>
      <w:r w:rsidRPr="00C55ACB">
        <w:t xml:space="preserve">. While some central banks </w:t>
      </w:r>
      <w:r w:rsidR="00847018" w:rsidRPr="00C55ACB">
        <w:t xml:space="preserve">have opted to centrally manage the entire infrastructure </w:t>
      </w:r>
      <w:r w:rsidR="00C13988" w:rsidRPr="00C55ACB">
        <w:t>i</w:t>
      </w:r>
      <w:r w:rsidR="00847018" w:rsidRPr="00C55ACB">
        <w:t>ncluding wall</w:t>
      </w:r>
      <w:r w:rsidR="00C13988" w:rsidRPr="00C55ACB">
        <w:t>e</w:t>
      </w:r>
      <w:r w:rsidR="00847018" w:rsidRPr="00C55ACB">
        <w:t>t</w:t>
      </w:r>
      <w:r w:rsidR="00C13988" w:rsidRPr="00C55ACB">
        <w:t>s (e-Peso)</w:t>
      </w:r>
      <w:r w:rsidR="00847018" w:rsidRPr="00C55ACB">
        <w:t>, others control the issuance while</w:t>
      </w:r>
      <w:r w:rsidR="00C13988" w:rsidRPr="00C55ACB">
        <w:t xml:space="preserve"> enabling</w:t>
      </w:r>
      <w:r w:rsidR="00847018" w:rsidRPr="00C55ACB">
        <w:t xml:space="preserve"> </w:t>
      </w:r>
      <w:r w:rsidR="00C13988" w:rsidRPr="00C55ACB">
        <w:t xml:space="preserve">financial institutions to carry out the </w:t>
      </w:r>
      <w:r w:rsidR="00847018" w:rsidRPr="00C55ACB">
        <w:t xml:space="preserve">distribution </w:t>
      </w:r>
      <w:r w:rsidR="00C13988" w:rsidRPr="00C55ACB">
        <w:t xml:space="preserve">through API access </w:t>
      </w:r>
      <w:r w:rsidR="00847018" w:rsidRPr="00C55ACB">
        <w:t>(e-Krona). Central banks can cho</w:t>
      </w:r>
      <w:r w:rsidR="00C13988" w:rsidRPr="00C55ACB">
        <w:t>o</w:t>
      </w:r>
      <w:r w:rsidR="00847018" w:rsidRPr="00C55ACB">
        <w:t xml:space="preserve">se between different technological architectures </w:t>
      </w:r>
      <w:r w:rsidR="00C13988" w:rsidRPr="00C55ACB">
        <w:t>that are either DLT or non-DLT based. Traditional</w:t>
      </w:r>
      <w:r w:rsidR="00847018" w:rsidRPr="00C55ACB">
        <w:t xml:space="preserve"> </w:t>
      </w:r>
      <w:r w:rsidR="00C13988" w:rsidRPr="00C55ACB">
        <w:t>n-tier architecture offers compelling benefits especially for centrally managed operating models.</w:t>
      </w:r>
      <w:r w:rsidR="0078601C">
        <w:rPr>
          <w:rStyle w:val="FootnoteReference"/>
        </w:rPr>
        <w:footnoteReference w:id="6"/>
      </w:r>
      <w:r w:rsidR="00C13988" w:rsidRPr="00C55ACB">
        <w:t xml:space="preserve"> </w:t>
      </w:r>
    </w:p>
    <w:p w14:paraId="33701E21" w14:textId="76F56668" w:rsidR="004D4BBF" w:rsidRDefault="00C13988" w:rsidP="00DD71F4">
      <w:pPr>
        <w:spacing w:after="120" w:line="264" w:lineRule="auto"/>
        <w:jc w:val="both"/>
      </w:pPr>
      <w:r w:rsidRPr="004D6471">
        <w:rPr>
          <w:b/>
          <w:color w:val="1F497D" w:themeColor="text2"/>
        </w:rPr>
        <w:t>A</w:t>
      </w:r>
      <w:r w:rsidR="006E6463" w:rsidRPr="004D6471">
        <w:rPr>
          <w:b/>
          <w:color w:val="1F497D" w:themeColor="text2"/>
        </w:rPr>
        <w:t xml:space="preserve">ny DLT-based implementations </w:t>
      </w:r>
      <w:r w:rsidRPr="004D6471">
        <w:rPr>
          <w:b/>
          <w:color w:val="1F497D" w:themeColor="text2"/>
        </w:rPr>
        <w:t xml:space="preserve">of CBDC </w:t>
      </w:r>
      <w:r w:rsidR="006E6463" w:rsidRPr="004D6471">
        <w:rPr>
          <w:b/>
          <w:color w:val="1F497D" w:themeColor="text2"/>
        </w:rPr>
        <w:t xml:space="preserve">will likely be based on </w:t>
      </w:r>
      <w:r w:rsidRPr="004D6471">
        <w:rPr>
          <w:b/>
          <w:color w:val="1F497D" w:themeColor="text2"/>
        </w:rPr>
        <w:t xml:space="preserve">private </w:t>
      </w:r>
      <w:r w:rsidR="006E6463" w:rsidRPr="004D6471">
        <w:rPr>
          <w:b/>
          <w:color w:val="1F497D" w:themeColor="text2"/>
        </w:rPr>
        <w:t>permissioned networks</w:t>
      </w:r>
      <w:r w:rsidR="006E6463" w:rsidRPr="004D6471">
        <w:rPr>
          <w:color w:val="1F497D" w:themeColor="text2"/>
        </w:rPr>
        <w:t xml:space="preserve"> </w:t>
      </w:r>
      <w:r w:rsidR="006E6463" w:rsidRPr="00C55ACB">
        <w:t xml:space="preserve">because </w:t>
      </w:r>
      <w:r w:rsidR="00531743">
        <w:t>they</w:t>
      </w:r>
      <w:r w:rsidR="006E6463" w:rsidRPr="00C55ACB">
        <w:t xml:space="preserve"> fit best with the need to oversee transactions among network participants</w:t>
      </w:r>
      <w:r w:rsidR="00D66A18" w:rsidRPr="00C55ACB">
        <w:t xml:space="preserve"> and regulate access to the network</w:t>
      </w:r>
      <w:r w:rsidR="006E6463" w:rsidRPr="00C55ACB">
        <w:t>.</w:t>
      </w:r>
      <w:r w:rsidR="009939B6">
        <w:rPr>
          <w:rStyle w:val="FootnoteReference"/>
        </w:rPr>
        <w:footnoteReference w:id="7"/>
      </w:r>
      <w:r w:rsidR="006E6463" w:rsidRPr="00C55ACB">
        <w:t xml:space="preserve"> </w:t>
      </w:r>
      <w:r w:rsidR="004D4BBF">
        <w:t xml:space="preserve">Some </w:t>
      </w:r>
      <w:r w:rsidR="003E5F59">
        <w:t xml:space="preserve">central banks </w:t>
      </w:r>
      <w:r w:rsidR="004D4BBF">
        <w:t xml:space="preserve">are considering retail </w:t>
      </w:r>
      <w:r w:rsidR="004D4BBF" w:rsidRPr="00437940">
        <w:t xml:space="preserve">CBDC </w:t>
      </w:r>
      <w:r w:rsidR="004D4BBF">
        <w:t xml:space="preserve">in </w:t>
      </w:r>
      <w:r w:rsidR="004D4BBF" w:rsidRPr="00437940">
        <w:t>the form of a card or a mobile wallet app on which prepaid values are stored locally rather than on a ledger</w:t>
      </w:r>
      <w:r w:rsidR="008D3F6E">
        <w:t xml:space="preserve"> providing </w:t>
      </w:r>
      <w:r w:rsidR="004D4BBF" w:rsidRPr="00CA4C83">
        <w:t xml:space="preserve">offline capabilities to provide near the same 24/7 availability as cash. </w:t>
      </w:r>
      <w:r w:rsidR="004D4BBF">
        <w:t xml:space="preserve">The Riksbank is considering this in addition to an account-based CBDC. </w:t>
      </w:r>
    </w:p>
    <w:p w14:paraId="6F40B87E" w14:textId="38DEB1BA" w:rsidR="00964E09" w:rsidRDefault="00964E09" w:rsidP="00DD71F4">
      <w:pPr>
        <w:spacing w:after="120" w:line="264" w:lineRule="auto"/>
        <w:jc w:val="both"/>
      </w:pPr>
      <w:r w:rsidRPr="0060119B">
        <w:rPr>
          <w:b/>
          <w:color w:val="1F497D" w:themeColor="text2"/>
        </w:rPr>
        <w:t>So far, DFC projects have focused on domestic-only applications, but central banks and others are starting to think about cross-border systems</w:t>
      </w:r>
      <w:r>
        <w:t>. Most domestic settlement systems are not based on a common platform hence a reference architecture will need to assume a variety of settlement systems. Common set</w:t>
      </w:r>
      <w:r w:rsidR="00B050CA">
        <w:t>s</w:t>
      </w:r>
      <w:r>
        <w:t xml:space="preserve"> of standards and interfaces in these domestic settlement systems will facilitate easy integration. Currently, several </w:t>
      </w:r>
      <w:r w:rsidR="00B050CA">
        <w:t>r</w:t>
      </w:r>
      <w:r w:rsidR="0075251F">
        <w:t xml:space="preserve">eal </w:t>
      </w:r>
      <w:r w:rsidR="00B050CA">
        <w:t>t</w:t>
      </w:r>
      <w:r w:rsidR="0075251F">
        <w:t xml:space="preserve">ime </w:t>
      </w:r>
      <w:r w:rsidR="00B050CA">
        <w:t>g</w:t>
      </w:r>
      <w:r w:rsidR="0075251F">
        <w:t xml:space="preserve">ross </w:t>
      </w:r>
      <w:r w:rsidR="00B050CA">
        <w:t>s</w:t>
      </w:r>
      <w:r w:rsidR="0075251F">
        <w:t>ettlement (</w:t>
      </w:r>
      <w:r>
        <w:t>RTGS</w:t>
      </w:r>
      <w:r w:rsidR="0075251F">
        <w:t>)</w:t>
      </w:r>
      <w:r>
        <w:t xml:space="preserve"> operators are looking at modernizing and renewing their payments infrastructure to facilitate change in payments and settlement.</w:t>
      </w:r>
    </w:p>
    <w:p w14:paraId="20F2B82E" w14:textId="77777777" w:rsidR="003E5F59" w:rsidRDefault="003E5F59" w:rsidP="00DD71F4">
      <w:pPr>
        <w:spacing w:after="120" w:line="264" w:lineRule="auto"/>
        <w:jc w:val="both"/>
      </w:pPr>
      <w:r w:rsidRPr="0060119B">
        <w:rPr>
          <w:b/>
          <w:color w:val="1F497D" w:themeColor="text2"/>
        </w:rPr>
        <w:t>Although the design principles will be specific to the CBDC type, there are several key design principles that are universally applicable to all types</w:t>
      </w:r>
      <w:r>
        <w:t xml:space="preserve">. First, the rational for CBDC issuance should drive the choice of the operating model, architecture, and technology choice. The CBDC architecture should be robust, secure, and </w:t>
      </w:r>
      <w:r w:rsidR="00D07D97">
        <w:t xml:space="preserve">aspire to mitigate cyber-security risks. Any specific design choice should consider the </w:t>
      </w:r>
      <w:r w:rsidR="00504CCA">
        <w:t xml:space="preserve">existing IT infrastructure capacity, the </w:t>
      </w:r>
      <w:r w:rsidR="00D07D97">
        <w:t>legal and regulatory framework</w:t>
      </w:r>
      <w:r w:rsidR="00504CCA">
        <w:t xml:space="preserve">, </w:t>
      </w:r>
      <w:r w:rsidR="006F208A">
        <w:t>the central bank ma</w:t>
      </w:r>
      <w:r w:rsidR="0075251F">
        <w:t>n</w:t>
      </w:r>
      <w:r w:rsidR="006F208A">
        <w:t xml:space="preserve">date </w:t>
      </w:r>
      <w:r w:rsidR="00504CCA">
        <w:t xml:space="preserve">and </w:t>
      </w:r>
      <w:r w:rsidR="00D07D97">
        <w:t xml:space="preserve">the market environment with a specific focus on the end-users and key </w:t>
      </w:r>
      <w:r w:rsidR="00504CCA">
        <w:t xml:space="preserve">private sector </w:t>
      </w:r>
      <w:r w:rsidR="00D07D97">
        <w:t>actors</w:t>
      </w:r>
      <w:r w:rsidR="00504CCA">
        <w:t xml:space="preserve"> such as digital financial service providers</w:t>
      </w:r>
      <w:r w:rsidR="00D07D97">
        <w:t xml:space="preserve">. </w:t>
      </w:r>
      <w:r w:rsidR="00504CCA">
        <w:t>Finally, the design of the CBCD should be technology agnostic and the choice of technology should come at the very last stages of the</w:t>
      </w:r>
      <w:r w:rsidR="008D3F6E">
        <w:t xml:space="preserve"> design</w:t>
      </w:r>
      <w:r w:rsidR="00504CCA">
        <w:t xml:space="preserve"> process. </w:t>
      </w:r>
    </w:p>
    <w:p w14:paraId="1A9080AC" w14:textId="5254F89F" w:rsidR="00504CCA" w:rsidRDefault="00504CCA" w:rsidP="00DD71F4">
      <w:pPr>
        <w:spacing w:after="120" w:line="264" w:lineRule="auto"/>
        <w:jc w:val="both"/>
      </w:pPr>
      <w:r w:rsidRPr="0060119B">
        <w:rPr>
          <w:b/>
          <w:color w:val="1F497D" w:themeColor="text2"/>
        </w:rPr>
        <w:t xml:space="preserve">The </w:t>
      </w:r>
      <w:r w:rsidR="008D3F6E" w:rsidRPr="0060119B">
        <w:rPr>
          <w:b/>
          <w:color w:val="1F497D" w:themeColor="text2"/>
        </w:rPr>
        <w:t>document</w:t>
      </w:r>
      <w:r w:rsidRPr="0060119B">
        <w:rPr>
          <w:b/>
          <w:color w:val="1F497D" w:themeColor="text2"/>
        </w:rPr>
        <w:t xml:space="preserve"> open</w:t>
      </w:r>
      <w:r w:rsidR="00390101" w:rsidRPr="0060119B">
        <w:rPr>
          <w:b/>
          <w:color w:val="1F497D" w:themeColor="text2"/>
        </w:rPr>
        <w:t>s</w:t>
      </w:r>
      <w:r w:rsidRPr="0060119B">
        <w:rPr>
          <w:b/>
          <w:color w:val="1F497D" w:themeColor="text2"/>
        </w:rPr>
        <w:t xml:space="preserve"> </w:t>
      </w:r>
      <w:r w:rsidR="00EA7E27" w:rsidRPr="0060119B">
        <w:rPr>
          <w:b/>
          <w:color w:val="1F497D" w:themeColor="text2"/>
        </w:rPr>
        <w:t xml:space="preserve">with </w:t>
      </w:r>
      <w:r w:rsidR="00F6217D" w:rsidRPr="0060119B">
        <w:rPr>
          <w:b/>
          <w:color w:val="1F497D" w:themeColor="text2"/>
        </w:rPr>
        <w:t>a discussion of the</w:t>
      </w:r>
      <w:r w:rsidR="00EA7E27" w:rsidRPr="0060119B">
        <w:rPr>
          <w:b/>
          <w:color w:val="1F497D" w:themeColor="text2"/>
        </w:rPr>
        <w:t xml:space="preserve"> wholesale CBDC</w:t>
      </w:r>
      <w:r w:rsidR="00F6217D">
        <w:t xml:space="preserve">. The section provides a definition, the main benefits of a wholesale CBDC and design considerations specific to wholesale </w:t>
      </w:r>
      <w:r w:rsidR="008D3F6E">
        <w:t>CBDCs. In the next section, the document will analyse retail CBDC</w:t>
      </w:r>
      <w:r w:rsidR="004F32D4">
        <w:t xml:space="preserve">s </w:t>
      </w:r>
      <w:r w:rsidR="00DA433F">
        <w:t>introducing the different operating models</w:t>
      </w:r>
      <w:r w:rsidR="006F208A">
        <w:t>, technological</w:t>
      </w:r>
      <w:r w:rsidR="00E219DB">
        <w:t xml:space="preserve"> solutions and retail CBDC-specific design considerations. The document will conclude with the cross-border dimensionality of retail and wholesale CBDC</w:t>
      </w:r>
      <w:r w:rsidR="0078601C">
        <w:t xml:space="preserve"> with a focus on requirements to accommodate payments across jurisdictions and currencies. The document illustrates the three CBDC types based on </w:t>
      </w:r>
      <w:r w:rsidR="002A46F6">
        <w:t xml:space="preserve">detailed </w:t>
      </w:r>
      <w:r w:rsidR="0078601C">
        <w:t>use cases included in the annexes.</w:t>
      </w:r>
    </w:p>
    <w:p w14:paraId="6DDA1EE9" w14:textId="0C4184C7" w:rsidR="006E6463" w:rsidRDefault="006E6463" w:rsidP="00DD71F4">
      <w:pPr>
        <w:pStyle w:val="Caption"/>
        <w:jc w:val="both"/>
      </w:pPr>
    </w:p>
    <w:tbl>
      <w:tblPr>
        <w:tblStyle w:val="TableGrid31"/>
        <w:tblW w:w="0" w:type="auto"/>
        <w:jc w:val="center"/>
        <w:tblLook w:val="04A0" w:firstRow="1" w:lastRow="0" w:firstColumn="1" w:lastColumn="0" w:noHBand="0" w:noVBand="1"/>
      </w:tblPr>
      <w:tblGrid>
        <w:gridCol w:w="3865"/>
        <w:gridCol w:w="4050"/>
      </w:tblGrid>
      <w:tr w:rsidR="006E6463" w:rsidRPr="00D9177E" w14:paraId="420F4E22" w14:textId="77777777" w:rsidTr="00497C70">
        <w:trPr>
          <w:cantSplit/>
          <w:jc w:val="center"/>
        </w:trPr>
        <w:tc>
          <w:tcPr>
            <w:tcW w:w="7915" w:type="dxa"/>
            <w:gridSpan w:val="2"/>
            <w:tcBorders>
              <w:bottom w:val="single" w:sz="4" w:space="0" w:color="auto"/>
            </w:tcBorders>
            <w:shd w:val="clear" w:color="auto" w:fill="DDD9C3" w:themeFill="background2" w:themeFillShade="E6"/>
          </w:tcPr>
          <w:p w14:paraId="63E0CC6D" w14:textId="255BC27F" w:rsidR="006E6463" w:rsidRPr="00A928A0" w:rsidRDefault="00A928A0" w:rsidP="00DD71F4">
            <w:pPr>
              <w:pStyle w:val="Caption"/>
              <w:jc w:val="both"/>
            </w:pPr>
            <w:r>
              <w:t xml:space="preserve">Table 1. Countries Where Retail CBDCs </w:t>
            </w:r>
            <w:r w:rsidR="00925A2E">
              <w:t>Are</w:t>
            </w:r>
            <w:r>
              <w:t xml:space="preserve"> Being Explored</w:t>
            </w:r>
          </w:p>
        </w:tc>
      </w:tr>
      <w:tr w:rsidR="00732A80" w:rsidRPr="00D9177E" w14:paraId="77747C16" w14:textId="77777777" w:rsidTr="00497C70">
        <w:trPr>
          <w:cantSplit/>
          <w:jc w:val="center"/>
        </w:trPr>
        <w:tc>
          <w:tcPr>
            <w:tcW w:w="3865" w:type="dxa"/>
          </w:tcPr>
          <w:p w14:paraId="603554B4" w14:textId="77777777" w:rsidR="00732A80" w:rsidRPr="00D9177E" w:rsidRDefault="00F546B7" w:rsidP="00DD71F4">
            <w:pPr>
              <w:keepNext/>
              <w:widowControl w:val="0"/>
              <w:jc w:val="both"/>
              <w:rPr>
                <w:sz w:val="22"/>
              </w:rPr>
            </w:pPr>
            <w:hyperlink r:id="rId17" w:history="1">
              <w:r w:rsidR="00732A80" w:rsidRPr="00D9177E">
                <w:rPr>
                  <w:color w:val="0000FF" w:themeColor="hyperlink"/>
                  <w:sz w:val="22"/>
                  <w:u w:val="single"/>
                </w:rPr>
                <w:t>Australia</w:t>
              </w:r>
            </w:hyperlink>
            <w:r w:rsidR="00732A80" w:rsidRPr="00D9177E">
              <w:rPr>
                <w:sz w:val="22"/>
              </w:rPr>
              <w:t xml:space="preserve"> (</w:t>
            </w:r>
            <w:hyperlink r:id="rId18" w:history="1">
              <w:r w:rsidR="00732A80" w:rsidRPr="00D9177E">
                <w:rPr>
                  <w:color w:val="0000FF" w:themeColor="hyperlink"/>
                  <w:sz w:val="22"/>
                  <w:u w:val="single"/>
                </w:rPr>
                <w:t>on hold</w:t>
              </w:r>
            </w:hyperlink>
            <w:r w:rsidR="00732A80" w:rsidRPr="00D9177E">
              <w:rPr>
                <w:sz w:val="22"/>
              </w:rPr>
              <w:t>)</w:t>
            </w:r>
          </w:p>
        </w:tc>
        <w:tc>
          <w:tcPr>
            <w:tcW w:w="4050" w:type="dxa"/>
          </w:tcPr>
          <w:p w14:paraId="78FF5BDF" w14:textId="77777777" w:rsidR="00732A80" w:rsidRPr="00D9177E" w:rsidRDefault="00F546B7" w:rsidP="00DD71F4">
            <w:pPr>
              <w:keepNext/>
              <w:widowControl w:val="0"/>
              <w:jc w:val="both"/>
              <w:rPr>
                <w:i/>
                <w:sz w:val="22"/>
              </w:rPr>
            </w:pPr>
            <w:hyperlink r:id="rId19" w:history="1">
              <w:r w:rsidR="00732A80" w:rsidRPr="00DB5C65">
                <w:rPr>
                  <w:i/>
                  <w:color w:val="0000FF" w:themeColor="hyperlink"/>
                  <w:sz w:val="22"/>
                  <w:u w:val="single"/>
                </w:rPr>
                <w:t>Korea</w:t>
              </w:r>
            </w:hyperlink>
            <w:r w:rsidR="00732A80" w:rsidRPr="00D9177E">
              <w:rPr>
                <w:i/>
                <w:sz w:val="22"/>
              </w:rPr>
              <w:t xml:space="preserve"> </w:t>
            </w:r>
            <w:r w:rsidR="00732A80" w:rsidRPr="00D9177E">
              <w:rPr>
                <w:sz w:val="22"/>
              </w:rPr>
              <w:t>(and</w:t>
            </w:r>
            <w:r w:rsidR="00732A80" w:rsidRPr="00D9177E">
              <w:rPr>
                <w:i/>
                <w:sz w:val="22"/>
              </w:rPr>
              <w:t xml:space="preserve"> </w:t>
            </w:r>
            <w:hyperlink r:id="rId20" w:history="1">
              <w:r w:rsidR="00732A80" w:rsidRPr="00DB5C65">
                <w:rPr>
                  <w:i/>
                  <w:color w:val="0000FF" w:themeColor="hyperlink"/>
                  <w:sz w:val="22"/>
                  <w:u w:val="single"/>
                </w:rPr>
                <w:t>rejected</w:t>
              </w:r>
            </w:hyperlink>
            <w:r w:rsidR="00732A80" w:rsidRPr="00D9177E">
              <w:rPr>
                <w:sz w:val="22"/>
              </w:rPr>
              <w:t>)</w:t>
            </w:r>
          </w:p>
        </w:tc>
      </w:tr>
      <w:tr w:rsidR="00732A80" w:rsidRPr="00D9177E" w14:paraId="4CBA4B9D" w14:textId="77777777" w:rsidTr="00497C70">
        <w:trPr>
          <w:cantSplit/>
          <w:jc w:val="center"/>
        </w:trPr>
        <w:tc>
          <w:tcPr>
            <w:tcW w:w="3865" w:type="dxa"/>
          </w:tcPr>
          <w:p w14:paraId="4AC93E6B" w14:textId="77777777" w:rsidR="00732A80" w:rsidRPr="00D9177E" w:rsidRDefault="00F546B7" w:rsidP="00DD71F4">
            <w:pPr>
              <w:keepNext/>
              <w:widowControl w:val="0"/>
              <w:jc w:val="both"/>
              <w:rPr>
                <w:sz w:val="22"/>
              </w:rPr>
            </w:pPr>
            <w:hyperlink r:id="rId21" w:history="1">
              <w:r w:rsidR="00732A80" w:rsidRPr="00D9177E">
                <w:rPr>
                  <w:color w:val="0000FF" w:themeColor="hyperlink"/>
                  <w:sz w:val="22"/>
                  <w:u w:val="single"/>
                </w:rPr>
                <w:t>Bahamas</w:t>
              </w:r>
            </w:hyperlink>
          </w:p>
        </w:tc>
        <w:tc>
          <w:tcPr>
            <w:tcW w:w="4050" w:type="dxa"/>
          </w:tcPr>
          <w:p w14:paraId="256C7467" w14:textId="77777777" w:rsidR="00732A80" w:rsidRPr="00D9177E" w:rsidRDefault="00F546B7" w:rsidP="00DD71F4">
            <w:pPr>
              <w:keepNext/>
              <w:widowControl w:val="0"/>
              <w:jc w:val="both"/>
              <w:rPr>
                <w:sz w:val="22"/>
              </w:rPr>
            </w:pPr>
            <w:hyperlink r:id="rId22" w:history="1">
              <w:r w:rsidR="00732A80" w:rsidRPr="00DB5C65">
                <w:rPr>
                  <w:color w:val="0000FF" w:themeColor="hyperlink"/>
                  <w:sz w:val="22"/>
                  <w:u w:val="single"/>
                </w:rPr>
                <w:t>Lebanon</w:t>
              </w:r>
            </w:hyperlink>
          </w:p>
        </w:tc>
      </w:tr>
      <w:tr w:rsidR="00732A80" w:rsidRPr="00D9177E" w14:paraId="57BA42D9" w14:textId="77777777" w:rsidTr="00497C70">
        <w:trPr>
          <w:cantSplit/>
          <w:jc w:val="center"/>
        </w:trPr>
        <w:tc>
          <w:tcPr>
            <w:tcW w:w="3865" w:type="dxa"/>
          </w:tcPr>
          <w:p w14:paraId="21F3A8B8" w14:textId="77777777" w:rsidR="00732A80" w:rsidRPr="00D9177E" w:rsidRDefault="00F546B7" w:rsidP="00DD71F4">
            <w:pPr>
              <w:keepNext/>
              <w:widowControl w:val="0"/>
              <w:jc w:val="both"/>
              <w:rPr>
                <w:sz w:val="22"/>
              </w:rPr>
            </w:pPr>
            <w:hyperlink r:id="rId23" w:history="1">
              <w:r w:rsidR="00732A80" w:rsidRPr="00DB5C65">
                <w:rPr>
                  <w:i/>
                  <w:color w:val="0000FF" w:themeColor="hyperlink"/>
                  <w:sz w:val="22"/>
                  <w:u w:val="single"/>
                </w:rPr>
                <w:t>Bahrain</w:t>
              </w:r>
            </w:hyperlink>
          </w:p>
        </w:tc>
        <w:tc>
          <w:tcPr>
            <w:tcW w:w="4050" w:type="dxa"/>
          </w:tcPr>
          <w:p w14:paraId="1B9C56CA" w14:textId="77777777" w:rsidR="00732A80" w:rsidRPr="00D9177E" w:rsidRDefault="00F546B7" w:rsidP="00DD71F4">
            <w:pPr>
              <w:keepNext/>
              <w:widowControl w:val="0"/>
              <w:jc w:val="both"/>
              <w:rPr>
                <w:sz w:val="22"/>
              </w:rPr>
            </w:pPr>
            <w:hyperlink r:id="rId24" w:history="1">
              <w:r w:rsidR="00732A80" w:rsidRPr="00DB5C65">
                <w:rPr>
                  <w:color w:val="0000FF" w:themeColor="hyperlink"/>
                  <w:sz w:val="22"/>
                  <w:u w:val="single"/>
                </w:rPr>
                <w:t>Lithuania</w:t>
              </w:r>
            </w:hyperlink>
          </w:p>
        </w:tc>
      </w:tr>
      <w:tr w:rsidR="00F8181D" w:rsidRPr="00D9177E" w14:paraId="1EB24E58" w14:textId="77777777" w:rsidTr="00497C70">
        <w:trPr>
          <w:cantSplit/>
          <w:jc w:val="center"/>
        </w:trPr>
        <w:tc>
          <w:tcPr>
            <w:tcW w:w="3865" w:type="dxa"/>
          </w:tcPr>
          <w:p w14:paraId="1FA352E7" w14:textId="77777777" w:rsidR="00F8181D" w:rsidRPr="00D9177E" w:rsidRDefault="00F546B7" w:rsidP="00DD71F4">
            <w:pPr>
              <w:keepNext/>
              <w:widowControl w:val="0"/>
              <w:jc w:val="both"/>
              <w:rPr>
                <w:i/>
                <w:sz w:val="22"/>
              </w:rPr>
            </w:pPr>
            <w:hyperlink r:id="rId25" w:history="1">
              <w:r w:rsidR="00F8181D" w:rsidRPr="00D9177E">
                <w:rPr>
                  <w:color w:val="0000FF" w:themeColor="hyperlink"/>
                  <w:sz w:val="22"/>
                  <w:u w:val="single"/>
                </w:rPr>
                <w:t>Canada</w:t>
              </w:r>
            </w:hyperlink>
          </w:p>
        </w:tc>
        <w:tc>
          <w:tcPr>
            <w:tcW w:w="4050" w:type="dxa"/>
          </w:tcPr>
          <w:p w14:paraId="57B03A1D" w14:textId="77777777" w:rsidR="00F8181D" w:rsidRPr="00D9177E" w:rsidRDefault="00F546B7" w:rsidP="00DD71F4">
            <w:pPr>
              <w:keepNext/>
              <w:widowControl w:val="0"/>
              <w:jc w:val="both"/>
              <w:rPr>
                <w:sz w:val="22"/>
              </w:rPr>
            </w:pPr>
            <w:hyperlink r:id="rId26" w:history="1">
              <w:r w:rsidR="00F8181D" w:rsidRPr="00DB5C65">
                <w:rPr>
                  <w:color w:val="0000FF" w:themeColor="hyperlink"/>
                  <w:sz w:val="22"/>
                  <w:u w:val="single"/>
                </w:rPr>
                <w:t>New Zealand</w:t>
              </w:r>
            </w:hyperlink>
            <w:r w:rsidR="00F8181D" w:rsidRPr="00D9177E">
              <w:rPr>
                <w:sz w:val="22"/>
              </w:rPr>
              <w:t xml:space="preserve"> (</w:t>
            </w:r>
            <w:hyperlink r:id="rId27" w:history="1">
              <w:r w:rsidR="00F8181D" w:rsidRPr="00DB5C65">
                <w:rPr>
                  <w:color w:val="0000FF" w:themeColor="hyperlink"/>
                  <w:sz w:val="22"/>
                  <w:u w:val="single"/>
                </w:rPr>
                <w:t>on hold</w:t>
              </w:r>
            </w:hyperlink>
            <w:r w:rsidR="00F8181D" w:rsidRPr="00D9177E">
              <w:rPr>
                <w:sz w:val="22"/>
              </w:rPr>
              <w:t>)</w:t>
            </w:r>
          </w:p>
        </w:tc>
      </w:tr>
      <w:tr w:rsidR="00F8181D" w:rsidRPr="00D9177E" w14:paraId="46D93C71" w14:textId="77777777" w:rsidTr="00497C70">
        <w:trPr>
          <w:cantSplit/>
          <w:jc w:val="center"/>
        </w:trPr>
        <w:tc>
          <w:tcPr>
            <w:tcW w:w="3865" w:type="dxa"/>
          </w:tcPr>
          <w:p w14:paraId="39743759" w14:textId="77777777" w:rsidR="00F8181D" w:rsidRPr="00D9177E" w:rsidRDefault="00F546B7" w:rsidP="00DD71F4">
            <w:pPr>
              <w:keepNext/>
              <w:widowControl w:val="0"/>
              <w:jc w:val="both"/>
              <w:rPr>
                <w:sz w:val="22"/>
                <w:highlight w:val="yellow"/>
              </w:rPr>
            </w:pPr>
            <w:hyperlink r:id="rId28" w:history="1">
              <w:r w:rsidR="00F8181D" w:rsidRPr="00D9177E">
                <w:rPr>
                  <w:color w:val="0000FF" w:themeColor="hyperlink"/>
                  <w:sz w:val="22"/>
                  <w:u w:val="single"/>
                </w:rPr>
                <w:t>China</w:t>
              </w:r>
            </w:hyperlink>
            <w:r w:rsidR="00F8181D" w:rsidRPr="00D9177E">
              <w:rPr>
                <w:color w:val="0000FF" w:themeColor="hyperlink"/>
                <w:sz w:val="22"/>
                <w:u w:val="single"/>
              </w:rPr>
              <w:t xml:space="preserve"> (and </w:t>
            </w:r>
            <w:hyperlink r:id="rId29" w:history="1">
              <w:r w:rsidR="00F8181D" w:rsidRPr="00D9177E">
                <w:rPr>
                  <w:color w:val="0000FF" w:themeColor="hyperlink"/>
                  <w:sz w:val="22"/>
                  <w:u w:val="single"/>
                </w:rPr>
                <w:t>here</w:t>
              </w:r>
            </w:hyperlink>
            <w:r w:rsidR="00F8181D" w:rsidRPr="00D9177E">
              <w:rPr>
                <w:color w:val="0000FF" w:themeColor="hyperlink"/>
                <w:sz w:val="22"/>
                <w:u w:val="single"/>
              </w:rPr>
              <w:t>)</w:t>
            </w:r>
          </w:p>
        </w:tc>
        <w:tc>
          <w:tcPr>
            <w:tcW w:w="4050" w:type="dxa"/>
          </w:tcPr>
          <w:p w14:paraId="3A7C1FB5" w14:textId="77777777" w:rsidR="00F8181D" w:rsidRPr="00D9177E" w:rsidRDefault="00F546B7" w:rsidP="00DD71F4">
            <w:pPr>
              <w:keepNext/>
              <w:widowControl w:val="0"/>
              <w:jc w:val="both"/>
              <w:rPr>
                <w:sz w:val="22"/>
              </w:rPr>
            </w:pPr>
            <w:hyperlink r:id="rId30" w:history="1">
              <w:r w:rsidR="00F8181D" w:rsidRPr="00D9177E">
                <w:rPr>
                  <w:color w:val="0000FF" w:themeColor="hyperlink"/>
                  <w:sz w:val="22"/>
                  <w:u w:val="single"/>
                </w:rPr>
                <w:t>Norway</w:t>
              </w:r>
            </w:hyperlink>
            <w:r w:rsidR="00F8181D" w:rsidRPr="00D9177E">
              <w:rPr>
                <w:color w:val="0000FF" w:themeColor="hyperlink"/>
                <w:sz w:val="22"/>
                <w:u w:val="single"/>
              </w:rPr>
              <w:t xml:space="preserve"> (ongoing)</w:t>
            </w:r>
          </w:p>
        </w:tc>
      </w:tr>
      <w:tr w:rsidR="00F8181D" w:rsidRPr="00D9177E" w14:paraId="7A718A29" w14:textId="77777777" w:rsidTr="00497C70">
        <w:trPr>
          <w:cantSplit/>
          <w:jc w:val="center"/>
        </w:trPr>
        <w:tc>
          <w:tcPr>
            <w:tcW w:w="3865" w:type="dxa"/>
          </w:tcPr>
          <w:p w14:paraId="16F0A527" w14:textId="77777777" w:rsidR="00F8181D" w:rsidRPr="00D9177E" w:rsidRDefault="00F546B7" w:rsidP="00DD71F4">
            <w:pPr>
              <w:keepNext/>
              <w:widowControl w:val="0"/>
              <w:jc w:val="both"/>
              <w:rPr>
                <w:i/>
                <w:sz w:val="22"/>
              </w:rPr>
            </w:pPr>
            <w:hyperlink r:id="rId31" w:history="1">
              <w:r w:rsidR="00F8181D" w:rsidRPr="00DB5C65">
                <w:rPr>
                  <w:color w:val="0000FF" w:themeColor="hyperlink"/>
                  <w:sz w:val="22"/>
                  <w:u w:val="single"/>
                </w:rPr>
                <w:t>Curaçao en Sint Maarten</w:t>
              </w:r>
            </w:hyperlink>
          </w:p>
        </w:tc>
        <w:tc>
          <w:tcPr>
            <w:tcW w:w="4050" w:type="dxa"/>
          </w:tcPr>
          <w:p w14:paraId="28FC8470" w14:textId="77777777" w:rsidR="00F8181D" w:rsidRPr="00D9177E" w:rsidRDefault="00F546B7" w:rsidP="00DD71F4">
            <w:pPr>
              <w:keepNext/>
              <w:widowControl w:val="0"/>
              <w:jc w:val="both"/>
              <w:rPr>
                <w:sz w:val="22"/>
              </w:rPr>
            </w:pPr>
            <w:hyperlink r:id="rId32" w:history="1">
              <w:r w:rsidR="00F8181D" w:rsidRPr="00DB5C65">
                <w:rPr>
                  <w:i/>
                  <w:color w:val="0000FF" w:themeColor="hyperlink"/>
                  <w:sz w:val="22"/>
                  <w:u w:val="single"/>
                </w:rPr>
                <w:t>Pakistan</w:t>
              </w:r>
            </w:hyperlink>
          </w:p>
        </w:tc>
      </w:tr>
      <w:tr w:rsidR="00F8181D" w:rsidRPr="00D9177E" w14:paraId="3D16D2BA" w14:textId="77777777" w:rsidTr="00497C70">
        <w:trPr>
          <w:cantSplit/>
          <w:jc w:val="center"/>
        </w:trPr>
        <w:tc>
          <w:tcPr>
            <w:tcW w:w="3865" w:type="dxa"/>
          </w:tcPr>
          <w:p w14:paraId="70CE400D" w14:textId="77777777" w:rsidR="00F8181D" w:rsidRPr="00D9177E" w:rsidRDefault="00F546B7" w:rsidP="00DD71F4">
            <w:pPr>
              <w:keepNext/>
              <w:widowControl w:val="0"/>
              <w:jc w:val="both"/>
              <w:rPr>
                <w:sz w:val="22"/>
              </w:rPr>
            </w:pPr>
            <w:hyperlink r:id="rId33" w:history="1">
              <w:r w:rsidR="00F8181D" w:rsidRPr="00D9177E">
                <w:rPr>
                  <w:color w:val="0000FF" w:themeColor="hyperlink"/>
                  <w:sz w:val="22"/>
                  <w:u w:val="single"/>
                </w:rPr>
                <w:t>Denmark</w:t>
              </w:r>
            </w:hyperlink>
            <w:r w:rsidR="00F8181D" w:rsidRPr="00D9177E">
              <w:rPr>
                <w:sz w:val="22"/>
              </w:rPr>
              <w:t xml:space="preserve"> (rejected)</w:t>
            </w:r>
          </w:p>
        </w:tc>
        <w:tc>
          <w:tcPr>
            <w:tcW w:w="4050" w:type="dxa"/>
          </w:tcPr>
          <w:p w14:paraId="337C27FD" w14:textId="77777777" w:rsidR="00F8181D" w:rsidRPr="00D9177E" w:rsidRDefault="00F546B7" w:rsidP="00DD71F4">
            <w:pPr>
              <w:keepNext/>
              <w:widowControl w:val="0"/>
              <w:jc w:val="both"/>
              <w:rPr>
                <w:sz w:val="22"/>
              </w:rPr>
            </w:pPr>
            <w:hyperlink r:id="rId34" w:history="1">
              <w:r w:rsidR="00F8181D" w:rsidRPr="00DB5C65">
                <w:rPr>
                  <w:i/>
                  <w:color w:val="0000FF" w:themeColor="hyperlink"/>
                  <w:sz w:val="22"/>
                  <w:u w:val="single"/>
                </w:rPr>
                <w:t>Palestine</w:t>
              </w:r>
            </w:hyperlink>
          </w:p>
        </w:tc>
      </w:tr>
      <w:tr w:rsidR="00F8181D" w:rsidRPr="00D9177E" w14:paraId="68E8B983" w14:textId="77777777" w:rsidTr="00497C70">
        <w:trPr>
          <w:cantSplit/>
          <w:jc w:val="center"/>
        </w:trPr>
        <w:tc>
          <w:tcPr>
            <w:tcW w:w="3865" w:type="dxa"/>
          </w:tcPr>
          <w:p w14:paraId="2F9EFDCB" w14:textId="77777777" w:rsidR="00F8181D" w:rsidRPr="00D9177E" w:rsidRDefault="00F546B7" w:rsidP="00DD71F4">
            <w:pPr>
              <w:keepNext/>
              <w:widowControl w:val="0"/>
              <w:jc w:val="both"/>
              <w:rPr>
                <w:i/>
                <w:sz w:val="22"/>
              </w:rPr>
            </w:pPr>
            <w:hyperlink r:id="rId35" w:history="1">
              <w:r w:rsidR="00F8181D" w:rsidRPr="00D9177E">
                <w:rPr>
                  <w:color w:val="0000FF" w:themeColor="hyperlink"/>
                  <w:sz w:val="22"/>
                  <w:u w:val="single"/>
                </w:rPr>
                <w:t>Eastern Caribbean</w:t>
              </w:r>
            </w:hyperlink>
          </w:p>
        </w:tc>
        <w:tc>
          <w:tcPr>
            <w:tcW w:w="4050" w:type="dxa"/>
          </w:tcPr>
          <w:p w14:paraId="017B0E85" w14:textId="77777777" w:rsidR="00F8181D" w:rsidRPr="00D9177E" w:rsidRDefault="00F546B7" w:rsidP="00DD71F4">
            <w:pPr>
              <w:keepNext/>
              <w:widowControl w:val="0"/>
              <w:jc w:val="both"/>
              <w:rPr>
                <w:sz w:val="22"/>
              </w:rPr>
            </w:pPr>
            <w:hyperlink r:id="rId36" w:history="1">
              <w:r w:rsidR="00F8181D" w:rsidRPr="00DB5C65">
                <w:rPr>
                  <w:i/>
                  <w:color w:val="0000FF" w:themeColor="hyperlink"/>
                  <w:sz w:val="22"/>
                  <w:u w:val="single"/>
                </w:rPr>
                <w:t>Philippines</w:t>
              </w:r>
            </w:hyperlink>
          </w:p>
        </w:tc>
      </w:tr>
      <w:tr w:rsidR="00F8181D" w:rsidRPr="00D9177E" w14:paraId="00336B72" w14:textId="77777777" w:rsidTr="00497C70">
        <w:trPr>
          <w:cantSplit/>
          <w:jc w:val="center"/>
        </w:trPr>
        <w:tc>
          <w:tcPr>
            <w:tcW w:w="3865" w:type="dxa"/>
          </w:tcPr>
          <w:p w14:paraId="4321D572" w14:textId="77777777" w:rsidR="00F8181D" w:rsidRPr="00D9177E" w:rsidRDefault="00F546B7" w:rsidP="00DD71F4">
            <w:pPr>
              <w:keepNext/>
              <w:widowControl w:val="0"/>
              <w:jc w:val="both"/>
              <w:rPr>
                <w:sz w:val="22"/>
              </w:rPr>
            </w:pPr>
            <w:hyperlink r:id="rId37" w:history="1">
              <w:r w:rsidR="00F8181D" w:rsidRPr="00D9177E">
                <w:rPr>
                  <w:color w:val="0000FF" w:themeColor="hyperlink"/>
                  <w:sz w:val="22"/>
                  <w:u w:val="single"/>
                </w:rPr>
                <w:t>Ecuador</w:t>
              </w:r>
            </w:hyperlink>
            <w:r w:rsidR="00F8181D" w:rsidRPr="00D9177E">
              <w:rPr>
                <w:sz w:val="22"/>
              </w:rPr>
              <w:t xml:space="preserve"> (</w:t>
            </w:r>
            <w:hyperlink r:id="rId38" w:history="1">
              <w:r w:rsidR="00F8181D" w:rsidRPr="00D9177E">
                <w:rPr>
                  <w:color w:val="0000FF" w:themeColor="hyperlink"/>
                  <w:sz w:val="22"/>
                  <w:u w:val="single"/>
                </w:rPr>
                <w:t>pilot complete</w:t>
              </w:r>
            </w:hyperlink>
            <w:r w:rsidR="00F8181D" w:rsidRPr="00D9177E">
              <w:rPr>
                <w:sz w:val="22"/>
              </w:rPr>
              <w:t>)</w:t>
            </w:r>
          </w:p>
        </w:tc>
        <w:tc>
          <w:tcPr>
            <w:tcW w:w="4050" w:type="dxa"/>
          </w:tcPr>
          <w:p w14:paraId="04064937" w14:textId="77777777" w:rsidR="00F8181D" w:rsidRPr="00D9177E" w:rsidRDefault="00F546B7" w:rsidP="00DD71F4">
            <w:pPr>
              <w:keepNext/>
              <w:widowControl w:val="0"/>
              <w:jc w:val="both"/>
              <w:rPr>
                <w:sz w:val="22"/>
              </w:rPr>
            </w:pPr>
            <w:hyperlink r:id="rId39" w:history="1">
              <w:r w:rsidR="00F8181D" w:rsidRPr="00DB5C65">
                <w:rPr>
                  <w:i/>
                  <w:color w:val="0000FF" w:themeColor="hyperlink"/>
                  <w:sz w:val="22"/>
                  <w:u w:val="single"/>
                </w:rPr>
                <w:t>Russia</w:t>
              </w:r>
            </w:hyperlink>
          </w:p>
        </w:tc>
      </w:tr>
      <w:tr w:rsidR="00F8181D" w:rsidRPr="00D9177E" w14:paraId="4556F477" w14:textId="77777777" w:rsidTr="00497C70">
        <w:trPr>
          <w:cantSplit/>
          <w:jc w:val="center"/>
        </w:trPr>
        <w:tc>
          <w:tcPr>
            <w:tcW w:w="3865" w:type="dxa"/>
          </w:tcPr>
          <w:p w14:paraId="4FADAB30" w14:textId="77777777" w:rsidR="00F8181D" w:rsidRPr="00D9177E" w:rsidRDefault="00F546B7" w:rsidP="00DD71F4">
            <w:pPr>
              <w:keepNext/>
              <w:widowControl w:val="0"/>
              <w:jc w:val="both"/>
              <w:rPr>
                <w:sz w:val="22"/>
              </w:rPr>
            </w:pPr>
            <w:hyperlink r:id="rId40" w:history="1">
              <w:r w:rsidR="00F8181D" w:rsidRPr="00DB5C65">
                <w:rPr>
                  <w:i/>
                  <w:color w:val="0000FF" w:themeColor="hyperlink"/>
                  <w:sz w:val="22"/>
                  <w:u w:val="single"/>
                </w:rPr>
                <w:t>Egypt</w:t>
              </w:r>
            </w:hyperlink>
          </w:p>
        </w:tc>
        <w:tc>
          <w:tcPr>
            <w:tcW w:w="4050" w:type="dxa"/>
          </w:tcPr>
          <w:p w14:paraId="548D21CF" w14:textId="77777777" w:rsidR="00F8181D" w:rsidRPr="00732A80" w:rsidRDefault="00F546B7" w:rsidP="00DD71F4">
            <w:pPr>
              <w:keepNext/>
              <w:widowControl w:val="0"/>
              <w:jc w:val="both"/>
              <w:rPr>
                <w:color w:val="0000FF" w:themeColor="hyperlink"/>
                <w:sz w:val="22"/>
                <w:u w:val="single"/>
              </w:rPr>
            </w:pPr>
            <w:hyperlink r:id="rId41" w:history="1">
              <w:r w:rsidR="00F8181D" w:rsidRPr="006928DF">
                <w:rPr>
                  <w:rStyle w:val="Hyperlink"/>
                  <w:sz w:val="22"/>
                </w:rPr>
                <w:t>South Africa</w:t>
              </w:r>
            </w:hyperlink>
          </w:p>
        </w:tc>
      </w:tr>
      <w:tr w:rsidR="00F8181D" w:rsidRPr="00D9177E" w14:paraId="143379E6" w14:textId="77777777" w:rsidTr="00497C70">
        <w:trPr>
          <w:cantSplit/>
          <w:jc w:val="center"/>
        </w:trPr>
        <w:tc>
          <w:tcPr>
            <w:tcW w:w="3865" w:type="dxa"/>
          </w:tcPr>
          <w:p w14:paraId="33ED5325" w14:textId="77777777" w:rsidR="00F8181D" w:rsidRDefault="00F546B7" w:rsidP="00DD71F4">
            <w:pPr>
              <w:keepNext/>
              <w:widowControl w:val="0"/>
              <w:jc w:val="both"/>
              <w:rPr>
                <w:i/>
                <w:color w:val="0000FF" w:themeColor="hyperlink"/>
                <w:sz w:val="22"/>
                <w:u w:val="single"/>
              </w:rPr>
            </w:pPr>
            <w:hyperlink r:id="rId42" w:history="1">
              <w:r w:rsidR="00F8181D" w:rsidRPr="00DB5C65">
                <w:rPr>
                  <w:color w:val="0000FF" w:themeColor="hyperlink"/>
                  <w:sz w:val="22"/>
                  <w:u w:val="single"/>
                </w:rPr>
                <w:t>Euro Area</w:t>
              </w:r>
            </w:hyperlink>
            <w:r w:rsidR="00F8181D" w:rsidRPr="00D9177E">
              <w:rPr>
                <w:sz w:val="22"/>
              </w:rPr>
              <w:t xml:space="preserve"> (and </w:t>
            </w:r>
            <w:hyperlink r:id="rId43" w:history="1">
              <w:r w:rsidR="00F8181D" w:rsidRPr="00DB5C65">
                <w:rPr>
                  <w:color w:val="0000FF" w:themeColor="hyperlink"/>
                  <w:sz w:val="22"/>
                  <w:u w:val="single"/>
                </w:rPr>
                <w:t>rejected</w:t>
              </w:r>
            </w:hyperlink>
            <w:r w:rsidR="00F8181D" w:rsidRPr="00D9177E">
              <w:rPr>
                <w:sz w:val="22"/>
              </w:rPr>
              <w:t>)</w:t>
            </w:r>
          </w:p>
        </w:tc>
        <w:tc>
          <w:tcPr>
            <w:tcW w:w="4050" w:type="dxa"/>
          </w:tcPr>
          <w:p w14:paraId="329B8B15" w14:textId="77777777" w:rsidR="00F8181D" w:rsidRDefault="00F546B7" w:rsidP="00DD71F4">
            <w:pPr>
              <w:keepNext/>
              <w:widowControl w:val="0"/>
              <w:jc w:val="both"/>
              <w:rPr>
                <w:color w:val="0000FF" w:themeColor="hyperlink"/>
                <w:sz w:val="22"/>
                <w:u w:val="single"/>
              </w:rPr>
            </w:pPr>
            <w:hyperlink r:id="rId44" w:history="1">
              <w:r w:rsidR="00F8181D" w:rsidRPr="00D9177E">
                <w:rPr>
                  <w:color w:val="0000FF" w:themeColor="hyperlink"/>
                  <w:sz w:val="22"/>
                  <w:u w:val="single"/>
                </w:rPr>
                <w:t>Sweden</w:t>
              </w:r>
            </w:hyperlink>
          </w:p>
        </w:tc>
      </w:tr>
      <w:tr w:rsidR="00F8181D" w:rsidRPr="00D9177E" w14:paraId="09B55794" w14:textId="77777777" w:rsidTr="00497C70">
        <w:trPr>
          <w:cantSplit/>
          <w:jc w:val="center"/>
        </w:trPr>
        <w:tc>
          <w:tcPr>
            <w:tcW w:w="3865" w:type="dxa"/>
          </w:tcPr>
          <w:p w14:paraId="15D83B28" w14:textId="77777777" w:rsidR="00F8181D" w:rsidRPr="00D9177E" w:rsidRDefault="00F546B7" w:rsidP="00DD71F4">
            <w:pPr>
              <w:keepNext/>
              <w:widowControl w:val="0"/>
              <w:jc w:val="both"/>
              <w:rPr>
                <w:sz w:val="22"/>
              </w:rPr>
            </w:pPr>
            <w:hyperlink r:id="rId45" w:history="1">
              <w:r w:rsidR="00F8181D" w:rsidRPr="00DB5C65">
                <w:rPr>
                  <w:color w:val="0000FF" w:themeColor="hyperlink"/>
                  <w:sz w:val="22"/>
                  <w:u w:val="single"/>
                </w:rPr>
                <w:t>Hong Kong</w:t>
              </w:r>
            </w:hyperlink>
          </w:p>
        </w:tc>
        <w:tc>
          <w:tcPr>
            <w:tcW w:w="4050" w:type="dxa"/>
          </w:tcPr>
          <w:p w14:paraId="236235C4" w14:textId="77777777" w:rsidR="00F8181D" w:rsidRPr="00D9177E" w:rsidRDefault="00F546B7" w:rsidP="00DD71F4">
            <w:pPr>
              <w:keepNext/>
              <w:widowControl w:val="0"/>
              <w:jc w:val="both"/>
              <w:rPr>
                <w:i/>
                <w:sz w:val="22"/>
              </w:rPr>
            </w:pPr>
            <w:hyperlink r:id="rId46" w:history="1">
              <w:r w:rsidR="00F8181D" w:rsidRPr="00DB5C65">
                <w:rPr>
                  <w:i/>
                  <w:color w:val="0000FF" w:themeColor="hyperlink"/>
                  <w:sz w:val="22"/>
                  <w:u w:val="single"/>
                </w:rPr>
                <w:t>Switzerland</w:t>
              </w:r>
            </w:hyperlink>
          </w:p>
        </w:tc>
      </w:tr>
      <w:tr w:rsidR="00F8181D" w:rsidRPr="00D9177E" w14:paraId="7C02188A" w14:textId="77777777" w:rsidTr="00497C70">
        <w:trPr>
          <w:cantSplit/>
          <w:jc w:val="center"/>
        </w:trPr>
        <w:tc>
          <w:tcPr>
            <w:tcW w:w="3865" w:type="dxa"/>
          </w:tcPr>
          <w:p w14:paraId="0CED8529" w14:textId="77777777" w:rsidR="00F8181D" w:rsidRPr="00D9177E" w:rsidRDefault="00F546B7" w:rsidP="00DD71F4">
            <w:pPr>
              <w:keepNext/>
              <w:widowControl w:val="0"/>
              <w:jc w:val="both"/>
              <w:rPr>
                <w:sz w:val="22"/>
              </w:rPr>
            </w:pPr>
            <w:hyperlink r:id="rId47" w:history="1">
              <w:r w:rsidR="00F8181D" w:rsidRPr="00DB5C65">
                <w:rPr>
                  <w:color w:val="0000FF" w:themeColor="hyperlink"/>
                  <w:sz w:val="22"/>
                  <w:u w:val="single"/>
                </w:rPr>
                <w:t>Iceland</w:t>
              </w:r>
            </w:hyperlink>
            <w:r w:rsidR="00F8181D" w:rsidRPr="00DB5C65">
              <w:rPr>
                <w:color w:val="0000FF" w:themeColor="hyperlink"/>
                <w:sz w:val="22"/>
                <w:u w:val="single"/>
              </w:rPr>
              <w:t xml:space="preserve"> (rejected)</w:t>
            </w:r>
          </w:p>
        </w:tc>
        <w:tc>
          <w:tcPr>
            <w:tcW w:w="4050" w:type="dxa"/>
          </w:tcPr>
          <w:p w14:paraId="0F1A38CF" w14:textId="77777777" w:rsidR="00F8181D" w:rsidRPr="00D9177E" w:rsidRDefault="00F546B7" w:rsidP="00DD71F4">
            <w:pPr>
              <w:keepNext/>
              <w:widowControl w:val="0"/>
              <w:jc w:val="both"/>
              <w:rPr>
                <w:sz w:val="22"/>
              </w:rPr>
            </w:pPr>
            <w:hyperlink r:id="rId48" w:history="1">
              <w:r w:rsidR="00F8181D" w:rsidRPr="00DB5C65">
                <w:rPr>
                  <w:color w:val="0000FF" w:themeColor="hyperlink"/>
                  <w:sz w:val="22"/>
                  <w:u w:val="single"/>
                </w:rPr>
                <w:t>Trinidad and Tobago (rejected</w:t>
              </w:r>
            </w:hyperlink>
            <w:r w:rsidR="00F8181D" w:rsidRPr="00D9177E">
              <w:rPr>
                <w:sz w:val="22"/>
              </w:rPr>
              <w:t>)</w:t>
            </w:r>
          </w:p>
        </w:tc>
      </w:tr>
      <w:tr w:rsidR="00F8181D" w:rsidRPr="00D9177E" w14:paraId="14257C38" w14:textId="77777777" w:rsidTr="00497C70">
        <w:trPr>
          <w:cantSplit/>
          <w:jc w:val="center"/>
        </w:trPr>
        <w:tc>
          <w:tcPr>
            <w:tcW w:w="3865" w:type="dxa"/>
          </w:tcPr>
          <w:p w14:paraId="777460F0" w14:textId="77777777" w:rsidR="00F8181D" w:rsidRPr="00D9177E" w:rsidRDefault="00F546B7" w:rsidP="00DD71F4">
            <w:pPr>
              <w:keepNext/>
              <w:widowControl w:val="0"/>
              <w:jc w:val="both"/>
              <w:rPr>
                <w:sz w:val="22"/>
              </w:rPr>
            </w:pPr>
            <w:hyperlink r:id="rId49" w:history="1">
              <w:r w:rsidR="00F8181D" w:rsidRPr="00DB5C65">
                <w:rPr>
                  <w:color w:val="0000FF" w:themeColor="hyperlink"/>
                  <w:sz w:val="22"/>
                  <w:u w:val="single"/>
                </w:rPr>
                <w:t>India</w:t>
              </w:r>
            </w:hyperlink>
          </w:p>
        </w:tc>
        <w:tc>
          <w:tcPr>
            <w:tcW w:w="4050" w:type="dxa"/>
          </w:tcPr>
          <w:p w14:paraId="46B7CC4D" w14:textId="77777777" w:rsidR="00F8181D" w:rsidRPr="00D9177E" w:rsidRDefault="00F546B7" w:rsidP="00DD71F4">
            <w:pPr>
              <w:keepNext/>
              <w:widowControl w:val="0"/>
              <w:jc w:val="both"/>
              <w:rPr>
                <w:sz w:val="22"/>
              </w:rPr>
            </w:pPr>
            <w:hyperlink r:id="rId50" w:history="1">
              <w:r w:rsidR="00F8181D" w:rsidRPr="00DB5C65">
                <w:rPr>
                  <w:i/>
                  <w:color w:val="0000FF" w:themeColor="hyperlink"/>
                  <w:sz w:val="22"/>
                  <w:u w:val="single"/>
                </w:rPr>
                <w:t>Tunisia</w:t>
              </w:r>
            </w:hyperlink>
          </w:p>
        </w:tc>
      </w:tr>
      <w:tr w:rsidR="00F8181D" w:rsidRPr="00D9177E" w14:paraId="00E43102" w14:textId="77777777" w:rsidTr="00497C70">
        <w:trPr>
          <w:cantSplit/>
          <w:jc w:val="center"/>
        </w:trPr>
        <w:tc>
          <w:tcPr>
            <w:tcW w:w="3865" w:type="dxa"/>
          </w:tcPr>
          <w:p w14:paraId="7D1B2670" w14:textId="77777777" w:rsidR="00F8181D" w:rsidRPr="00D9177E" w:rsidRDefault="00F546B7" w:rsidP="00DD71F4">
            <w:pPr>
              <w:keepNext/>
              <w:widowControl w:val="0"/>
              <w:jc w:val="both"/>
              <w:rPr>
                <w:sz w:val="22"/>
              </w:rPr>
            </w:pPr>
            <w:hyperlink r:id="rId51" w:history="1">
              <w:r w:rsidR="00F8181D" w:rsidRPr="00DB5C65">
                <w:rPr>
                  <w:i/>
                  <w:color w:val="0000FF" w:themeColor="hyperlink"/>
                  <w:sz w:val="22"/>
                  <w:u w:val="single"/>
                </w:rPr>
                <w:t>Indonesia</w:t>
              </w:r>
            </w:hyperlink>
          </w:p>
        </w:tc>
        <w:tc>
          <w:tcPr>
            <w:tcW w:w="4050" w:type="dxa"/>
          </w:tcPr>
          <w:p w14:paraId="159E9C70" w14:textId="77777777" w:rsidR="00F8181D" w:rsidRPr="00D9177E" w:rsidRDefault="00F546B7" w:rsidP="00DD71F4">
            <w:pPr>
              <w:keepNext/>
              <w:widowControl w:val="0"/>
              <w:jc w:val="both"/>
              <w:rPr>
                <w:i/>
                <w:sz w:val="22"/>
              </w:rPr>
            </w:pPr>
            <w:hyperlink r:id="rId52" w:history="1">
              <w:r w:rsidR="00F8181D" w:rsidRPr="00DB5C65">
                <w:rPr>
                  <w:color w:val="0000FF" w:themeColor="hyperlink"/>
                  <w:sz w:val="22"/>
                  <w:u w:val="single"/>
                </w:rPr>
                <w:t>Ukraine</w:t>
              </w:r>
            </w:hyperlink>
          </w:p>
        </w:tc>
      </w:tr>
      <w:tr w:rsidR="00F8181D" w:rsidRPr="00D9177E" w14:paraId="31CDD7D0" w14:textId="77777777" w:rsidTr="00497C70">
        <w:trPr>
          <w:cantSplit/>
          <w:jc w:val="center"/>
        </w:trPr>
        <w:tc>
          <w:tcPr>
            <w:tcW w:w="3865" w:type="dxa"/>
          </w:tcPr>
          <w:p w14:paraId="4D38D5AB" w14:textId="77777777" w:rsidR="00F8181D" w:rsidRPr="00D9177E" w:rsidRDefault="00F546B7" w:rsidP="00DD71F4">
            <w:pPr>
              <w:keepNext/>
              <w:widowControl w:val="0"/>
              <w:jc w:val="both"/>
              <w:rPr>
                <w:sz w:val="22"/>
              </w:rPr>
            </w:pPr>
            <w:hyperlink r:id="rId53" w:history="1">
              <w:r w:rsidR="00F8181D" w:rsidRPr="00DB5C65">
                <w:rPr>
                  <w:i/>
                  <w:color w:val="0000FF" w:themeColor="hyperlink"/>
                  <w:sz w:val="22"/>
                  <w:u w:val="single"/>
                </w:rPr>
                <w:t>Iran</w:t>
              </w:r>
            </w:hyperlink>
          </w:p>
        </w:tc>
        <w:tc>
          <w:tcPr>
            <w:tcW w:w="4050" w:type="dxa"/>
          </w:tcPr>
          <w:p w14:paraId="1869E6F4" w14:textId="77777777" w:rsidR="00F8181D" w:rsidRPr="00D9177E" w:rsidRDefault="00F546B7" w:rsidP="00DD71F4">
            <w:pPr>
              <w:keepNext/>
              <w:widowControl w:val="0"/>
              <w:jc w:val="both"/>
              <w:rPr>
                <w:sz w:val="22"/>
              </w:rPr>
            </w:pPr>
            <w:hyperlink r:id="rId54" w:history="1">
              <w:r w:rsidR="00F8181D" w:rsidRPr="00DB5C65">
                <w:rPr>
                  <w:color w:val="0000FF" w:themeColor="hyperlink"/>
                  <w:sz w:val="22"/>
                  <w:u w:val="single"/>
                </w:rPr>
                <w:t>United Arab Emirates</w:t>
              </w:r>
            </w:hyperlink>
          </w:p>
        </w:tc>
      </w:tr>
      <w:tr w:rsidR="00F8181D" w:rsidRPr="00D9177E" w14:paraId="2CBB9599" w14:textId="77777777" w:rsidTr="00497C70">
        <w:trPr>
          <w:cantSplit/>
          <w:jc w:val="center"/>
        </w:trPr>
        <w:tc>
          <w:tcPr>
            <w:tcW w:w="3865" w:type="dxa"/>
          </w:tcPr>
          <w:p w14:paraId="40DD10BE" w14:textId="77777777" w:rsidR="00F8181D" w:rsidRPr="00D9177E" w:rsidRDefault="00F546B7" w:rsidP="00DD71F4">
            <w:pPr>
              <w:keepNext/>
              <w:widowControl w:val="0"/>
              <w:jc w:val="both"/>
              <w:rPr>
                <w:sz w:val="22"/>
              </w:rPr>
            </w:pPr>
            <w:hyperlink r:id="rId55" w:history="1">
              <w:r w:rsidR="00F8181D" w:rsidRPr="00DB5C65">
                <w:rPr>
                  <w:color w:val="0000FF" w:themeColor="hyperlink"/>
                  <w:sz w:val="22"/>
                  <w:u w:val="single"/>
                </w:rPr>
                <w:t>Israel</w:t>
              </w:r>
            </w:hyperlink>
            <w:r w:rsidR="00F8181D" w:rsidRPr="00D9177E">
              <w:rPr>
                <w:sz w:val="22"/>
              </w:rPr>
              <w:t xml:space="preserve"> (</w:t>
            </w:r>
            <w:hyperlink r:id="rId56" w:history="1">
              <w:r w:rsidR="00F8181D" w:rsidRPr="00DB5C65">
                <w:rPr>
                  <w:color w:val="0000FF" w:themeColor="hyperlink"/>
                  <w:sz w:val="22"/>
                  <w:u w:val="single"/>
                </w:rPr>
                <w:t>rejected</w:t>
              </w:r>
            </w:hyperlink>
            <w:r w:rsidR="00F8181D" w:rsidRPr="00D9177E">
              <w:rPr>
                <w:sz w:val="22"/>
              </w:rPr>
              <w:t>)</w:t>
            </w:r>
          </w:p>
        </w:tc>
        <w:tc>
          <w:tcPr>
            <w:tcW w:w="4050" w:type="dxa"/>
          </w:tcPr>
          <w:p w14:paraId="7BD81C1E" w14:textId="77777777" w:rsidR="00F8181D" w:rsidRPr="00D9177E" w:rsidRDefault="00F546B7" w:rsidP="00DD71F4">
            <w:pPr>
              <w:keepNext/>
              <w:widowControl w:val="0"/>
              <w:jc w:val="both"/>
              <w:rPr>
                <w:sz w:val="22"/>
              </w:rPr>
            </w:pPr>
            <w:hyperlink r:id="rId57" w:history="1">
              <w:r w:rsidR="00F8181D" w:rsidRPr="00DB5C65">
                <w:rPr>
                  <w:color w:val="0000FF" w:themeColor="hyperlink"/>
                  <w:sz w:val="22"/>
                  <w:u w:val="single"/>
                </w:rPr>
                <w:t>United Kingdom</w:t>
              </w:r>
            </w:hyperlink>
          </w:p>
        </w:tc>
      </w:tr>
      <w:tr w:rsidR="00F8181D" w:rsidRPr="00D9177E" w14:paraId="5F63F8EA" w14:textId="77777777" w:rsidTr="00497C70">
        <w:trPr>
          <w:cantSplit/>
          <w:jc w:val="center"/>
        </w:trPr>
        <w:tc>
          <w:tcPr>
            <w:tcW w:w="3865" w:type="dxa"/>
          </w:tcPr>
          <w:p w14:paraId="3366DB3C" w14:textId="77777777" w:rsidR="00F8181D" w:rsidRPr="00D9177E" w:rsidRDefault="00F546B7" w:rsidP="00DD71F4">
            <w:pPr>
              <w:keepNext/>
              <w:widowControl w:val="0"/>
              <w:jc w:val="both"/>
              <w:rPr>
                <w:sz w:val="22"/>
              </w:rPr>
            </w:pPr>
            <w:hyperlink r:id="rId58" w:history="1">
              <w:r w:rsidR="00F8181D" w:rsidRPr="00DB5C65">
                <w:rPr>
                  <w:color w:val="0000FF" w:themeColor="hyperlink"/>
                  <w:sz w:val="22"/>
                  <w:u w:val="single"/>
                </w:rPr>
                <w:t>Jamaica</w:t>
              </w:r>
            </w:hyperlink>
            <w:r w:rsidR="00F8181D" w:rsidRPr="00DB5C65">
              <w:rPr>
                <w:color w:val="0000FF" w:themeColor="hyperlink"/>
                <w:sz w:val="22"/>
                <w:u w:val="single"/>
              </w:rPr>
              <w:t xml:space="preserve"> (rejected)</w:t>
            </w:r>
          </w:p>
        </w:tc>
        <w:tc>
          <w:tcPr>
            <w:tcW w:w="4050" w:type="dxa"/>
          </w:tcPr>
          <w:p w14:paraId="0BF55FAC" w14:textId="77777777" w:rsidR="00F8181D" w:rsidRPr="00D9177E" w:rsidRDefault="00F546B7" w:rsidP="00DD71F4">
            <w:pPr>
              <w:keepNext/>
              <w:widowControl w:val="0"/>
              <w:jc w:val="both"/>
              <w:rPr>
                <w:i/>
                <w:sz w:val="22"/>
              </w:rPr>
            </w:pPr>
            <w:hyperlink r:id="rId59" w:history="1">
              <w:r w:rsidR="00F8181D" w:rsidRPr="00D9177E">
                <w:rPr>
                  <w:color w:val="0000FF" w:themeColor="hyperlink"/>
                  <w:sz w:val="22"/>
                  <w:u w:val="single"/>
                </w:rPr>
                <w:t>Uruguay</w:t>
              </w:r>
            </w:hyperlink>
            <w:r w:rsidR="00F8181D" w:rsidRPr="00D9177E">
              <w:rPr>
                <w:sz w:val="22"/>
              </w:rPr>
              <w:t xml:space="preserve"> (</w:t>
            </w:r>
            <w:hyperlink r:id="rId60" w:history="1">
              <w:r w:rsidR="00F8181D" w:rsidRPr="00D9177E">
                <w:rPr>
                  <w:color w:val="0000FF" w:themeColor="hyperlink"/>
                  <w:sz w:val="22"/>
                  <w:u w:val="single"/>
                </w:rPr>
                <w:t>pilot</w:t>
              </w:r>
            </w:hyperlink>
            <w:r w:rsidR="00F8181D" w:rsidRPr="00D9177E">
              <w:rPr>
                <w:sz w:val="22"/>
              </w:rPr>
              <w:t>)</w:t>
            </w:r>
          </w:p>
        </w:tc>
      </w:tr>
      <w:tr w:rsidR="00F8181D" w:rsidRPr="00D9177E" w14:paraId="53C771ED" w14:textId="77777777" w:rsidTr="00497C70">
        <w:trPr>
          <w:cantSplit/>
          <w:jc w:val="center"/>
        </w:trPr>
        <w:tc>
          <w:tcPr>
            <w:tcW w:w="7915" w:type="dxa"/>
            <w:gridSpan w:val="2"/>
            <w:shd w:val="clear" w:color="auto" w:fill="EEECE1" w:themeFill="background2"/>
          </w:tcPr>
          <w:p w14:paraId="19510206" w14:textId="20D2D39D" w:rsidR="00F8181D" w:rsidRPr="00D9177E" w:rsidRDefault="00F8181D" w:rsidP="00DD71F4">
            <w:pPr>
              <w:jc w:val="both"/>
              <w:rPr>
                <w:sz w:val="22"/>
              </w:rPr>
            </w:pPr>
            <w:r w:rsidRPr="00D9177E">
              <w:rPr>
                <w:b/>
                <w:sz w:val="22"/>
                <w:shd w:val="clear" w:color="auto" w:fill="EEECE1" w:themeFill="background2"/>
              </w:rPr>
              <w:t>Sources:</w:t>
            </w:r>
            <w:r w:rsidRPr="00D9177E">
              <w:rPr>
                <w:sz w:val="22"/>
                <w:shd w:val="clear" w:color="auto" w:fill="EEECE1" w:themeFill="background2"/>
              </w:rPr>
              <w:t xml:space="preserve"> Central banks </w:t>
            </w:r>
            <w:r w:rsidR="00DB2D95">
              <w:rPr>
                <w:sz w:val="22"/>
                <w:shd w:val="clear" w:color="auto" w:fill="EEECE1" w:themeFill="background2"/>
              </w:rPr>
              <w:t>and</w:t>
            </w:r>
            <w:r w:rsidRPr="00D9177E">
              <w:rPr>
                <w:sz w:val="22"/>
                <w:shd w:val="clear" w:color="auto" w:fill="EEECE1" w:themeFill="background2"/>
              </w:rPr>
              <w:t xml:space="preserve"> various news sources</w:t>
            </w:r>
            <w:r>
              <w:rPr>
                <w:sz w:val="22"/>
                <w:shd w:val="clear" w:color="auto" w:fill="EEECE1" w:themeFill="background2"/>
              </w:rPr>
              <w:t>.</w:t>
            </w:r>
          </w:p>
        </w:tc>
      </w:tr>
    </w:tbl>
    <w:p w14:paraId="256A7175" w14:textId="77777777" w:rsidR="006E6463" w:rsidRDefault="006E6463" w:rsidP="00DD71F4">
      <w:pPr>
        <w:spacing w:after="120"/>
        <w:jc w:val="both"/>
      </w:pPr>
    </w:p>
    <w:tbl>
      <w:tblPr>
        <w:tblStyle w:val="TableGrid31"/>
        <w:tblW w:w="0" w:type="auto"/>
        <w:jc w:val="center"/>
        <w:tblLook w:val="04A0" w:firstRow="1" w:lastRow="0" w:firstColumn="1" w:lastColumn="0" w:noHBand="0" w:noVBand="1"/>
      </w:tblPr>
      <w:tblGrid>
        <w:gridCol w:w="3865"/>
        <w:gridCol w:w="4050"/>
      </w:tblGrid>
      <w:tr w:rsidR="006E6463" w:rsidRPr="00D9177E" w14:paraId="3A53AFCD" w14:textId="77777777" w:rsidTr="00497C70">
        <w:trPr>
          <w:cantSplit/>
          <w:jc w:val="center"/>
        </w:trPr>
        <w:tc>
          <w:tcPr>
            <w:tcW w:w="7915" w:type="dxa"/>
            <w:gridSpan w:val="2"/>
            <w:tcBorders>
              <w:bottom w:val="single" w:sz="4" w:space="0" w:color="auto"/>
            </w:tcBorders>
            <w:shd w:val="clear" w:color="auto" w:fill="DDD9C3" w:themeFill="background2" w:themeFillShade="E6"/>
          </w:tcPr>
          <w:p w14:paraId="7F8F5F9B" w14:textId="77777777" w:rsidR="006E6463" w:rsidRPr="00D9177E" w:rsidRDefault="006E6463" w:rsidP="00DD71F4">
            <w:pPr>
              <w:keepNext/>
              <w:jc w:val="both"/>
              <w:rPr>
                <w:sz w:val="22"/>
              </w:rPr>
            </w:pPr>
            <w:r w:rsidRPr="00D9177E">
              <w:rPr>
                <w:b/>
                <w:sz w:val="22"/>
              </w:rPr>
              <w:t xml:space="preserve">Table </w:t>
            </w:r>
            <w:r>
              <w:rPr>
                <w:b/>
                <w:sz w:val="22"/>
              </w:rPr>
              <w:t>2</w:t>
            </w:r>
            <w:r w:rsidRPr="00D9177E">
              <w:rPr>
                <w:b/>
                <w:sz w:val="22"/>
              </w:rPr>
              <w:t xml:space="preserve">. Countries Where </w:t>
            </w:r>
            <w:r>
              <w:rPr>
                <w:b/>
                <w:sz w:val="22"/>
              </w:rPr>
              <w:t>Wholesale</w:t>
            </w:r>
            <w:r w:rsidRPr="00D9177E">
              <w:rPr>
                <w:b/>
                <w:sz w:val="22"/>
              </w:rPr>
              <w:t xml:space="preserve"> CBDCs Are Being Explored</w:t>
            </w:r>
          </w:p>
        </w:tc>
      </w:tr>
      <w:tr w:rsidR="00587DD5" w:rsidRPr="00D9177E" w14:paraId="6149F20D" w14:textId="77777777" w:rsidTr="00497C70">
        <w:trPr>
          <w:cantSplit/>
          <w:jc w:val="center"/>
        </w:trPr>
        <w:tc>
          <w:tcPr>
            <w:tcW w:w="3865" w:type="dxa"/>
          </w:tcPr>
          <w:p w14:paraId="378C13EE" w14:textId="77777777" w:rsidR="00587DD5" w:rsidRPr="00D178D9" w:rsidRDefault="00587DD5" w:rsidP="00DD71F4">
            <w:pPr>
              <w:keepNext/>
              <w:widowControl w:val="0"/>
              <w:jc w:val="both"/>
              <w:rPr>
                <w:sz w:val="22"/>
              </w:rPr>
            </w:pPr>
            <w:r>
              <w:rPr>
                <w:sz w:val="22"/>
              </w:rPr>
              <w:t>Cambodia</w:t>
            </w:r>
          </w:p>
        </w:tc>
        <w:tc>
          <w:tcPr>
            <w:tcW w:w="4050" w:type="dxa"/>
          </w:tcPr>
          <w:p w14:paraId="13E55DBE" w14:textId="77777777" w:rsidR="00587DD5" w:rsidRPr="00D178D9" w:rsidRDefault="00587DD5" w:rsidP="00DD71F4">
            <w:pPr>
              <w:keepNext/>
              <w:widowControl w:val="0"/>
              <w:jc w:val="both"/>
              <w:rPr>
                <w:sz w:val="22"/>
              </w:rPr>
            </w:pPr>
            <w:r w:rsidRPr="00D178D9">
              <w:rPr>
                <w:sz w:val="22"/>
              </w:rPr>
              <w:t>Japan</w:t>
            </w:r>
          </w:p>
        </w:tc>
      </w:tr>
      <w:tr w:rsidR="00587DD5" w:rsidRPr="00D9177E" w14:paraId="45349DD9" w14:textId="77777777" w:rsidTr="00497C70">
        <w:trPr>
          <w:cantSplit/>
          <w:jc w:val="center"/>
        </w:trPr>
        <w:tc>
          <w:tcPr>
            <w:tcW w:w="3865" w:type="dxa"/>
          </w:tcPr>
          <w:p w14:paraId="6CD7C71E" w14:textId="77777777" w:rsidR="00587DD5" w:rsidRPr="00D178D9" w:rsidRDefault="00587DD5" w:rsidP="00DD71F4">
            <w:pPr>
              <w:keepNext/>
              <w:widowControl w:val="0"/>
              <w:jc w:val="both"/>
              <w:rPr>
                <w:sz w:val="22"/>
              </w:rPr>
            </w:pPr>
            <w:r w:rsidRPr="00D178D9">
              <w:rPr>
                <w:sz w:val="22"/>
              </w:rPr>
              <w:t>Canada</w:t>
            </w:r>
          </w:p>
        </w:tc>
        <w:tc>
          <w:tcPr>
            <w:tcW w:w="4050" w:type="dxa"/>
          </w:tcPr>
          <w:p w14:paraId="2CFEC768" w14:textId="77777777" w:rsidR="00587DD5" w:rsidRPr="00D178D9" w:rsidRDefault="00587DD5" w:rsidP="00DD71F4">
            <w:pPr>
              <w:keepNext/>
              <w:widowControl w:val="0"/>
              <w:jc w:val="both"/>
              <w:rPr>
                <w:sz w:val="22"/>
              </w:rPr>
            </w:pPr>
            <w:r w:rsidRPr="00D178D9">
              <w:rPr>
                <w:sz w:val="22"/>
              </w:rPr>
              <w:t>Singapore</w:t>
            </w:r>
          </w:p>
        </w:tc>
      </w:tr>
      <w:tr w:rsidR="00587DD5" w:rsidRPr="00D9177E" w14:paraId="3495CAD8" w14:textId="77777777" w:rsidTr="00497C70">
        <w:trPr>
          <w:cantSplit/>
          <w:jc w:val="center"/>
        </w:trPr>
        <w:tc>
          <w:tcPr>
            <w:tcW w:w="3865" w:type="dxa"/>
          </w:tcPr>
          <w:p w14:paraId="0E986919" w14:textId="77777777" w:rsidR="00587DD5" w:rsidRPr="00D178D9" w:rsidRDefault="00587DD5" w:rsidP="00DD71F4">
            <w:pPr>
              <w:keepNext/>
              <w:widowControl w:val="0"/>
              <w:jc w:val="both"/>
              <w:rPr>
                <w:sz w:val="22"/>
              </w:rPr>
            </w:pPr>
            <w:r>
              <w:rPr>
                <w:sz w:val="22"/>
              </w:rPr>
              <w:t>European Central Bank</w:t>
            </w:r>
          </w:p>
        </w:tc>
        <w:tc>
          <w:tcPr>
            <w:tcW w:w="4050" w:type="dxa"/>
          </w:tcPr>
          <w:p w14:paraId="0804A0B4" w14:textId="77777777" w:rsidR="00587DD5" w:rsidRPr="00D178D9" w:rsidRDefault="00587DD5" w:rsidP="00DD71F4">
            <w:pPr>
              <w:keepNext/>
              <w:widowControl w:val="0"/>
              <w:jc w:val="both"/>
              <w:rPr>
                <w:sz w:val="22"/>
              </w:rPr>
            </w:pPr>
            <w:r>
              <w:rPr>
                <w:sz w:val="22"/>
              </w:rPr>
              <w:t>South Africa</w:t>
            </w:r>
          </w:p>
        </w:tc>
      </w:tr>
      <w:tr w:rsidR="00587DD5" w:rsidRPr="00D9177E" w14:paraId="4F15369C" w14:textId="77777777" w:rsidTr="00497C70">
        <w:trPr>
          <w:cantSplit/>
          <w:jc w:val="center"/>
        </w:trPr>
        <w:tc>
          <w:tcPr>
            <w:tcW w:w="3865" w:type="dxa"/>
          </w:tcPr>
          <w:p w14:paraId="719395CF" w14:textId="77777777" w:rsidR="00587DD5" w:rsidRPr="00D178D9" w:rsidRDefault="00587DD5" w:rsidP="00DD71F4">
            <w:pPr>
              <w:keepNext/>
              <w:widowControl w:val="0"/>
              <w:jc w:val="both"/>
              <w:rPr>
                <w:sz w:val="22"/>
              </w:rPr>
            </w:pPr>
            <w:r w:rsidRPr="00D178D9">
              <w:rPr>
                <w:sz w:val="22"/>
              </w:rPr>
              <w:t>Hong Kong</w:t>
            </w:r>
          </w:p>
        </w:tc>
        <w:tc>
          <w:tcPr>
            <w:tcW w:w="4050" w:type="dxa"/>
          </w:tcPr>
          <w:p w14:paraId="45E72221" w14:textId="77777777" w:rsidR="00587DD5" w:rsidRPr="00D178D9" w:rsidRDefault="00587DD5" w:rsidP="00DD71F4">
            <w:pPr>
              <w:keepNext/>
              <w:widowControl w:val="0"/>
              <w:jc w:val="both"/>
              <w:rPr>
                <w:sz w:val="22"/>
              </w:rPr>
            </w:pPr>
            <w:r>
              <w:rPr>
                <w:sz w:val="22"/>
              </w:rPr>
              <w:t>Thailand</w:t>
            </w:r>
          </w:p>
        </w:tc>
      </w:tr>
      <w:tr w:rsidR="00587DD5" w:rsidRPr="00D9177E" w14:paraId="65256BD5" w14:textId="77777777" w:rsidTr="00497C70">
        <w:trPr>
          <w:cantSplit/>
          <w:jc w:val="center"/>
        </w:trPr>
        <w:tc>
          <w:tcPr>
            <w:tcW w:w="7915" w:type="dxa"/>
            <w:gridSpan w:val="2"/>
            <w:shd w:val="clear" w:color="auto" w:fill="EEECE1" w:themeFill="background2"/>
          </w:tcPr>
          <w:p w14:paraId="7BDCEAB7" w14:textId="530CFE6F" w:rsidR="00587DD5" w:rsidRPr="00D9177E" w:rsidRDefault="00587DD5" w:rsidP="00DD71F4">
            <w:pPr>
              <w:jc w:val="both"/>
              <w:rPr>
                <w:sz w:val="22"/>
              </w:rPr>
            </w:pPr>
            <w:r w:rsidRPr="00D9177E">
              <w:rPr>
                <w:b/>
                <w:sz w:val="22"/>
                <w:shd w:val="clear" w:color="auto" w:fill="EEECE1" w:themeFill="background2"/>
              </w:rPr>
              <w:t>Sources:</w:t>
            </w:r>
            <w:r w:rsidRPr="00D9177E">
              <w:rPr>
                <w:sz w:val="22"/>
                <w:shd w:val="clear" w:color="auto" w:fill="EEECE1" w:themeFill="background2"/>
              </w:rPr>
              <w:t xml:space="preserve"> Central banks </w:t>
            </w:r>
            <w:r w:rsidR="00DB2D95">
              <w:rPr>
                <w:sz w:val="22"/>
                <w:shd w:val="clear" w:color="auto" w:fill="EEECE1" w:themeFill="background2"/>
              </w:rPr>
              <w:t>and</w:t>
            </w:r>
            <w:r w:rsidRPr="00D9177E">
              <w:rPr>
                <w:sz w:val="22"/>
                <w:shd w:val="clear" w:color="auto" w:fill="EEECE1" w:themeFill="background2"/>
              </w:rPr>
              <w:t xml:space="preserve"> various news sources</w:t>
            </w:r>
            <w:r w:rsidR="004B6F8B">
              <w:rPr>
                <w:sz w:val="22"/>
                <w:shd w:val="clear" w:color="auto" w:fill="EEECE1" w:themeFill="background2"/>
              </w:rPr>
              <w:t>.</w:t>
            </w:r>
          </w:p>
        </w:tc>
      </w:tr>
    </w:tbl>
    <w:p w14:paraId="040FCF4E" w14:textId="77777777" w:rsidR="006E6463" w:rsidRDefault="006E6463" w:rsidP="00DD71F4">
      <w:pPr>
        <w:widowControl w:val="0"/>
        <w:spacing w:before="220"/>
        <w:jc w:val="both"/>
        <w:rPr>
          <w:szCs w:val="24"/>
        </w:rPr>
      </w:pPr>
    </w:p>
    <w:p w14:paraId="6D909F34" w14:textId="53CCBB14" w:rsidR="006E6463" w:rsidRDefault="006E6463" w:rsidP="00DD71F4">
      <w:pPr>
        <w:pStyle w:val="Heading1"/>
        <w:jc w:val="both"/>
        <w:rPr>
          <w:szCs w:val="24"/>
        </w:rPr>
      </w:pPr>
      <w:bookmarkStart w:id="12" w:name="_Toc14190264"/>
      <w:r>
        <w:rPr>
          <w:szCs w:val="24"/>
        </w:rPr>
        <w:t>Wholesale CBDC</w:t>
      </w:r>
      <w:bookmarkEnd w:id="12"/>
      <w:r w:rsidR="00B050CA">
        <w:rPr>
          <w:szCs w:val="24"/>
        </w:rPr>
        <w:t xml:space="preserve"> </w:t>
      </w:r>
    </w:p>
    <w:p w14:paraId="60386CC0" w14:textId="6EA5A0BA" w:rsidR="00497C70" w:rsidRPr="00497C70" w:rsidRDefault="00497C70" w:rsidP="00DD71F4">
      <w:pPr>
        <w:tabs>
          <w:tab w:val="left" w:pos="794"/>
          <w:tab w:val="left" w:pos="1191"/>
          <w:tab w:val="left" w:pos="1588"/>
          <w:tab w:val="left" w:pos="1985"/>
        </w:tabs>
        <w:overflowPunct w:val="0"/>
        <w:autoSpaceDE w:val="0"/>
        <w:autoSpaceDN w:val="0"/>
        <w:adjustRightInd w:val="0"/>
        <w:spacing w:line="264" w:lineRule="auto"/>
        <w:jc w:val="both"/>
        <w:textAlignment w:val="baseline"/>
        <w:rPr>
          <w:rFonts w:eastAsia="Batang"/>
          <w:szCs w:val="24"/>
        </w:rPr>
      </w:pPr>
      <w:r w:rsidRPr="00C55ACB">
        <w:rPr>
          <w:rFonts w:eastAsiaTheme="minorEastAsia"/>
          <w:b/>
          <w:color w:val="1F497D" w:themeColor="text2"/>
          <w:szCs w:val="24"/>
          <w:lang w:eastAsia="en-ZA"/>
        </w:rPr>
        <w:t xml:space="preserve">Wholesale CBDC facilitate wholesale payment transactions between </w:t>
      </w:r>
      <w:r w:rsidR="00194961">
        <w:rPr>
          <w:rFonts w:eastAsiaTheme="minorEastAsia"/>
          <w:b/>
          <w:color w:val="1F497D" w:themeColor="text2"/>
          <w:szCs w:val="24"/>
          <w:lang w:eastAsia="en-ZA"/>
        </w:rPr>
        <w:t xml:space="preserve">financial market participants and between </w:t>
      </w:r>
      <w:r w:rsidRPr="00C55ACB">
        <w:rPr>
          <w:rFonts w:eastAsiaTheme="minorEastAsia"/>
          <w:b/>
          <w:color w:val="1F497D" w:themeColor="text2"/>
          <w:szCs w:val="24"/>
          <w:lang w:eastAsia="en-ZA"/>
        </w:rPr>
        <w:t xml:space="preserve">the national central bank and participant financial institutions. </w:t>
      </w:r>
      <w:r w:rsidR="004B6F8B">
        <w:rPr>
          <w:rFonts w:eastAsia="Batang"/>
        </w:rPr>
        <w:t xml:space="preserve">For this purpose, </w:t>
      </w:r>
      <w:r w:rsidRPr="00497C70">
        <w:rPr>
          <w:rFonts w:eastAsia="Batang"/>
        </w:rPr>
        <w:t xml:space="preserve">wholesale </w:t>
      </w:r>
      <w:r w:rsidR="002A46F6">
        <w:rPr>
          <w:rFonts w:eastAsia="Batang"/>
        </w:rPr>
        <w:t>CBDC</w:t>
      </w:r>
      <w:r w:rsidR="002A46F6" w:rsidRPr="00497C70">
        <w:rPr>
          <w:rFonts w:eastAsia="Batang"/>
        </w:rPr>
        <w:t xml:space="preserve">s </w:t>
      </w:r>
      <w:r w:rsidRPr="00497C70">
        <w:rPr>
          <w:rFonts w:eastAsia="Batang"/>
        </w:rPr>
        <w:t xml:space="preserve">should demonstrate that their reference architecture meets the </w:t>
      </w:r>
      <w:r w:rsidR="002A46F6">
        <w:rPr>
          <w:rFonts w:eastAsia="Batang"/>
        </w:rPr>
        <w:t>existing</w:t>
      </w:r>
      <w:r w:rsidR="002A46F6" w:rsidRPr="00497C70">
        <w:rPr>
          <w:rFonts w:eastAsia="Batang"/>
        </w:rPr>
        <w:t xml:space="preserve"> </w:t>
      </w:r>
      <w:r w:rsidRPr="00497C70">
        <w:rPr>
          <w:rFonts w:eastAsia="Batang"/>
        </w:rPr>
        <w:t xml:space="preserve">operational standards such as the Principles for Financial Market Infrastructures (BIS-IOSCO </w:t>
      </w:r>
      <w:r w:rsidRPr="00497C70">
        <w:rPr>
          <w:rFonts w:eastAsia="Batang"/>
          <w:szCs w:val="24"/>
        </w:rPr>
        <w:t>2012) and their deployment enhances efficiencies in payment and settlement systems. This chapter therefore deals with reference architecture considerations for design and deployment of wholesale DFCs.</w:t>
      </w:r>
    </w:p>
    <w:p w14:paraId="6FB0DA16" w14:textId="5A8749E9" w:rsidR="001F277E" w:rsidRPr="00C55ACB" w:rsidRDefault="004B6F8B" w:rsidP="00DD71F4">
      <w:pPr>
        <w:tabs>
          <w:tab w:val="left" w:pos="794"/>
          <w:tab w:val="left" w:pos="1191"/>
          <w:tab w:val="left" w:pos="1588"/>
          <w:tab w:val="left" w:pos="1985"/>
        </w:tabs>
        <w:overflowPunct w:val="0"/>
        <w:autoSpaceDE w:val="0"/>
        <w:autoSpaceDN w:val="0"/>
        <w:adjustRightInd w:val="0"/>
        <w:spacing w:line="264" w:lineRule="auto"/>
        <w:jc w:val="both"/>
        <w:textAlignment w:val="baseline"/>
        <w:rPr>
          <w:rFonts w:eastAsia="Batang"/>
          <w:szCs w:val="24"/>
        </w:rPr>
      </w:pPr>
      <w:r w:rsidRPr="00C55ACB">
        <w:rPr>
          <w:rFonts w:eastAsiaTheme="minorEastAsia"/>
          <w:b/>
          <w:color w:val="1F497D" w:themeColor="text2"/>
          <w:szCs w:val="24"/>
          <w:lang w:eastAsia="en-ZA"/>
        </w:rPr>
        <w:t xml:space="preserve">The </w:t>
      </w:r>
      <w:r w:rsidR="00497C70" w:rsidRPr="00C55ACB">
        <w:rPr>
          <w:rFonts w:eastAsiaTheme="minorEastAsia"/>
          <w:b/>
          <w:color w:val="1F497D" w:themeColor="text2"/>
          <w:szCs w:val="24"/>
          <w:lang w:eastAsia="en-ZA"/>
        </w:rPr>
        <w:t xml:space="preserve">reference architecture of wholesale </w:t>
      </w:r>
      <w:r w:rsidR="002A46F6" w:rsidRPr="00C55ACB">
        <w:rPr>
          <w:rFonts w:eastAsiaTheme="minorEastAsia"/>
          <w:b/>
          <w:color w:val="1F497D" w:themeColor="text2"/>
          <w:szCs w:val="24"/>
          <w:lang w:eastAsia="en-ZA"/>
        </w:rPr>
        <w:t xml:space="preserve">CBDC </w:t>
      </w:r>
      <w:r w:rsidR="00497C70" w:rsidRPr="00C55ACB">
        <w:rPr>
          <w:rFonts w:eastAsiaTheme="minorEastAsia"/>
          <w:b/>
          <w:color w:val="1F497D" w:themeColor="text2"/>
          <w:szCs w:val="24"/>
          <w:lang w:eastAsia="en-ZA"/>
        </w:rPr>
        <w:t>could facilitate additional functional</w:t>
      </w:r>
      <w:r w:rsidR="002A46F6" w:rsidRPr="00C55ACB">
        <w:rPr>
          <w:rFonts w:eastAsiaTheme="minorEastAsia"/>
          <w:b/>
          <w:color w:val="1F497D" w:themeColor="text2"/>
          <w:szCs w:val="24"/>
          <w:lang w:eastAsia="en-ZA"/>
        </w:rPr>
        <w:t>ities</w:t>
      </w:r>
      <w:r w:rsidR="00497C70" w:rsidRPr="00C55ACB">
        <w:rPr>
          <w:rFonts w:eastAsiaTheme="minorEastAsia"/>
          <w:b/>
          <w:color w:val="1F497D" w:themeColor="text2"/>
          <w:szCs w:val="24"/>
          <w:lang w:eastAsia="en-ZA"/>
        </w:rPr>
        <w:t xml:space="preserve"> for payment systems</w:t>
      </w:r>
      <w:r w:rsidRPr="00C55ACB">
        <w:rPr>
          <w:rFonts w:eastAsiaTheme="minorEastAsia"/>
          <w:b/>
          <w:color w:val="1F497D" w:themeColor="text2"/>
          <w:szCs w:val="24"/>
          <w:lang w:eastAsia="en-ZA"/>
        </w:rPr>
        <w:t>.</w:t>
      </w:r>
      <w:r w:rsidR="00D37E7D">
        <w:rPr>
          <w:rFonts w:eastAsiaTheme="minorEastAsia"/>
          <w:b/>
          <w:color w:val="1F497D" w:themeColor="text2"/>
          <w:szCs w:val="24"/>
          <w:lang w:eastAsia="en-ZA"/>
        </w:rPr>
        <w:t xml:space="preserve"> </w:t>
      </w:r>
      <w:r w:rsidR="00D37E7D" w:rsidRPr="00C55ACB">
        <w:rPr>
          <w:rFonts w:eastAsiaTheme="minorEastAsia"/>
          <w:szCs w:val="24"/>
          <w:lang w:eastAsia="en-ZA"/>
        </w:rPr>
        <w:t>These functionalities include the handling securities settlement, liquidity savings mechanism</w:t>
      </w:r>
      <w:r w:rsidR="00D37E7D">
        <w:rPr>
          <w:rFonts w:eastAsiaTheme="minorEastAsia"/>
          <w:szCs w:val="24"/>
          <w:lang w:eastAsia="en-ZA"/>
        </w:rPr>
        <w:t xml:space="preserve">. </w:t>
      </w:r>
      <w:r w:rsidR="00497C70" w:rsidRPr="00497C70">
        <w:rPr>
          <w:rFonts w:eastAsia="Batang"/>
          <w:szCs w:val="24"/>
        </w:rPr>
        <w:t>At the same time</w:t>
      </w:r>
      <w:r w:rsidR="00D37E7D">
        <w:rPr>
          <w:rFonts w:eastAsia="Batang"/>
          <w:szCs w:val="24"/>
        </w:rPr>
        <w:t>,</w:t>
      </w:r>
      <w:r w:rsidR="00497C70" w:rsidRPr="00497C70">
        <w:rPr>
          <w:rFonts w:eastAsia="Batang"/>
          <w:szCs w:val="24"/>
        </w:rPr>
        <w:t xml:space="preserve"> </w:t>
      </w:r>
      <w:r w:rsidR="00CA707D">
        <w:rPr>
          <w:rFonts w:eastAsia="Batang"/>
          <w:szCs w:val="24"/>
        </w:rPr>
        <w:t xml:space="preserve">consideration should be given to </w:t>
      </w:r>
      <w:r w:rsidR="002A46F6" w:rsidRPr="00497C70">
        <w:rPr>
          <w:rFonts w:eastAsia="Batang"/>
          <w:szCs w:val="24"/>
        </w:rPr>
        <w:t>s</w:t>
      </w:r>
      <w:r w:rsidR="002A46F6">
        <w:rPr>
          <w:rFonts w:eastAsia="Batang"/>
          <w:szCs w:val="24"/>
        </w:rPr>
        <w:t>ecurity</w:t>
      </w:r>
      <w:r w:rsidR="00497C70" w:rsidRPr="00497C70">
        <w:rPr>
          <w:rFonts w:eastAsia="Batang"/>
          <w:szCs w:val="24"/>
        </w:rPr>
        <w:t xml:space="preserve">, efficiency and wider market implications </w:t>
      </w:r>
      <w:r w:rsidR="009F5F51">
        <w:rPr>
          <w:rFonts w:eastAsia="Batang"/>
          <w:szCs w:val="24"/>
        </w:rPr>
        <w:t xml:space="preserve">that </w:t>
      </w:r>
      <w:r w:rsidR="00497C70" w:rsidRPr="00497C70">
        <w:rPr>
          <w:rFonts w:eastAsia="Batang"/>
          <w:szCs w:val="24"/>
        </w:rPr>
        <w:t>such architectur</w:t>
      </w:r>
      <w:r w:rsidR="002A46F6">
        <w:rPr>
          <w:rFonts w:eastAsia="Batang"/>
          <w:szCs w:val="24"/>
        </w:rPr>
        <w:t>e</w:t>
      </w:r>
      <w:r w:rsidR="00497C70" w:rsidRPr="00497C70">
        <w:rPr>
          <w:rFonts w:eastAsia="Batang"/>
          <w:szCs w:val="24"/>
        </w:rPr>
        <w:t xml:space="preserve"> could </w:t>
      </w:r>
      <w:r w:rsidR="002A46F6">
        <w:rPr>
          <w:rFonts w:eastAsia="Batang"/>
          <w:szCs w:val="24"/>
        </w:rPr>
        <w:t xml:space="preserve">introduce into </w:t>
      </w:r>
      <w:r w:rsidR="00497C70" w:rsidRPr="00497C70">
        <w:rPr>
          <w:rFonts w:eastAsia="Batang"/>
          <w:szCs w:val="24"/>
        </w:rPr>
        <w:t>payment systems.</w:t>
      </w:r>
      <w:r w:rsidR="00A04EE7">
        <w:rPr>
          <w:rFonts w:eastAsia="Batang"/>
          <w:szCs w:val="24"/>
        </w:rPr>
        <w:t xml:space="preserve"> </w:t>
      </w:r>
      <w:r w:rsidR="00497C70" w:rsidRPr="00497C70">
        <w:rPr>
          <w:rFonts w:eastAsia="Batang"/>
          <w:szCs w:val="24"/>
        </w:rPr>
        <w:t xml:space="preserve">In order to achieve these objectives, </w:t>
      </w:r>
      <w:r w:rsidR="002A46F6">
        <w:rPr>
          <w:rFonts w:eastAsia="Batang"/>
          <w:szCs w:val="24"/>
        </w:rPr>
        <w:t xml:space="preserve">central banks should develop the </w:t>
      </w:r>
      <w:r w:rsidR="00497C70" w:rsidRPr="00497C70">
        <w:rPr>
          <w:rFonts w:eastAsia="Batang"/>
          <w:szCs w:val="24"/>
        </w:rPr>
        <w:t xml:space="preserve">reference architecture </w:t>
      </w:r>
      <w:r w:rsidR="00D37E7D">
        <w:rPr>
          <w:rFonts w:eastAsia="Batang"/>
          <w:szCs w:val="24"/>
        </w:rPr>
        <w:t xml:space="preserve">in collaboration </w:t>
      </w:r>
      <w:r w:rsidR="001F277E">
        <w:rPr>
          <w:rFonts w:eastAsia="Batang"/>
          <w:szCs w:val="24"/>
        </w:rPr>
        <w:t>w</w:t>
      </w:r>
      <w:r w:rsidR="00497C70" w:rsidRPr="00497C70">
        <w:rPr>
          <w:rFonts w:eastAsia="Batang"/>
          <w:szCs w:val="24"/>
        </w:rPr>
        <w:t xml:space="preserve">ith private sector participants right from inception </w:t>
      </w:r>
      <w:r w:rsidR="001F277E">
        <w:rPr>
          <w:rFonts w:eastAsia="Batang"/>
          <w:szCs w:val="24"/>
        </w:rPr>
        <w:t xml:space="preserve">in the context of the </w:t>
      </w:r>
      <w:r w:rsidR="00497C70" w:rsidRPr="00C55ACB">
        <w:rPr>
          <w:rFonts w:eastAsia="Batang"/>
          <w:szCs w:val="24"/>
        </w:rPr>
        <w:t xml:space="preserve">national eco-systems </w:t>
      </w:r>
      <w:r w:rsidR="001F277E">
        <w:rPr>
          <w:rFonts w:eastAsia="Batang"/>
          <w:szCs w:val="24"/>
        </w:rPr>
        <w:t xml:space="preserve">and legal frameworks. </w:t>
      </w:r>
    </w:p>
    <w:p w14:paraId="6EAB841C" w14:textId="355784C3" w:rsidR="00497C70" w:rsidRPr="00497C70" w:rsidRDefault="00CF28E8" w:rsidP="00DD71F4">
      <w:pPr>
        <w:pStyle w:val="Heading2"/>
        <w:tabs>
          <w:tab w:val="clear" w:pos="3978"/>
          <w:tab w:val="num" w:pos="284"/>
        </w:tabs>
        <w:ind w:left="426" w:hanging="426"/>
        <w:jc w:val="both"/>
      </w:pPr>
      <w:bookmarkStart w:id="13" w:name="_Toc11312800"/>
      <w:bookmarkStart w:id="14" w:name="_Toc14190265"/>
      <w:bookmarkEnd w:id="13"/>
      <w:r>
        <w:t>C</w:t>
      </w:r>
      <w:r w:rsidR="00497C70" w:rsidRPr="00497C70">
        <w:t xml:space="preserve">entral </w:t>
      </w:r>
      <w:r>
        <w:t>B</w:t>
      </w:r>
      <w:r w:rsidR="00497C70" w:rsidRPr="00497C70">
        <w:t xml:space="preserve">ank </w:t>
      </w:r>
      <w:r>
        <w:t>O</w:t>
      </w:r>
      <w:r w:rsidR="00497C70" w:rsidRPr="00497C70">
        <w:t xml:space="preserve">versight </w:t>
      </w:r>
      <w:r w:rsidR="00194961">
        <w:t xml:space="preserve">and Operation </w:t>
      </w:r>
      <w:r>
        <w:t>o</w:t>
      </w:r>
      <w:r w:rsidR="0075251F">
        <w:t>f</w:t>
      </w:r>
      <w:r>
        <w:t xml:space="preserve"> W</w:t>
      </w:r>
      <w:r w:rsidR="00497C70" w:rsidRPr="00497C70">
        <w:t xml:space="preserve">holesale </w:t>
      </w:r>
      <w:r>
        <w:t>P</w:t>
      </w:r>
      <w:r w:rsidR="00497C70" w:rsidRPr="00497C70">
        <w:t xml:space="preserve">ayment </w:t>
      </w:r>
      <w:r>
        <w:t>S</w:t>
      </w:r>
      <w:r w:rsidR="00497C70" w:rsidRPr="00497C70">
        <w:t>ystems</w:t>
      </w:r>
      <w:bookmarkEnd w:id="14"/>
    </w:p>
    <w:p w14:paraId="44F82BC5" w14:textId="63ACE706" w:rsidR="00497C70" w:rsidRPr="0075251F" w:rsidRDefault="001F277E" w:rsidP="00DD71F4">
      <w:pPr>
        <w:pStyle w:val="ParagraphNumbering"/>
        <w:numPr>
          <w:ilvl w:val="0"/>
          <w:numId w:val="0"/>
        </w:numPr>
      </w:pPr>
      <w:bookmarkStart w:id="15" w:name="_Toc9950989"/>
      <w:r w:rsidRPr="00C55ACB">
        <w:rPr>
          <w:rFonts w:eastAsiaTheme="minorEastAsia"/>
          <w:b/>
          <w:color w:val="1F497D" w:themeColor="text2"/>
          <w:lang w:eastAsia="en-ZA"/>
        </w:rPr>
        <w:t xml:space="preserve">The </w:t>
      </w:r>
      <w:r w:rsidR="009F7D31" w:rsidRPr="00C55ACB">
        <w:rPr>
          <w:rFonts w:eastAsiaTheme="minorEastAsia"/>
          <w:b/>
          <w:color w:val="1F497D" w:themeColor="text2"/>
          <w:lang w:eastAsia="en-ZA"/>
        </w:rPr>
        <w:t>r</w:t>
      </w:r>
      <w:r w:rsidR="00497C70" w:rsidRPr="00C55ACB">
        <w:rPr>
          <w:rFonts w:eastAsiaTheme="minorEastAsia"/>
          <w:b/>
          <w:color w:val="1F497D" w:themeColor="text2"/>
          <w:lang w:eastAsia="en-ZA"/>
        </w:rPr>
        <w:t xml:space="preserve">eference architecture constitutes an important consideration in ensuring the successful deployment of wholesale </w:t>
      </w:r>
      <w:r w:rsidR="009F7D31" w:rsidRPr="00C55ACB">
        <w:rPr>
          <w:rFonts w:eastAsiaTheme="minorEastAsia"/>
          <w:b/>
          <w:color w:val="1F497D" w:themeColor="text2"/>
          <w:lang w:eastAsia="en-ZA"/>
        </w:rPr>
        <w:t>CBDCs</w:t>
      </w:r>
      <w:r w:rsidR="00497C70" w:rsidRPr="00C55ACB">
        <w:rPr>
          <w:rFonts w:eastAsiaTheme="minorEastAsia"/>
          <w:b/>
          <w:color w:val="1F497D" w:themeColor="text2"/>
          <w:lang w:eastAsia="en-ZA"/>
        </w:rPr>
        <w:t xml:space="preserve">. </w:t>
      </w:r>
      <w:r w:rsidR="00D37E7D" w:rsidRPr="00C55ACB">
        <w:rPr>
          <w:rFonts w:eastAsiaTheme="minorEastAsia"/>
          <w:lang w:eastAsia="en-ZA"/>
        </w:rPr>
        <w:t>The</w:t>
      </w:r>
      <w:r w:rsidR="00D37E7D" w:rsidRPr="00C55ACB">
        <w:rPr>
          <w:rFonts w:eastAsiaTheme="minorEastAsia"/>
          <w:b/>
          <w:lang w:eastAsia="en-ZA"/>
        </w:rPr>
        <w:t xml:space="preserve"> </w:t>
      </w:r>
      <w:r w:rsidR="00D37E7D">
        <w:t>w</w:t>
      </w:r>
      <w:r w:rsidR="00497C70" w:rsidRPr="0078601C">
        <w:t xml:space="preserve">holesale </w:t>
      </w:r>
      <w:r w:rsidR="009F7D31">
        <w:t>CBDC</w:t>
      </w:r>
      <w:r w:rsidR="009F7D31" w:rsidRPr="0078601C">
        <w:t xml:space="preserve"> </w:t>
      </w:r>
      <w:r w:rsidR="00497C70" w:rsidRPr="0078601C">
        <w:t xml:space="preserve">architecture should </w:t>
      </w:r>
      <w:r w:rsidR="00194961">
        <w:t xml:space="preserve">foster </w:t>
      </w:r>
      <w:r w:rsidR="00497C70" w:rsidRPr="0078601C">
        <w:t xml:space="preserve"> the </w:t>
      </w:r>
      <w:r w:rsidR="009F5F51" w:rsidRPr="0078601C">
        <w:t>central bank mandate with respect to</w:t>
      </w:r>
      <w:r w:rsidR="00497C70" w:rsidRPr="0075251F">
        <w:t xml:space="preserve"> s</w:t>
      </w:r>
      <w:r w:rsidR="009F7D31">
        <w:t>ecurity and</w:t>
      </w:r>
      <w:r w:rsidR="00497C70" w:rsidRPr="0075251F">
        <w:t xml:space="preserve"> efficiency </w:t>
      </w:r>
      <w:r w:rsidR="009F7D31">
        <w:t>of the wholesale payment system as well as</w:t>
      </w:r>
      <w:r w:rsidR="00497C70" w:rsidRPr="0075251F">
        <w:t xml:space="preserve"> financial stability</w:t>
      </w:r>
      <w:r w:rsidR="009F7D31">
        <w:t xml:space="preserve"> and integrity</w:t>
      </w:r>
      <w:r w:rsidR="009F5F51" w:rsidRPr="0075251F">
        <w:t>.</w:t>
      </w:r>
      <w:r w:rsidR="00497C70" w:rsidRPr="0075251F">
        <w:t xml:space="preserve"> </w:t>
      </w:r>
      <w:r w:rsidR="009F7D31">
        <w:t>W</w:t>
      </w:r>
      <w:r w:rsidR="00497C70" w:rsidRPr="0075251F">
        <w:t xml:space="preserve">holesale </w:t>
      </w:r>
      <w:r w:rsidR="009F7D31">
        <w:t>CBDCs</w:t>
      </w:r>
      <w:r w:rsidR="009F7D31" w:rsidRPr="0075251F">
        <w:t xml:space="preserve"> </w:t>
      </w:r>
      <w:r w:rsidR="00497C70" w:rsidRPr="0075251F">
        <w:t xml:space="preserve">should </w:t>
      </w:r>
      <w:r w:rsidR="00D37E7D">
        <w:t>include</w:t>
      </w:r>
      <w:r w:rsidR="00D37E7D" w:rsidRPr="0075251F">
        <w:t xml:space="preserve"> </w:t>
      </w:r>
      <w:r w:rsidR="00497C70" w:rsidRPr="0075251F">
        <w:t xml:space="preserve">an appropriate design </w:t>
      </w:r>
      <w:r w:rsidR="009F7D31">
        <w:t xml:space="preserve">that </w:t>
      </w:r>
      <w:r w:rsidR="00497C70" w:rsidRPr="0075251F">
        <w:t>support</w:t>
      </w:r>
      <w:r w:rsidR="009F7D31">
        <w:t>s</w:t>
      </w:r>
      <w:r w:rsidR="00497C70" w:rsidRPr="0075251F">
        <w:t xml:space="preserve"> the </w:t>
      </w:r>
      <w:r w:rsidR="009F7D31">
        <w:t xml:space="preserve">central bank’s </w:t>
      </w:r>
      <w:r w:rsidR="00497C70" w:rsidRPr="0075251F">
        <w:t xml:space="preserve">oversight </w:t>
      </w:r>
      <w:r w:rsidR="009F7D31">
        <w:t>function</w:t>
      </w:r>
      <w:r w:rsidR="00497C70" w:rsidRPr="0075251F">
        <w:t xml:space="preserve"> (or any appropriate national authority entrusted with such oversight role) o</w:t>
      </w:r>
      <w:r w:rsidR="009F7D31">
        <w:t>ver</w:t>
      </w:r>
      <w:r w:rsidR="00497C70" w:rsidRPr="0075251F">
        <w:t xml:space="preserve"> </w:t>
      </w:r>
      <w:r w:rsidR="00194961">
        <w:t xml:space="preserve">the system itself, </w:t>
      </w:r>
      <w:r w:rsidR="00497C70" w:rsidRPr="0075251F">
        <w:t xml:space="preserve">individual transactions </w:t>
      </w:r>
      <w:r w:rsidR="009F7D31">
        <w:t>and associated payment instructions</w:t>
      </w:r>
      <w:r w:rsidR="00194961">
        <w:t xml:space="preserve"> </w:t>
      </w:r>
      <w:r w:rsidR="009F3F58" w:rsidRPr="0075251F">
        <w:t>(see below)</w:t>
      </w:r>
      <w:r w:rsidR="00497C70" w:rsidRPr="0075251F">
        <w:t>.</w:t>
      </w:r>
      <w:bookmarkEnd w:id="15"/>
    </w:p>
    <w:p w14:paraId="7FB3F94F" w14:textId="2357FD87" w:rsidR="00497C70" w:rsidRPr="00C55ACB" w:rsidRDefault="00497C70" w:rsidP="00DD71F4">
      <w:pPr>
        <w:pStyle w:val="BodyText"/>
        <w:spacing w:line="264" w:lineRule="auto"/>
        <w:jc w:val="both"/>
        <w:rPr>
          <w:rFonts w:cs="Times New Roman"/>
          <w:b/>
          <w:bCs/>
          <w:szCs w:val="24"/>
        </w:rPr>
      </w:pPr>
      <w:bookmarkStart w:id="16" w:name="_Toc9950991"/>
      <w:r w:rsidRPr="00C55ACB">
        <w:rPr>
          <w:rFonts w:ascii="Times New Roman" w:hAnsi="Times New Roman" w:cs="Times New Roman"/>
          <w:b/>
          <w:color w:val="1F497D" w:themeColor="text2"/>
          <w:sz w:val="24"/>
          <w:szCs w:val="24"/>
        </w:rPr>
        <w:t>In traditional centrali</w:t>
      </w:r>
      <w:r w:rsidR="0075251F" w:rsidRPr="00C55ACB">
        <w:rPr>
          <w:rFonts w:ascii="Times New Roman" w:hAnsi="Times New Roman" w:cs="Times New Roman"/>
          <w:b/>
          <w:color w:val="1F497D" w:themeColor="text2"/>
          <w:sz w:val="24"/>
          <w:szCs w:val="24"/>
        </w:rPr>
        <w:t>z</w:t>
      </w:r>
      <w:r w:rsidRPr="00C55ACB">
        <w:rPr>
          <w:rFonts w:ascii="Times New Roman" w:hAnsi="Times New Roman" w:cs="Times New Roman"/>
          <w:b/>
          <w:color w:val="1F497D" w:themeColor="text2"/>
          <w:sz w:val="24"/>
          <w:szCs w:val="24"/>
        </w:rPr>
        <w:t xml:space="preserve">ed RTGS payment systems, the central bank participates directly in </w:t>
      </w:r>
      <w:r w:rsidR="00B050CA">
        <w:rPr>
          <w:rFonts w:ascii="Times New Roman" w:hAnsi="Times New Roman" w:cs="Times New Roman"/>
          <w:b/>
          <w:color w:val="1F497D" w:themeColor="text2"/>
          <w:sz w:val="24"/>
          <w:szCs w:val="24"/>
        </w:rPr>
        <w:t>all</w:t>
      </w:r>
      <w:r w:rsidRPr="00C55ACB">
        <w:rPr>
          <w:rFonts w:ascii="Times New Roman" w:hAnsi="Times New Roman" w:cs="Times New Roman"/>
          <w:b/>
          <w:color w:val="1F497D" w:themeColor="text2"/>
          <w:sz w:val="24"/>
          <w:szCs w:val="24"/>
        </w:rPr>
        <w:t xml:space="preserve"> </w:t>
      </w:r>
      <w:r w:rsidR="0075251F" w:rsidRPr="00C55ACB">
        <w:rPr>
          <w:rFonts w:ascii="Times New Roman" w:hAnsi="Times New Roman" w:cs="Times New Roman"/>
          <w:b/>
          <w:color w:val="1F497D" w:themeColor="text2"/>
          <w:sz w:val="24"/>
          <w:szCs w:val="24"/>
        </w:rPr>
        <w:t>payment instructions</w:t>
      </w:r>
      <w:r w:rsidR="00636F86">
        <w:rPr>
          <w:rFonts w:ascii="Times New Roman" w:hAnsi="Times New Roman" w:cs="Times New Roman"/>
          <w:bCs/>
          <w:sz w:val="24"/>
          <w:szCs w:val="24"/>
        </w:rPr>
        <w:t xml:space="preserve">. </w:t>
      </w:r>
      <w:r w:rsidR="00636F86" w:rsidRPr="00C55ACB">
        <w:rPr>
          <w:rFonts w:ascii="Times New Roman" w:hAnsi="Times New Roman" w:cs="Times New Roman"/>
          <w:bCs/>
          <w:sz w:val="24"/>
          <w:szCs w:val="24"/>
        </w:rPr>
        <w:t>The</w:t>
      </w:r>
      <w:r w:rsidR="00636F86">
        <w:rPr>
          <w:rFonts w:ascii="Times New Roman" w:hAnsi="Times New Roman" w:cs="Times New Roman"/>
          <w:bCs/>
          <w:sz w:val="24"/>
          <w:szCs w:val="24"/>
        </w:rPr>
        <w:t xml:space="preserve"> central bank acts as an intermediary</w:t>
      </w:r>
      <w:r w:rsidRPr="00C55ACB">
        <w:rPr>
          <w:rFonts w:ascii="Times New Roman" w:hAnsi="Times New Roman" w:cs="Times New Roman"/>
          <w:bCs/>
          <w:sz w:val="24"/>
          <w:szCs w:val="24"/>
        </w:rPr>
        <w:t xml:space="preserve"> sitting in the middle of each transaction between two contracting financial institutions (either directly as first level validator or through a processor as second-level validator). Th</w:t>
      </w:r>
      <w:r w:rsidR="0075251F">
        <w:rPr>
          <w:rFonts w:ascii="Times New Roman" w:hAnsi="Times New Roman" w:cs="Times New Roman"/>
          <w:bCs/>
          <w:sz w:val="24"/>
          <w:szCs w:val="24"/>
        </w:rPr>
        <w:t xml:space="preserve">e </w:t>
      </w:r>
      <w:r w:rsidRPr="00C55ACB">
        <w:rPr>
          <w:rFonts w:ascii="Times New Roman" w:hAnsi="Times New Roman" w:cs="Times New Roman"/>
          <w:bCs/>
          <w:sz w:val="24"/>
          <w:szCs w:val="24"/>
        </w:rPr>
        <w:t>central bank</w:t>
      </w:r>
      <w:r w:rsidR="0075251F">
        <w:rPr>
          <w:rFonts w:ascii="Times New Roman" w:hAnsi="Times New Roman" w:cs="Times New Roman"/>
          <w:bCs/>
          <w:sz w:val="24"/>
          <w:szCs w:val="24"/>
        </w:rPr>
        <w:t xml:space="preserve">’s focal </w:t>
      </w:r>
      <w:r w:rsidR="00636F86">
        <w:rPr>
          <w:rFonts w:ascii="Times New Roman" w:hAnsi="Times New Roman" w:cs="Times New Roman"/>
          <w:bCs/>
          <w:sz w:val="24"/>
          <w:szCs w:val="24"/>
        </w:rPr>
        <w:t>role in</w:t>
      </w:r>
      <w:r w:rsidR="0075251F">
        <w:rPr>
          <w:rFonts w:ascii="Times New Roman" w:hAnsi="Times New Roman" w:cs="Times New Roman"/>
          <w:bCs/>
          <w:sz w:val="24"/>
          <w:szCs w:val="24"/>
        </w:rPr>
        <w:t xml:space="preserve"> </w:t>
      </w:r>
      <w:r w:rsidRPr="00C55ACB">
        <w:rPr>
          <w:rFonts w:ascii="Times New Roman" w:hAnsi="Times New Roman" w:cs="Times New Roman"/>
          <w:bCs/>
          <w:sz w:val="24"/>
          <w:szCs w:val="24"/>
        </w:rPr>
        <w:t>transaction between financial institutions settled on an RTGS help</w:t>
      </w:r>
      <w:r w:rsidR="00636F86">
        <w:rPr>
          <w:rFonts w:ascii="Times New Roman" w:hAnsi="Times New Roman" w:cs="Times New Roman"/>
          <w:bCs/>
          <w:sz w:val="24"/>
          <w:szCs w:val="24"/>
        </w:rPr>
        <w:t>s</w:t>
      </w:r>
      <w:r w:rsidRPr="00C55ACB">
        <w:rPr>
          <w:rFonts w:ascii="Times New Roman" w:hAnsi="Times New Roman" w:cs="Times New Roman"/>
          <w:bCs/>
          <w:sz w:val="24"/>
          <w:szCs w:val="24"/>
        </w:rPr>
        <w:t xml:space="preserve"> enforce the </w:t>
      </w:r>
      <w:r w:rsidR="008B18C3" w:rsidRPr="00C55ACB">
        <w:rPr>
          <w:rFonts w:ascii="Times New Roman" w:hAnsi="Times New Roman" w:cs="Times New Roman"/>
          <w:bCs/>
          <w:sz w:val="24"/>
          <w:szCs w:val="24"/>
        </w:rPr>
        <w:t>accuracy</w:t>
      </w:r>
      <w:r w:rsidR="009F3F58" w:rsidRPr="00C55ACB">
        <w:rPr>
          <w:rFonts w:ascii="Times New Roman" w:hAnsi="Times New Roman" w:cs="Times New Roman"/>
          <w:bCs/>
          <w:sz w:val="24"/>
          <w:szCs w:val="24"/>
        </w:rPr>
        <w:t xml:space="preserve">, </w:t>
      </w:r>
      <w:r w:rsidR="008B18C3" w:rsidRPr="00C55ACB">
        <w:rPr>
          <w:rFonts w:ascii="Times New Roman" w:hAnsi="Times New Roman" w:cs="Times New Roman"/>
          <w:bCs/>
          <w:sz w:val="24"/>
          <w:szCs w:val="24"/>
        </w:rPr>
        <w:t>completeness</w:t>
      </w:r>
      <w:r w:rsidR="009F3F58" w:rsidRPr="00C55ACB">
        <w:rPr>
          <w:rFonts w:ascii="Times New Roman" w:hAnsi="Times New Roman" w:cs="Times New Roman"/>
          <w:bCs/>
          <w:sz w:val="24"/>
          <w:szCs w:val="24"/>
        </w:rPr>
        <w:t xml:space="preserve"> and finality of settlement</w:t>
      </w:r>
      <w:r w:rsidR="008B18C3" w:rsidRPr="00C55ACB">
        <w:rPr>
          <w:rFonts w:ascii="Times New Roman" w:hAnsi="Times New Roman" w:cs="Times New Roman"/>
          <w:bCs/>
          <w:sz w:val="24"/>
          <w:szCs w:val="24"/>
        </w:rPr>
        <w:t xml:space="preserve"> </w:t>
      </w:r>
      <w:r w:rsidRPr="00C55ACB">
        <w:rPr>
          <w:rFonts w:ascii="Times New Roman" w:hAnsi="Times New Roman" w:cs="Times New Roman"/>
          <w:bCs/>
          <w:sz w:val="24"/>
          <w:szCs w:val="24"/>
        </w:rPr>
        <w:t>of transactions.</w:t>
      </w:r>
      <w:bookmarkEnd w:id="16"/>
      <w:r w:rsidRPr="00C55ACB">
        <w:rPr>
          <w:rFonts w:ascii="Times New Roman" w:hAnsi="Times New Roman" w:cs="Times New Roman"/>
          <w:bCs/>
          <w:sz w:val="24"/>
          <w:szCs w:val="24"/>
        </w:rPr>
        <w:t xml:space="preserve"> </w:t>
      </w:r>
    </w:p>
    <w:p w14:paraId="36703640" w14:textId="77777777" w:rsidR="00497C70" w:rsidRPr="00C55ACB" w:rsidRDefault="00636F86" w:rsidP="00DD71F4">
      <w:pPr>
        <w:pStyle w:val="BodyText"/>
        <w:spacing w:line="264" w:lineRule="auto"/>
        <w:jc w:val="both"/>
        <w:rPr>
          <w:rFonts w:cs="Times New Roman"/>
          <w:szCs w:val="24"/>
        </w:rPr>
      </w:pPr>
      <w:bookmarkStart w:id="17" w:name="_Toc9950992"/>
      <w:r>
        <w:rPr>
          <w:rFonts w:ascii="Times New Roman" w:hAnsi="Times New Roman" w:cs="Times New Roman"/>
          <w:b/>
          <w:color w:val="1F497D" w:themeColor="text2"/>
          <w:sz w:val="24"/>
          <w:szCs w:val="24"/>
        </w:rPr>
        <w:t>A d</w:t>
      </w:r>
      <w:r w:rsidR="00497C70" w:rsidRPr="00C55ACB">
        <w:rPr>
          <w:rFonts w:ascii="Times New Roman" w:hAnsi="Times New Roman" w:cs="Times New Roman"/>
          <w:b/>
          <w:color w:val="1F497D" w:themeColor="text2"/>
          <w:sz w:val="24"/>
          <w:szCs w:val="24"/>
        </w:rPr>
        <w:t>ecentrali</w:t>
      </w:r>
      <w:r>
        <w:rPr>
          <w:rFonts w:ascii="Times New Roman" w:hAnsi="Times New Roman" w:cs="Times New Roman"/>
          <w:b/>
          <w:color w:val="1F497D" w:themeColor="text2"/>
          <w:sz w:val="24"/>
          <w:szCs w:val="24"/>
        </w:rPr>
        <w:t>z</w:t>
      </w:r>
      <w:r w:rsidR="00497C70" w:rsidRPr="00C55ACB">
        <w:rPr>
          <w:rFonts w:ascii="Times New Roman" w:hAnsi="Times New Roman" w:cs="Times New Roman"/>
          <w:b/>
          <w:color w:val="1F497D" w:themeColor="text2"/>
          <w:sz w:val="24"/>
          <w:szCs w:val="24"/>
        </w:rPr>
        <w:t xml:space="preserve">ed wholesale </w:t>
      </w:r>
      <w:r>
        <w:rPr>
          <w:rFonts w:ascii="Times New Roman" w:hAnsi="Times New Roman" w:cs="Times New Roman"/>
          <w:b/>
          <w:color w:val="1F497D" w:themeColor="text2"/>
          <w:sz w:val="24"/>
          <w:szCs w:val="24"/>
        </w:rPr>
        <w:t>CBDC</w:t>
      </w:r>
      <w:r w:rsidRPr="00C55AC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design </w:t>
      </w:r>
      <w:r w:rsidR="00497C70" w:rsidRPr="00C55ACB">
        <w:rPr>
          <w:rFonts w:ascii="Times New Roman" w:hAnsi="Times New Roman" w:cs="Times New Roman"/>
          <w:b/>
          <w:color w:val="1F497D" w:themeColor="text2"/>
          <w:sz w:val="24"/>
          <w:szCs w:val="24"/>
        </w:rPr>
        <w:t xml:space="preserve">could inspire </w:t>
      </w:r>
      <w:r w:rsidR="008B18C3" w:rsidRPr="00C55ACB">
        <w:rPr>
          <w:rFonts w:ascii="Times New Roman" w:hAnsi="Times New Roman" w:cs="Times New Roman"/>
          <w:b/>
          <w:color w:val="1F497D" w:themeColor="text2"/>
          <w:sz w:val="24"/>
          <w:szCs w:val="24"/>
        </w:rPr>
        <w:t xml:space="preserve">a </w:t>
      </w:r>
      <w:r w:rsidR="00497C70" w:rsidRPr="00C55ACB">
        <w:rPr>
          <w:rFonts w:ascii="Times New Roman" w:hAnsi="Times New Roman" w:cs="Times New Roman"/>
          <w:b/>
          <w:color w:val="1F497D" w:themeColor="text2"/>
          <w:sz w:val="24"/>
          <w:szCs w:val="24"/>
        </w:rPr>
        <w:t xml:space="preserve">new paradigm for </w:t>
      </w:r>
      <w:r>
        <w:rPr>
          <w:rFonts w:ascii="Times New Roman" w:hAnsi="Times New Roman" w:cs="Times New Roman"/>
          <w:b/>
          <w:color w:val="1F497D" w:themeColor="text2"/>
          <w:sz w:val="24"/>
          <w:szCs w:val="24"/>
        </w:rPr>
        <w:t xml:space="preserve">the </w:t>
      </w:r>
      <w:r w:rsidR="00497C70" w:rsidRPr="00C55ACB">
        <w:rPr>
          <w:rFonts w:ascii="Times New Roman" w:hAnsi="Times New Roman" w:cs="Times New Roman"/>
          <w:b/>
          <w:color w:val="1F497D" w:themeColor="text2"/>
          <w:sz w:val="24"/>
          <w:szCs w:val="24"/>
        </w:rPr>
        <w:t>central bank</w:t>
      </w:r>
      <w:r>
        <w:rPr>
          <w:rFonts w:ascii="Times New Roman" w:hAnsi="Times New Roman" w:cs="Times New Roman"/>
          <w:b/>
          <w:color w:val="1F497D" w:themeColor="text2"/>
          <w:sz w:val="24"/>
          <w:szCs w:val="24"/>
        </w:rPr>
        <w:t>’s role in</w:t>
      </w:r>
      <w:r w:rsidR="00497C70" w:rsidRPr="00C55AC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the </w:t>
      </w:r>
      <w:r w:rsidR="00497C70" w:rsidRPr="00C55ACB">
        <w:rPr>
          <w:rFonts w:ascii="Times New Roman" w:hAnsi="Times New Roman" w:cs="Times New Roman"/>
          <w:b/>
          <w:color w:val="1F497D" w:themeColor="text2"/>
          <w:sz w:val="24"/>
          <w:szCs w:val="24"/>
        </w:rPr>
        <w:t>validation of transactions</w:t>
      </w:r>
      <w:r w:rsidR="008B18C3" w:rsidRPr="00C55ACB">
        <w:rPr>
          <w:rFonts w:ascii="Times New Roman" w:hAnsi="Times New Roman" w:cs="Times New Roman"/>
          <w:b/>
          <w:color w:val="1F497D" w:themeColor="text2"/>
          <w:sz w:val="24"/>
          <w:szCs w:val="24"/>
        </w:rPr>
        <w:t>.</w:t>
      </w:r>
      <w:r w:rsidR="008B18C3" w:rsidRPr="00C55ACB">
        <w:rPr>
          <w:rFonts w:ascii="Times New Roman" w:hAnsi="Times New Roman" w:cs="Times New Roman"/>
          <w:b/>
          <w:bCs/>
          <w:sz w:val="24"/>
          <w:szCs w:val="24"/>
        </w:rPr>
        <w:t xml:space="preserve"> </w:t>
      </w:r>
      <w:r>
        <w:rPr>
          <w:rFonts w:ascii="Times New Roman" w:hAnsi="Times New Roman" w:cs="Times New Roman"/>
          <w:bCs/>
          <w:sz w:val="24"/>
          <w:szCs w:val="24"/>
        </w:rPr>
        <w:t>In a decentralized architecture, t</w:t>
      </w:r>
      <w:r w:rsidR="00497C70" w:rsidRPr="00C55ACB">
        <w:rPr>
          <w:rFonts w:ascii="Times New Roman" w:hAnsi="Times New Roman" w:cs="Times New Roman"/>
          <w:bCs/>
          <w:sz w:val="24"/>
          <w:szCs w:val="24"/>
        </w:rPr>
        <w:t xml:space="preserve">he central bank </w:t>
      </w:r>
      <w:r w:rsidR="008B18C3" w:rsidRPr="00C55ACB">
        <w:rPr>
          <w:rFonts w:ascii="Times New Roman" w:hAnsi="Times New Roman" w:cs="Times New Roman"/>
          <w:bCs/>
          <w:sz w:val="24"/>
          <w:szCs w:val="24"/>
        </w:rPr>
        <w:t xml:space="preserve">would </w:t>
      </w:r>
      <w:r w:rsidR="00497C70" w:rsidRPr="00C55ACB">
        <w:rPr>
          <w:rFonts w:ascii="Times New Roman" w:hAnsi="Times New Roman" w:cs="Times New Roman"/>
          <w:bCs/>
          <w:sz w:val="24"/>
          <w:szCs w:val="24"/>
        </w:rPr>
        <w:t>merely receive a copy of the transaction</w:t>
      </w:r>
      <w:r>
        <w:rPr>
          <w:rFonts w:ascii="Times New Roman" w:hAnsi="Times New Roman" w:cs="Times New Roman"/>
          <w:bCs/>
          <w:sz w:val="24"/>
          <w:szCs w:val="24"/>
        </w:rPr>
        <w:t xml:space="preserve"> information</w:t>
      </w:r>
      <w:r w:rsidR="00497C70" w:rsidRPr="00C55ACB">
        <w:rPr>
          <w:rFonts w:ascii="Times New Roman" w:hAnsi="Times New Roman" w:cs="Times New Roman"/>
          <w:bCs/>
          <w:sz w:val="24"/>
          <w:szCs w:val="24"/>
        </w:rPr>
        <w:t xml:space="preserve"> between financial institutions</w:t>
      </w:r>
      <w:r>
        <w:rPr>
          <w:rFonts w:ascii="Times New Roman" w:hAnsi="Times New Roman" w:cs="Times New Roman"/>
          <w:bCs/>
          <w:sz w:val="24"/>
          <w:szCs w:val="24"/>
        </w:rPr>
        <w:t xml:space="preserve"> with </w:t>
      </w:r>
      <w:r w:rsidR="00497C70" w:rsidRPr="00C55ACB">
        <w:rPr>
          <w:rFonts w:ascii="Times New Roman" w:hAnsi="Times New Roman" w:cs="Times New Roman"/>
          <w:bCs/>
          <w:sz w:val="24"/>
          <w:szCs w:val="24"/>
        </w:rPr>
        <w:t>no</w:t>
      </w:r>
      <w:r>
        <w:rPr>
          <w:rFonts w:ascii="Times New Roman" w:hAnsi="Times New Roman" w:cs="Times New Roman"/>
          <w:bCs/>
          <w:sz w:val="24"/>
          <w:szCs w:val="24"/>
        </w:rPr>
        <w:t xml:space="preserve"> operational</w:t>
      </w:r>
      <w:r w:rsidR="00497C70" w:rsidRPr="00C55ACB">
        <w:rPr>
          <w:rFonts w:ascii="Times New Roman" w:hAnsi="Times New Roman" w:cs="Times New Roman"/>
          <w:bCs/>
          <w:sz w:val="24"/>
          <w:szCs w:val="24"/>
        </w:rPr>
        <w:t xml:space="preserve"> </w:t>
      </w:r>
      <w:r w:rsidR="009F3F58" w:rsidRPr="00C55ACB">
        <w:rPr>
          <w:rFonts w:ascii="Times New Roman" w:hAnsi="Times New Roman" w:cs="Times New Roman"/>
          <w:bCs/>
          <w:sz w:val="24"/>
          <w:szCs w:val="24"/>
        </w:rPr>
        <w:t xml:space="preserve">involvement </w:t>
      </w:r>
      <w:r w:rsidR="00497C70" w:rsidRPr="00C55ACB">
        <w:rPr>
          <w:rFonts w:ascii="Times New Roman" w:hAnsi="Times New Roman" w:cs="Times New Roman"/>
          <w:bCs/>
          <w:sz w:val="24"/>
          <w:szCs w:val="24"/>
        </w:rPr>
        <w:t xml:space="preserve">in </w:t>
      </w:r>
      <w:r>
        <w:rPr>
          <w:rFonts w:ascii="Times New Roman" w:hAnsi="Times New Roman" w:cs="Times New Roman"/>
          <w:bCs/>
          <w:sz w:val="24"/>
          <w:szCs w:val="24"/>
        </w:rPr>
        <w:t xml:space="preserve">transaction </w:t>
      </w:r>
      <w:r w:rsidR="00497C70" w:rsidRPr="00C55ACB">
        <w:rPr>
          <w:rFonts w:ascii="Times New Roman" w:hAnsi="Times New Roman" w:cs="Times New Roman"/>
          <w:bCs/>
          <w:sz w:val="24"/>
          <w:szCs w:val="24"/>
        </w:rPr>
        <w:t>processing</w:t>
      </w:r>
      <w:r>
        <w:rPr>
          <w:rFonts w:ascii="Times New Roman" w:hAnsi="Times New Roman" w:cs="Times New Roman"/>
          <w:bCs/>
          <w:sz w:val="24"/>
          <w:szCs w:val="24"/>
        </w:rPr>
        <w:t xml:space="preserve">. </w:t>
      </w:r>
      <w:r w:rsidR="00497C70" w:rsidRPr="00C55ACB">
        <w:rPr>
          <w:rFonts w:ascii="Times New Roman" w:hAnsi="Times New Roman" w:cs="Times New Roman"/>
          <w:bCs/>
          <w:sz w:val="24"/>
          <w:szCs w:val="24"/>
        </w:rPr>
        <w:t xml:space="preserve">This will reduce the settlement time required for </w:t>
      </w:r>
      <w:r w:rsidR="008B18C3" w:rsidRPr="00C55ACB">
        <w:rPr>
          <w:rFonts w:ascii="Times New Roman" w:hAnsi="Times New Roman" w:cs="Times New Roman"/>
          <w:bCs/>
          <w:sz w:val="24"/>
          <w:szCs w:val="24"/>
        </w:rPr>
        <w:t xml:space="preserve">transaction </w:t>
      </w:r>
      <w:r w:rsidR="00497C70" w:rsidRPr="00C55ACB">
        <w:rPr>
          <w:rFonts w:ascii="Times New Roman" w:hAnsi="Times New Roman" w:cs="Times New Roman"/>
          <w:bCs/>
          <w:sz w:val="24"/>
          <w:szCs w:val="24"/>
        </w:rPr>
        <w:t>processing</w:t>
      </w:r>
      <w:r w:rsidR="003B4C08" w:rsidRPr="00C55ACB">
        <w:rPr>
          <w:rFonts w:ascii="Times New Roman" w:hAnsi="Times New Roman" w:cs="Times New Roman"/>
          <w:bCs/>
          <w:sz w:val="24"/>
          <w:szCs w:val="24"/>
        </w:rPr>
        <w:t>, leaving t</w:t>
      </w:r>
      <w:r w:rsidR="009F3F58" w:rsidRPr="00C55ACB">
        <w:rPr>
          <w:rFonts w:ascii="Times New Roman" w:hAnsi="Times New Roman" w:cs="Times New Roman"/>
          <w:bCs/>
          <w:sz w:val="24"/>
          <w:szCs w:val="24"/>
        </w:rPr>
        <w:t>he central bank</w:t>
      </w:r>
      <w:r w:rsidR="003B4C08" w:rsidRPr="00C55ACB">
        <w:rPr>
          <w:rFonts w:ascii="Times New Roman" w:hAnsi="Times New Roman" w:cs="Times New Roman"/>
          <w:bCs/>
          <w:sz w:val="24"/>
          <w:szCs w:val="24"/>
        </w:rPr>
        <w:t xml:space="preserve"> to focus more on its</w:t>
      </w:r>
      <w:r w:rsidR="009F3F58" w:rsidRPr="00C55ACB">
        <w:rPr>
          <w:rFonts w:ascii="Times New Roman" w:hAnsi="Times New Roman" w:cs="Times New Roman"/>
          <w:bCs/>
          <w:sz w:val="24"/>
          <w:szCs w:val="24"/>
        </w:rPr>
        <w:t xml:space="preserve"> oversight role</w:t>
      </w:r>
      <w:r>
        <w:rPr>
          <w:rFonts w:ascii="Times New Roman" w:hAnsi="Times New Roman" w:cs="Times New Roman"/>
          <w:bCs/>
          <w:sz w:val="24"/>
          <w:szCs w:val="24"/>
        </w:rPr>
        <w:t>.</w:t>
      </w:r>
      <w:r w:rsidR="00497C70" w:rsidRPr="00C55ACB">
        <w:rPr>
          <w:rFonts w:ascii="Times New Roman" w:hAnsi="Times New Roman" w:cs="Times New Roman"/>
          <w:bCs/>
          <w:sz w:val="24"/>
          <w:szCs w:val="24"/>
        </w:rPr>
        <w:t xml:space="preserve"> </w:t>
      </w:r>
      <w:r>
        <w:rPr>
          <w:rFonts w:ascii="Times New Roman" w:hAnsi="Times New Roman" w:cs="Times New Roman"/>
          <w:bCs/>
          <w:sz w:val="24"/>
          <w:szCs w:val="24"/>
        </w:rPr>
        <w:t xml:space="preserve">The central bank can engage more in </w:t>
      </w:r>
      <w:r w:rsidR="00497C70" w:rsidRPr="00C55ACB">
        <w:rPr>
          <w:rFonts w:ascii="Times New Roman" w:hAnsi="Times New Roman" w:cs="Times New Roman"/>
          <w:bCs/>
          <w:sz w:val="24"/>
          <w:szCs w:val="24"/>
        </w:rPr>
        <w:t xml:space="preserve">ongoing automated monitoring of transactions, and customised interventions in case of identified </w:t>
      </w:r>
      <w:r>
        <w:rPr>
          <w:rFonts w:ascii="Times New Roman" w:hAnsi="Times New Roman" w:cs="Times New Roman"/>
          <w:bCs/>
          <w:sz w:val="24"/>
          <w:szCs w:val="24"/>
        </w:rPr>
        <w:t xml:space="preserve">suspicious or </w:t>
      </w:r>
      <w:r w:rsidR="00497C70" w:rsidRPr="00C55ACB">
        <w:rPr>
          <w:rFonts w:ascii="Times New Roman" w:hAnsi="Times New Roman" w:cs="Times New Roman"/>
          <w:bCs/>
          <w:sz w:val="24"/>
          <w:szCs w:val="24"/>
        </w:rPr>
        <w:t xml:space="preserve">invalid transactions with varying degrees of sensitivity. These interventions can be improved over time through </w:t>
      </w:r>
      <w:r>
        <w:rPr>
          <w:rFonts w:ascii="Times New Roman" w:hAnsi="Times New Roman" w:cs="Times New Roman"/>
          <w:bCs/>
          <w:sz w:val="24"/>
          <w:szCs w:val="24"/>
        </w:rPr>
        <w:t>data</w:t>
      </w:r>
      <w:r w:rsidR="00497C70" w:rsidRPr="00C55ACB">
        <w:rPr>
          <w:rFonts w:ascii="Times New Roman" w:hAnsi="Times New Roman" w:cs="Times New Roman"/>
          <w:bCs/>
          <w:sz w:val="24"/>
          <w:szCs w:val="24"/>
        </w:rPr>
        <w:t xml:space="preserve"> analytics and proactive strategies to further reduce risk in the payments system.</w:t>
      </w:r>
      <w:bookmarkEnd w:id="17"/>
    </w:p>
    <w:p w14:paraId="09DDF41E" w14:textId="560381C0" w:rsidR="00497C70" w:rsidRPr="00C55ACB" w:rsidRDefault="00497C70" w:rsidP="00DD71F4">
      <w:pPr>
        <w:pStyle w:val="BodyText"/>
        <w:spacing w:line="264" w:lineRule="auto"/>
        <w:jc w:val="both"/>
        <w:rPr>
          <w:rFonts w:cs="Times New Roman"/>
          <w:szCs w:val="24"/>
        </w:rPr>
      </w:pPr>
      <w:bookmarkStart w:id="18" w:name="_Toc9950993"/>
      <w:r w:rsidRPr="00C55ACB">
        <w:rPr>
          <w:rFonts w:ascii="Times New Roman" w:hAnsi="Times New Roman" w:cs="Times New Roman"/>
          <w:b/>
          <w:bCs/>
          <w:color w:val="1F497D" w:themeColor="text2"/>
          <w:sz w:val="24"/>
          <w:szCs w:val="24"/>
        </w:rPr>
        <w:t xml:space="preserve">Decentralised architecture using technologies such as DLT has </w:t>
      </w:r>
      <w:r w:rsidR="00D241C1">
        <w:rPr>
          <w:rFonts w:ascii="Times New Roman" w:hAnsi="Times New Roman" w:cs="Times New Roman"/>
          <w:b/>
          <w:bCs/>
          <w:color w:val="1F497D" w:themeColor="text2"/>
          <w:sz w:val="24"/>
          <w:szCs w:val="24"/>
        </w:rPr>
        <w:t xml:space="preserve">recently </w:t>
      </w:r>
      <w:r w:rsidRPr="00C55ACB">
        <w:rPr>
          <w:rFonts w:ascii="Times New Roman" w:hAnsi="Times New Roman" w:cs="Times New Roman"/>
          <w:b/>
          <w:bCs/>
          <w:color w:val="1F497D" w:themeColor="text2"/>
          <w:sz w:val="24"/>
          <w:szCs w:val="24"/>
        </w:rPr>
        <w:t>captured the attention of central banks.</w:t>
      </w:r>
      <w:r w:rsidRPr="00C55ACB">
        <w:rPr>
          <w:rFonts w:ascii="Times New Roman" w:hAnsi="Times New Roman" w:cs="Times New Roman"/>
          <w:b/>
          <w:bCs/>
          <w:sz w:val="24"/>
          <w:szCs w:val="24"/>
        </w:rPr>
        <w:t xml:space="preserve"> </w:t>
      </w:r>
      <w:r w:rsidRPr="00C55ACB">
        <w:rPr>
          <w:rFonts w:ascii="Times New Roman" w:hAnsi="Times New Roman" w:cs="Times New Roman"/>
          <w:bCs/>
          <w:sz w:val="24"/>
          <w:szCs w:val="24"/>
        </w:rPr>
        <w:t xml:space="preserve">In the context of payment, clearing, and settlement, DLT enables entities </w:t>
      </w:r>
      <w:r w:rsidR="00245297" w:rsidRPr="00C55ACB">
        <w:rPr>
          <w:rFonts w:ascii="Times New Roman" w:hAnsi="Times New Roman" w:cs="Times New Roman"/>
          <w:bCs/>
          <w:sz w:val="24"/>
          <w:szCs w:val="24"/>
        </w:rPr>
        <w:t>using</w:t>
      </w:r>
      <w:r w:rsidRPr="00C55ACB">
        <w:rPr>
          <w:rFonts w:ascii="Times New Roman" w:hAnsi="Times New Roman" w:cs="Times New Roman"/>
          <w:bCs/>
          <w:sz w:val="24"/>
          <w:szCs w:val="24"/>
        </w:rPr>
        <w:t xml:space="preserve"> established procedures and protocols, to carry out transactions without necessarily relying on a central authority to maintain a single “golden copy” of the ledger. </w:t>
      </w:r>
      <w:r w:rsidR="008B18C3" w:rsidRPr="00C55ACB">
        <w:rPr>
          <w:rFonts w:ascii="Times New Roman" w:hAnsi="Times New Roman" w:cs="Times New Roman"/>
          <w:bCs/>
          <w:sz w:val="24"/>
          <w:szCs w:val="24"/>
        </w:rPr>
        <w:t>The existence of distributed ledgers across network participants removes the need for reconciliation</w:t>
      </w:r>
      <w:r w:rsidR="00336BC4" w:rsidRPr="00C55ACB">
        <w:rPr>
          <w:rFonts w:ascii="Times New Roman" w:hAnsi="Times New Roman" w:cs="Times New Roman"/>
          <w:bCs/>
          <w:sz w:val="24"/>
          <w:szCs w:val="24"/>
        </w:rPr>
        <w:t xml:space="preserve"> of ledger entries and facilitates closing and reporting process</w:t>
      </w:r>
      <w:r w:rsidR="00194961">
        <w:rPr>
          <w:rFonts w:ascii="Times New Roman" w:hAnsi="Times New Roman" w:cs="Times New Roman"/>
          <w:bCs/>
          <w:sz w:val="24"/>
          <w:szCs w:val="24"/>
        </w:rPr>
        <w:t>es</w:t>
      </w:r>
      <w:r w:rsidR="00336BC4" w:rsidRPr="00C55ACB">
        <w:rPr>
          <w:rFonts w:ascii="Times New Roman" w:hAnsi="Times New Roman" w:cs="Times New Roman"/>
          <w:bCs/>
          <w:sz w:val="24"/>
          <w:szCs w:val="24"/>
        </w:rPr>
        <w:t xml:space="preserve"> as ledger entries occur in real-time</w:t>
      </w:r>
      <w:r w:rsidR="008B18C3" w:rsidRPr="00C55ACB">
        <w:rPr>
          <w:rFonts w:ascii="Times New Roman" w:hAnsi="Times New Roman" w:cs="Times New Roman"/>
          <w:bCs/>
          <w:sz w:val="24"/>
          <w:szCs w:val="24"/>
        </w:rPr>
        <w:t xml:space="preserve">. </w:t>
      </w:r>
      <w:r w:rsidR="00305EBB" w:rsidRPr="00305EBB">
        <w:rPr>
          <w:rFonts w:ascii="Times New Roman" w:hAnsi="Times New Roman" w:cs="Times New Roman"/>
          <w:bCs/>
          <w:sz w:val="24"/>
          <w:szCs w:val="24"/>
        </w:rPr>
        <w:t xml:space="preserve">A DLT-enabled wholesale CBDC </w:t>
      </w:r>
      <w:r w:rsidR="00194961">
        <w:rPr>
          <w:rFonts w:ascii="Times New Roman" w:hAnsi="Times New Roman" w:cs="Times New Roman"/>
          <w:bCs/>
          <w:sz w:val="24"/>
          <w:szCs w:val="24"/>
        </w:rPr>
        <w:t xml:space="preserve">may </w:t>
      </w:r>
      <w:r w:rsidR="00305EBB" w:rsidRPr="00305EBB">
        <w:rPr>
          <w:rFonts w:ascii="Times New Roman" w:hAnsi="Times New Roman" w:cs="Times New Roman"/>
          <w:bCs/>
          <w:sz w:val="24"/>
          <w:szCs w:val="24"/>
        </w:rPr>
        <w:t xml:space="preserve">also improve the audit process, as internal and external auditors as nodes in the network could gain full access rights to the ledger thereby further alleviating the back-office function. </w:t>
      </w:r>
      <w:r w:rsidR="00305EBB">
        <w:rPr>
          <w:rFonts w:ascii="Times New Roman" w:hAnsi="Times New Roman" w:cs="Times New Roman"/>
          <w:bCs/>
          <w:sz w:val="24"/>
          <w:szCs w:val="24"/>
        </w:rPr>
        <w:t xml:space="preserve">This architecture can </w:t>
      </w:r>
      <w:r w:rsidR="00305EBB" w:rsidRPr="00305EBB">
        <w:rPr>
          <w:rFonts w:ascii="Times New Roman" w:hAnsi="Times New Roman" w:cs="Times New Roman"/>
          <w:bCs/>
          <w:sz w:val="24"/>
          <w:szCs w:val="24"/>
        </w:rPr>
        <w:t xml:space="preserve">result in significant cost savings </w:t>
      </w:r>
      <w:r w:rsidR="00305EBB">
        <w:rPr>
          <w:rFonts w:ascii="Times New Roman" w:hAnsi="Times New Roman" w:cs="Times New Roman"/>
          <w:bCs/>
          <w:sz w:val="24"/>
          <w:szCs w:val="24"/>
        </w:rPr>
        <w:t xml:space="preserve">for </w:t>
      </w:r>
      <w:r w:rsidR="00305EBB" w:rsidRPr="00305EBB">
        <w:rPr>
          <w:rFonts w:ascii="Times New Roman" w:hAnsi="Times New Roman" w:cs="Times New Roman"/>
          <w:bCs/>
          <w:sz w:val="24"/>
          <w:szCs w:val="24"/>
        </w:rPr>
        <w:t>all participants, reduc</w:t>
      </w:r>
      <w:r w:rsidR="00305EBB">
        <w:rPr>
          <w:rFonts w:ascii="Times New Roman" w:hAnsi="Times New Roman" w:cs="Times New Roman"/>
          <w:bCs/>
          <w:sz w:val="24"/>
          <w:szCs w:val="24"/>
        </w:rPr>
        <w:t xml:space="preserve">ing operational </w:t>
      </w:r>
      <w:r w:rsidR="00305EBB" w:rsidRPr="00305EBB">
        <w:rPr>
          <w:rFonts w:ascii="Times New Roman" w:hAnsi="Times New Roman" w:cs="Times New Roman"/>
          <w:bCs/>
          <w:sz w:val="24"/>
          <w:szCs w:val="24"/>
        </w:rPr>
        <w:t>cost</w:t>
      </w:r>
      <w:r w:rsidR="00305EBB">
        <w:rPr>
          <w:rFonts w:ascii="Times New Roman" w:hAnsi="Times New Roman" w:cs="Times New Roman"/>
          <w:bCs/>
          <w:sz w:val="24"/>
          <w:szCs w:val="24"/>
        </w:rPr>
        <w:t>s</w:t>
      </w:r>
      <w:r w:rsidR="00305EBB" w:rsidRPr="00305EBB">
        <w:rPr>
          <w:rFonts w:ascii="Times New Roman" w:hAnsi="Times New Roman" w:cs="Times New Roman"/>
          <w:bCs/>
          <w:sz w:val="24"/>
          <w:szCs w:val="24"/>
        </w:rPr>
        <w:t xml:space="preserve"> and promot</w:t>
      </w:r>
      <w:r w:rsidR="00305EBB">
        <w:rPr>
          <w:rFonts w:ascii="Times New Roman" w:hAnsi="Times New Roman" w:cs="Times New Roman"/>
          <w:bCs/>
          <w:sz w:val="24"/>
          <w:szCs w:val="24"/>
        </w:rPr>
        <w:t>ing</w:t>
      </w:r>
      <w:r w:rsidR="00305EBB" w:rsidRPr="00305EBB">
        <w:rPr>
          <w:rFonts w:ascii="Times New Roman" w:hAnsi="Times New Roman" w:cs="Times New Roman"/>
          <w:bCs/>
          <w:sz w:val="24"/>
          <w:szCs w:val="24"/>
        </w:rPr>
        <w:t xml:space="preserve"> efficiencies in the system. DLT</w:t>
      </w:r>
      <w:r w:rsidR="00305EBB">
        <w:rPr>
          <w:rFonts w:ascii="Times New Roman" w:hAnsi="Times New Roman" w:cs="Times New Roman"/>
          <w:bCs/>
          <w:sz w:val="24"/>
          <w:szCs w:val="24"/>
        </w:rPr>
        <w:t>-</w:t>
      </w:r>
      <w:r w:rsidR="00305EBB" w:rsidRPr="00305EBB">
        <w:rPr>
          <w:rFonts w:ascii="Times New Roman" w:hAnsi="Times New Roman" w:cs="Times New Roman"/>
          <w:bCs/>
          <w:sz w:val="24"/>
          <w:szCs w:val="24"/>
        </w:rPr>
        <w:t xml:space="preserve">based payment systems </w:t>
      </w:r>
      <w:r w:rsidR="00305EBB">
        <w:rPr>
          <w:rFonts w:ascii="Times New Roman" w:hAnsi="Times New Roman" w:cs="Times New Roman"/>
          <w:bCs/>
          <w:sz w:val="24"/>
          <w:szCs w:val="24"/>
        </w:rPr>
        <w:t xml:space="preserve">can also </w:t>
      </w:r>
      <w:r w:rsidR="00194961">
        <w:rPr>
          <w:rFonts w:ascii="Times New Roman" w:hAnsi="Times New Roman" w:cs="Times New Roman"/>
          <w:bCs/>
          <w:sz w:val="24"/>
          <w:szCs w:val="24"/>
        </w:rPr>
        <w:t>help to</w:t>
      </w:r>
      <w:r w:rsidR="00305EBB" w:rsidRPr="00305EBB">
        <w:rPr>
          <w:rFonts w:ascii="Times New Roman" w:hAnsi="Times New Roman" w:cs="Times New Roman"/>
          <w:bCs/>
          <w:sz w:val="24"/>
          <w:szCs w:val="24"/>
        </w:rPr>
        <w:t xml:space="preserve"> reduce fees and financial statement risks as well as optimization of interbank settlement processes (IBM 2018). </w:t>
      </w:r>
      <w:r w:rsidR="00305EBB">
        <w:rPr>
          <w:rFonts w:ascii="Times New Roman" w:hAnsi="Times New Roman" w:cs="Times New Roman"/>
          <w:bCs/>
          <w:sz w:val="24"/>
          <w:szCs w:val="24"/>
        </w:rPr>
        <w:t>H</w:t>
      </w:r>
      <w:r w:rsidR="00305EBB" w:rsidRPr="00305EBB">
        <w:rPr>
          <w:rFonts w:ascii="Times New Roman" w:hAnsi="Times New Roman" w:cs="Times New Roman"/>
          <w:bCs/>
          <w:sz w:val="24"/>
          <w:szCs w:val="24"/>
        </w:rPr>
        <w:t xml:space="preserve">owever, governance of </w:t>
      </w:r>
      <w:r w:rsidR="00305EBB">
        <w:rPr>
          <w:rFonts w:ascii="Times New Roman" w:hAnsi="Times New Roman" w:cs="Times New Roman"/>
          <w:bCs/>
          <w:sz w:val="24"/>
          <w:szCs w:val="24"/>
        </w:rPr>
        <w:t xml:space="preserve">decentralized </w:t>
      </w:r>
      <w:r w:rsidR="00305EBB" w:rsidRPr="00305EBB">
        <w:rPr>
          <w:rFonts w:ascii="Times New Roman" w:hAnsi="Times New Roman" w:cs="Times New Roman"/>
          <w:bCs/>
          <w:sz w:val="24"/>
          <w:szCs w:val="24"/>
        </w:rPr>
        <w:t xml:space="preserve">systems across institutions is far more complex as are operational process such as </w:t>
      </w:r>
      <w:r w:rsidR="00305EBB">
        <w:rPr>
          <w:rFonts w:ascii="Times New Roman" w:hAnsi="Times New Roman" w:cs="Times New Roman"/>
          <w:bCs/>
          <w:sz w:val="24"/>
          <w:szCs w:val="24"/>
        </w:rPr>
        <w:t xml:space="preserve">system </w:t>
      </w:r>
      <w:r w:rsidR="00305EBB" w:rsidRPr="00305EBB">
        <w:rPr>
          <w:rFonts w:ascii="Times New Roman" w:hAnsi="Times New Roman" w:cs="Times New Roman"/>
          <w:bCs/>
          <w:sz w:val="24"/>
          <w:szCs w:val="24"/>
        </w:rPr>
        <w:t>update</w:t>
      </w:r>
      <w:r w:rsidR="00305EBB">
        <w:rPr>
          <w:rFonts w:ascii="Times New Roman" w:hAnsi="Times New Roman" w:cs="Times New Roman"/>
          <w:bCs/>
          <w:sz w:val="24"/>
          <w:szCs w:val="24"/>
        </w:rPr>
        <w:t>s</w:t>
      </w:r>
      <w:r w:rsidR="00305EBB" w:rsidRPr="00305EBB">
        <w:rPr>
          <w:rFonts w:ascii="Times New Roman" w:hAnsi="Times New Roman" w:cs="Times New Roman"/>
          <w:bCs/>
          <w:sz w:val="24"/>
          <w:szCs w:val="24"/>
        </w:rPr>
        <w:t xml:space="preserve"> </w:t>
      </w:r>
      <w:r w:rsidR="00305EBB">
        <w:rPr>
          <w:rFonts w:ascii="Times New Roman" w:hAnsi="Times New Roman" w:cs="Times New Roman"/>
          <w:bCs/>
          <w:sz w:val="24"/>
          <w:szCs w:val="24"/>
        </w:rPr>
        <w:t>and</w:t>
      </w:r>
      <w:r w:rsidR="00305EBB" w:rsidRPr="00305EBB">
        <w:rPr>
          <w:rFonts w:ascii="Times New Roman" w:hAnsi="Times New Roman" w:cs="Times New Roman"/>
          <w:bCs/>
          <w:sz w:val="24"/>
          <w:szCs w:val="24"/>
        </w:rPr>
        <w:t xml:space="preserve"> coordinating fault remedies etc.</w:t>
      </w:r>
      <w:r w:rsidR="00305EBB">
        <w:rPr>
          <w:rFonts w:ascii="Times New Roman" w:hAnsi="Times New Roman" w:cs="Times New Roman"/>
          <w:bCs/>
          <w:sz w:val="24"/>
          <w:szCs w:val="24"/>
        </w:rPr>
        <w:t xml:space="preserve"> </w:t>
      </w:r>
      <w:r w:rsidRPr="00C55ACB">
        <w:rPr>
          <w:rFonts w:ascii="Times New Roman" w:hAnsi="Times New Roman" w:cs="Times New Roman"/>
          <w:bCs/>
          <w:sz w:val="24"/>
          <w:szCs w:val="24"/>
        </w:rPr>
        <w:t xml:space="preserve">Notable </w:t>
      </w:r>
      <w:r w:rsidR="00AF405D">
        <w:rPr>
          <w:rFonts w:ascii="Times New Roman" w:hAnsi="Times New Roman" w:cs="Times New Roman"/>
          <w:bCs/>
          <w:sz w:val="24"/>
          <w:szCs w:val="24"/>
        </w:rPr>
        <w:t xml:space="preserve">recent </w:t>
      </w:r>
      <w:r w:rsidRPr="00C55ACB">
        <w:rPr>
          <w:rFonts w:ascii="Times New Roman" w:hAnsi="Times New Roman" w:cs="Times New Roman"/>
          <w:bCs/>
          <w:sz w:val="24"/>
          <w:szCs w:val="24"/>
        </w:rPr>
        <w:t>DLT</w:t>
      </w:r>
      <w:r w:rsidR="00AF405D">
        <w:rPr>
          <w:rFonts w:ascii="Times New Roman" w:hAnsi="Times New Roman" w:cs="Times New Roman"/>
          <w:bCs/>
          <w:sz w:val="24"/>
          <w:szCs w:val="24"/>
        </w:rPr>
        <w:t>-based experiments include those conducted by the</w:t>
      </w:r>
      <w:r w:rsidR="00944A51" w:rsidRPr="00C55ACB">
        <w:rPr>
          <w:rFonts w:ascii="Times New Roman" w:hAnsi="Times New Roman" w:cs="Times New Roman"/>
          <w:bCs/>
          <w:sz w:val="24"/>
          <w:szCs w:val="24"/>
        </w:rPr>
        <w:t xml:space="preserve"> European Central Bank </w:t>
      </w:r>
      <w:r w:rsidR="00245297">
        <w:rPr>
          <w:rFonts w:ascii="Times New Roman" w:hAnsi="Times New Roman" w:cs="Times New Roman"/>
          <w:bCs/>
          <w:sz w:val="24"/>
          <w:szCs w:val="24"/>
        </w:rPr>
        <w:t xml:space="preserve">(ECB) </w:t>
      </w:r>
      <w:r w:rsidR="00944A51" w:rsidRPr="00C55ACB">
        <w:rPr>
          <w:rFonts w:ascii="Times New Roman" w:hAnsi="Times New Roman" w:cs="Times New Roman"/>
          <w:bCs/>
          <w:sz w:val="24"/>
          <w:szCs w:val="24"/>
        </w:rPr>
        <w:t>and the Monetary Authority of Singapore</w:t>
      </w:r>
      <w:r w:rsidR="00245297">
        <w:rPr>
          <w:rFonts w:ascii="Times New Roman" w:hAnsi="Times New Roman" w:cs="Times New Roman"/>
          <w:bCs/>
          <w:sz w:val="24"/>
          <w:szCs w:val="24"/>
        </w:rPr>
        <w:t xml:space="preserve"> (MAS)</w:t>
      </w:r>
      <w:r w:rsidRPr="00C55ACB">
        <w:rPr>
          <w:rFonts w:ascii="Times New Roman" w:hAnsi="Times New Roman" w:cs="Times New Roman"/>
          <w:bCs/>
          <w:sz w:val="24"/>
          <w:szCs w:val="24"/>
        </w:rPr>
        <w:t>.</w:t>
      </w:r>
      <w:bookmarkEnd w:id="18"/>
      <w:r w:rsidR="00AF405D">
        <w:rPr>
          <w:rFonts w:ascii="Times New Roman" w:hAnsi="Times New Roman" w:cs="Times New Roman"/>
          <w:bCs/>
          <w:sz w:val="24"/>
          <w:szCs w:val="24"/>
        </w:rPr>
        <w:t xml:space="preserve"> Box 1 summarizes the results of DLT-based wholesale CBDC pilots conducted by the MAS and Reserve Bank of South Africa (SARB), and research on the topic by the Central Bank of Brazil.) </w:t>
      </w:r>
    </w:p>
    <w:p w14:paraId="611B7229" w14:textId="77777777" w:rsidR="00AF405D" w:rsidRPr="00C55ACB" w:rsidRDefault="00AF405D" w:rsidP="00DD71F4">
      <w:pPr>
        <w:pStyle w:val="BodyText"/>
        <w:jc w:val="both"/>
        <w:rPr>
          <w:rFonts w:ascii="Times New Roman" w:eastAsia="Batang" w:hAnsi="Times New Roman" w:cs="Times New Roman"/>
          <w:sz w:val="24"/>
          <w:szCs w:val="24"/>
        </w:rPr>
      </w:pPr>
    </w:p>
    <w:tbl>
      <w:tblPr>
        <w:tblStyle w:val="TableGrid"/>
        <w:tblW w:w="0" w:type="auto"/>
        <w:tblInd w:w="-5" w:type="dxa"/>
        <w:tblLook w:val="04A0" w:firstRow="1" w:lastRow="0" w:firstColumn="1" w:lastColumn="0" w:noHBand="0" w:noVBand="1"/>
      </w:tblPr>
      <w:tblGrid>
        <w:gridCol w:w="9540"/>
      </w:tblGrid>
      <w:tr w:rsidR="00497C70" w:rsidRPr="00CF28E8" w14:paraId="2489F9E4" w14:textId="77777777" w:rsidTr="00497C70">
        <w:tc>
          <w:tcPr>
            <w:tcW w:w="9540" w:type="dxa"/>
            <w:shd w:val="clear" w:color="auto" w:fill="244061" w:themeFill="accent1" w:themeFillShade="80"/>
          </w:tcPr>
          <w:p w14:paraId="5BD8BAFA" w14:textId="11FCBF64" w:rsidR="00497C70" w:rsidRPr="000E19A4" w:rsidRDefault="005D4E3F" w:rsidP="00DD71F4">
            <w:pPr>
              <w:tabs>
                <w:tab w:val="left" w:pos="794"/>
                <w:tab w:val="left" w:pos="1191"/>
                <w:tab w:val="left" w:pos="1588"/>
                <w:tab w:val="left" w:pos="1985"/>
              </w:tabs>
              <w:spacing w:before="0" w:after="120"/>
              <w:jc w:val="both"/>
              <w:rPr>
                <w:rFonts w:eastAsia="Batang"/>
                <w:b/>
                <w:i/>
                <w:color w:val="FFFFFF" w:themeColor="background1"/>
                <w:szCs w:val="24"/>
              </w:rPr>
            </w:pPr>
            <w:r w:rsidRPr="0078601C">
              <w:rPr>
                <w:rFonts w:eastAsia="Batang"/>
                <w:b/>
                <w:i/>
                <w:color w:val="FFFFFF" w:themeColor="background1"/>
                <w:szCs w:val="24"/>
              </w:rPr>
              <w:t xml:space="preserve">Box 1: </w:t>
            </w:r>
            <w:r w:rsidR="00497C70" w:rsidRPr="0078601C">
              <w:rPr>
                <w:rFonts w:eastAsia="Batang"/>
                <w:b/>
                <w:i/>
                <w:color w:val="FFFFFF" w:themeColor="background1"/>
                <w:szCs w:val="24"/>
              </w:rPr>
              <w:t xml:space="preserve">Select Central Bank </w:t>
            </w:r>
            <w:r w:rsidR="00D241C1">
              <w:rPr>
                <w:rFonts w:eastAsia="Batang"/>
                <w:b/>
                <w:i/>
                <w:color w:val="FFFFFF" w:themeColor="background1"/>
                <w:szCs w:val="24"/>
              </w:rPr>
              <w:t xml:space="preserve">DLT-Based Wholesale CBDC </w:t>
            </w:r>
            <w:r w:rsidR="00497C70" w:rsidRPr="0078601C">
              <w:rPr>
                <w:rFonts w:eastAsia="Batang"/>
                <w:b/>
                <w:i/>
                <w:color w:val="FFFFFF" w:themeColor="background1"/>
                <w:szCs w:val="24"/>
              </w:rPr>
              <w:t>Case Studies</w:t>
            </w:r>
            <w:r w:rsidR="00AF405D">
              <w:rPr>
                <w:rFonts w:eastAsia="Batang"/>
                <w:b/>
                <w:i/>
                <w:color w:val="FFFFFF" w:themeColor="background1"/>
                <w:szCs w:val="24"/>
              </w:rPr>
              <w:t xml:space="preserve"> and Research</w:t>
            </w:r>
          </w:p>
        </w:tc>
      </w:tr>
      <w:tr w:rsidR="00497C70" w:rsidRPr="00CF28E8" w14:paraId="3267FE84" w14:textId="77777777" w:rsidTr="00497C70">
        <w:tc>
          <w:tcPr>
            <w:tcW w:w="9540" w:type="dxa"/>
          </w:tcPr>
          <w:p w14:paraId="44C982AC" w14:textId="45213399" w:rsidR="00497C70" w:rsidRPr="000E19A4" w:rsidRDefault="00497C70" w:rsidP="00DD71F4">
            <w:pPr>
              <w:pStyle w:val="ListParagraph"/>
              <w:numPr>
                <w:ilvl w:val="0"/>
                <w:numId w:val="11"/>
              </w:numPr>
              <w:tabs>
                <w:tab w:val="left" w:pos="794"/>
                <w:tab w:val="left" w:pos="1191"/>
                <w:tab w:val="left" w:pos="1588"/>
                <w:tab w:val="left" w:pos="1985"/>
              </w:tabs>
              <w:overflowPunct w:val="0"/>
              <w:autoSpaceDE w:val="0"/>
              <w:autoSpaceDN w:val="0"/>
              <w:adjustRightInd w:val="0"/>
              <w:spacing w:after="120" w:line="264" w:lineRule="auto"/>
              <w:contextualSpacing w:val="0"/>
              <w:textAlignment w:val="baseline"/>
              <w:rPr>
                <w:rFonts w:ascii="Times New Roman" w:eastAsia="Batang" w:hAnsi="Times New Roman" w:cs="Times New Roman"/>
                <w:sz w:val="24"/>
                <w:szCs w:val="24"/>
              </w:rPr>
            </w:pPr>
            <w:r w:rsidRPr="00CF28E8">
              <w:rPr>
                <w:rFonts w:ascii="Times New Roman" w:eastAsia="Batang" w:hAnsi="Times New Roman" w:cs="Times New Roman"/>
                <w:b/>
                <w:i/>
                <w:color w:val="244061" w:themeColor="accent1" w:themeShade="80"/>
                <w:sz w:val="24"/>
                <w:szCs w:val="24"/>
              </w:rPr>
              <w:t>Project Ubin (Monetary Authority of Singapore - MAS)</w:t>
            </w:r>
            <w:r w:rsidRPr="00CF28E8">
              <w:rPr>
                <w:rFonts w:ascii="Times New Roman" w:eastAsia="Batang" w:hAnsi="Times New Roman" w:cs="Times New Roman"/>
                <w:sz w:val="24"/>
                <w:szCs w:val="24"/>
              </w:rPr>
              <w:t xml:space="preserve">: The </w:t>
            </w:r>
            <w:r w:rsidR="004728DC" w:rsidRPr="00CF28E8">
              <w:rPr>
                <w:rFonts w:ascii="Times New Roman" w:eastAsia="Batang" w:hAnsi="Times New Roman" w:cs="Times New Roman"/>
                <w:sz w:val="24"/>
                <w:szCs w:val="24"/>
              </w:rPr>
              <w:t>p</w:t>
            </w:r>
            <w:r w:rsidRPr="00CF28E8">
              <w:rPr>
                <w:rFonts w:ascii="Times New Roman" w:eastAsia="Batang" w:hAnsi="Times New Roman" w:cs="Times New Roman"/>
                <w:sz w:val="24"/>
                <w:szCs w:val="24"/>
              </w:rPr>
              <w:t>roject concluded that multiple work-stream designs adopted for the pilot study have successfully demonstrated the feasibility of removing a central infrastructure operator in a DLT</w:t>
            </w:r>
            <w:r w:rsidR="0077075C">
              <w:rPr>
                <w:rFonts w:ascii="Times New Roman" w:eastAsia="Batang" w:hAnsi="Times New Roman" w:cs="Times New Roman"/>
                <w:sz w:val="24"/>
                <w:szCs w:val="24"/>
              </w:rPr>
              <w:t>-</w:t>
            </w:r>
            <w:r w:rsidRPr="00252651">
              <w:rPr>
                <w:rFonts w:ascii="Times New Roman" w:eastAsia="Batang" w:hAnsi="Times New Roman" w:cs="Times New Roman"/>
                <w:sz w:val="24"/>
                <w:szCs w:val="24"/>
              </w:rPr>
              <w:t xml:space="preserve">based RTGS system. </w:t>
            </w:r>
            <w:r w:rsidR="0077075C">
              <w:rPr>
                <w:rFonts w:ascii="Times New Roman" w:eastAsia="Batang" w:hAnsi="Times New Roman" w:cs="Times New Roman"/>
                <w:sz w:val="24"/>
                <w:szCs w:val="24"/>
              </w:rPr>
              <w:t xml:space="preserve">Given </w:t>
            </w:r>
            <w:r w:rsidR="004A4D58">
              <w:rPr>
                <w:rFonts w:ascii="Times New Roman" w:eastAsia="Batang" w:hAnsi="Times New Roman" w:cs="Times New Roman"/>
                <w:sz w:val="24"/>
                <w:szCs w:val="24"/>
              </w:rPr>
              <w:t>the system’s feasibility, t</w:t>
            </w:r>
            <w:r w:rsidRPr="00252651">
              <w:rPr>
                <w:rFonts w:ascii="Times New Roman" w:eastAsia="Batang" w:hAnsi="Times New Roman" w:cs="Times New Roman"/>
                <w:sz w:val="24"/>
                <w:szCs w:val="24"/>
              </w:rPr>
              <w:t xml:space="preserve">he </w:t>
            </w:r>
            <w:r w:rsidR="004728DC" w:rsidRPr="00252651">
              <w:rPr>
                <w:rFonts w:ascii="Times New Roman" w:eastAsia="Batang" w:hAnsi="Times New Roman" w:cs="Times New Roman"/>
                <w:sz w:val="24"/>
                <w:szCs w:val="24"/>
              </w:rPr>
              <w:t>p</w:t>
            </w:r>
            <w:r w:rsidRPr="00252651">
              <w:rPr>
                <w:rFonts w:ascii="Times New Roman" w:eastAsia="Batang" w:hAnsi="Times New Roman" w:cs="Times New Roman"/>
                <w:sz w:val="24"/>
                <w:szCs w:val="24"/>
              </w:rPr>
              <w:t>roject concluded that</w:t>
            </w:r>
            <w:r w:rsidRPr="0093235C">
              <w:rPr>
                <w:rFonts w:ascii="Times New Roman" w:eastAsia="Batang" w:hAnsi="Times New Roman" w:cs="Times New Roman"/>
                <w:sz w:val="24"/>
                <w:szCs w:val="24"/>
              </w:rPr>
              <w:t xml:space="preserve"> the role of MAS as an infrastructure operator in facilitating interbank payments needs to be re-evaluated (MAS 2017).</w:t>
            </w:r>
          </w:p>
          <w:p w14:paraId="777D260E" w14:textId="35A6FBA3" w:rsidR="00497C70" w:rsidRPr="000E19A4" w:rsidRDefault="00497C70" w:rsidP="00DD71F4">
            <w:pPr>
              <w:pStyle w:val="ListParagraph"/>
              <w:numPr>
                <w:ilvl w:val="0"/>
                <w:numId w:val="11"/>
              </w:numPr>
              <w:tabs>
                <w:tab w:val="left" w:pos="794"/>
                <w:tab w:val="left" w:pos="1191"/>
                <w:tab w:val="left" w:pos="1588"/>
                <w:tab w:val="left" w:pos="1985"/>
              </w:tabs>
              <w:overflowPunct w:val="0"/>
              <w:autoSpaceDE w:val="0"/>
              <w:autoSpaceDN w:val="0"/>
              <w:adjustRightInd w:val="0"/>
              <w:spacing w:after="120" w:line="264" w:lineRule="auto"/>
              <w:contextualSpacing w:val="0"/>
              <w:textAlignment w:val="baseline"/>
              <w:rPr>
                <w:rFonts w:ascii="Times New Roman" w:eastAsia="Batang" w:hAnsi="Times New Roman" w:cs="Times New Roman"/>
                <w:sz w:val="24"/>
                <w:szCs w:val="24"/>
              </w:rPr>
            </w:pPr>
            <w:r w:rsidRPr="00CF28E8">
              <w:rPr>
                <w:rFonts w:ascii="Times New Roman" w:eastAsia="Batang" w:hAnsi="Times New Roman" w:cs="Times New Roman"/>
                <w:b/>
                <w:i/>
                <w:color w:val="244061" w:themeColor="accent1" w:themeShade="80"/>
                <w:sz w:val="24"/>
                <w:szCs w:val="24"/>
              </w:rPr>
              <w:t xml:space="preserve">Central Bank of Brazil Staff Research Paper (Burgos et al, 2017): </w:t>
            </w:r>
            <w:r w:rsidRPr="00CF28E8">
              <w:rPr>
                <w:rFonts w:ascii="Times New Roman" w:eastAsia="Batang" w:hAnsi="Times New Roman" w:cs="Times New Roman"/>
                <w:sz w:val="24"/>
                <w:szCs w:val="24"/>
              </w:rPr>
              <w:t xml:space="preserve">The </w:t>
            </w:r>
            <w:r w:rsidR="004728DC" w:rsidRPr="00CF28E8">
              <w:rPr>
                <w:rFonts w:ascii="Times New Roman" w:eastAsia="Batang" w:hAnsi="Times New Roman" w:cs="Times New Roman"/>
                <w:sz w:val="24"/>
                <w:szCs w:val="24"/>
              </w:rPr>
              <w:t>p</w:t>
            </w:r>
            <w:r w:rsidRPr="00CF28E8">
              <w:rPr>
                <w:rFonts w:ascii="Times New Roman" w:eastAsia="Batang" w:hAnsi="Times New Roman" w:cs="Times New Roman"/>
                <w:sz w:val="24"/>
                <w:szCs w:val="24"/>
              </w:rPr>
              <w:t xml:space="preserve">aper </w:t>
            </w:r>
            <w:r w:rsidR="004A4D58" w:rsidRPr="00CF28E8">
              <w:rPr>
                <w:rFonts w:ascii="Times New Roman" w:eastAsia="Batang" w:hAnsi="Times New Roman" w:cs="Times New Roman"/>
                <w:sz w:val="24"/>
                <w:szCs w:val="24"/>
              </w:rPr>
              <w:t>analy</w:t>
            </w:r>
            <w:r w:rsidR="004A4D58">
              <w:rPr>
                <w:rFonts w:ascii="Times New Roman" w:eastAsia="Batang" w:hAnsi="Times New Roman" w:cs="Times New Roman"/>
                <w:sz w:val="24"/>
                <w:szCs w:val="24"/>
              </w:rPr>
              <w:t>sed</w:t>
            </w:r>
            <w:r w:rsidRPr="00252651">
              <w:rPr>
                <w:rFonts w:ascii="Times New Roman" w:eastAsia="Batang" w:hAnsi="Times New Roman" w:cs="Times New Roman"/>
                <w:sz w:val="24"/>
                <w:szCs w:val="24"/>
              </w:rPr>
              <w:t xml:space="preserve"> different DLT platforms in the context of local inter-bank payment and settlement systems (SALT). The </w:t>
            </w:r>
            <w:r w:rsidR="004A4D58">
              <w:rPr>
                <w:rFonts w:ascii="Times New Roman" w:eastAsia="Batang" w:hAnsi="Times New Roman" w:cs="Times New Roman"/>
                <w:sz w:val="24"/>
                <w:szCs w:val="24"/>
              </w:rPr>
              <w:t>p</w:t>
            </w:r>
            <w:r w:rsidRPr="00252651">
              <w:rPr>
                <w:rFonts w:ascii="Times New Roman" w:eastAsia="Batang" w:hAnsi="Times New Roman" w:cs="Times New Roman"/>
                <w:sz w:val="24"/>
                <w:szCs w:val="24"/>
              </w:rPr>
              <w:t xml:space="preserve">roject </w:t>
            </w:r>
            <w:r w:rsidR="004A4D58">
              <w:rPr>
                <w:rFonts w:ascii="Times New Roman" w:eastAsia="Batang" w:hAnsi="Times New Roman" w:cs="Times New Roman"/>
                <w:sz w:val="24"/>
                <w:szCs w:val="24"/>
              </w:rPr>
              <w:t>suggested</w:t>
            </w:r>
            <w:r w:rsidRPr="00252651">
              <w:rPr>
                <w:rFonts w:ascii="Times New Roman" w:eastAsia="Batang" w:hAnsi="Times New Roman" w:cs="Times New Roman"/>
                <w:sz w:val="24"/>
                <w:szCs w:val="24"/>
              </w:rPr>
              <w:t xml:space="preserve"> install</w:t>
            </w:r>
            <w:r w:rsidR="004A4D58">
              <w:rPr>
                <w:rFonts w:ascii="Times New Roman" w:eastAsia="Batang" w:hAnsi="Times New Roman" w:cs="Times New Roman"/>
                <w:sz w:val="24"/>
                <w:szCs w:val="24"/>
              </w:rPr>
              <w:t>ing</w:t>
            </w:r>
            <w:r w:rsidRPr="00252651">
              <w:rPr>
                <w:rFonts w:ascii="Times New Roman" w:eastAsia="Batang" w:hAnsi="Times New Roman" w:cs="Times New Roman"/>
                <w:sz w:val="24"/>
                <w:szCs w:val="24"/>
              </w:rPr>
              <w:t xml:space="preserve"> </w:t>
            </w:r>
            <w:r w:rsidR="004A4D58">
              <w:rPr>
                <w:rFonts w:ascii="Times New Roman" w:eastAsia="Batang" w:hAnsi="Times New Roman" w:cs="Times New Roman"/>
                <w:sz w:val="24"/>
                <w:szCs w:val="24"/>
              </w:rPr>
              <w:t>a</w:t>
            </w:r>
            <w:r w:rsidR="004A4D58" w:rsidRPr="00252651">
              <w:rPr>
                <w:rFonts w:ascii="Times New Roman" w:eastAsia="Batang" w:hAnsi="Times New Roman" w:cs="Times New Roman"/>
                <w:sz w:val="24"/>
                <w:szCs w:val="24"/>
              </w:rPr>
              <w:t xml:space="preserve"> </w:t>
            </w:r>
            <w:r w:rsidRPr="00252651">
              <w:rPr>
                <w:rFonts w:ascii="Times New Roman" w:eastAsia="Batang" w:hAnsi="Times New Roman" w:cs="Times New Roman"/>
                <w:sz w:val="24"/>
                <w:szCs w:val="24"/>
              </w:rPr>
              <w:t>DLT</w:t>
            </w:r>
            <w:r w:rsidR="004A4D58">
              <w:rPr>
                <w:rFonts w:ascii="Times New Roman" w:eastAsia="Batang" w:hAnsi="Times New Roman" w:cs="Times New Roman"/>
                <w:sz w:val="24"/>
                <w:szCs w:val="24"/>
              </w:rPr>
              <w:t>-</w:t>
            </w:r>
            <w:r w:rsidRPr="0093235C">
              <w:rPr>
                <w:rFonts w:ascii="Times New Roman" w:eastAsia="Batang" w:hAnsi="Times New Roman" w:cs="Times New Roman"/>
                <w:sz w:val="24"/>
                <w:szCs w:val="24"/>
              </w:rPr>
              <w:t>based system, without involving any DFC, as a backup to the “normal payments infrastructure”. The project concluded that while DLT enabled payment systems could be inherently resilient, there are still certain unresolved issues relating to data transparency, privac</w:t>
            </w:r>
            <w:r w:rsidRPr="00CF28E8">
              <w:rPr>
                <w:rFonts w:ascii="Times New Roman" w:eastAsia="Batang" w:hAnsi="Times New Roman" w:cs="Times New Roman"/>
                <w:sz w:val="24"/>
                <w:szCs w:val="24"/>
              </w:rPr>
              <w:t xml:space="preserve">y, settlement finality in certain DLT platforms. </w:t>
            </w:r>
          </w:p>
          <w:p w14:paraId="3E61362C" w14:textId="62E7822B" w:rsidR="00497C70" w:rsidRPr="000E19A4" w:rsidRDefault="00497C70" w:rsidP="00DD71F4">
            <w:pPr>
              <w:pStyle w:val="ListParagraph"/>
              <w:numPr>
                <w:ilvl w:val="0"/>
                <w:numId w:val="11"/>
              </w:numPr>
              <w:tabs>
                <w:tab w:val="left" w:pos="794"/>
                <w:tab w:val="left" w:pos="1191"/>
                <w:tab w:val="left" w:pos="1588"/>
                <w:tab w:val="left" w:pos="1985"/>
              </w:tabs>
              <w:overflowPunct w:val="0"/>
              <w:autoSpaceDE w:val="0"/>
              <w:autoSpaceDN w:val="0"/>
              <w:adjustRightInd w:val="0"/>
              <w:spacing w:after="120" w:line="264" w:lineRule="auto"/>
              <w:contextualSpacing w:val="0"/>
              <w:textAlignment w:val="baseline"/>
              <w:rPr>
                <w:rFonts w:ascii="Times New Roman" w:eastAsia="Batang" w:hAnsi="Times New Roman" w:cs="Times New Roman"/>
                <w:sz w:val="24"/>
                <w:szCs w:val="24"/>
              </w:rPr>
            </w:pPr>
            <w:r w:rsidRPr="00CF28E8">
              <w:rPr>
                <w:rFonts w:ascii="Times New Roman" w:eastAsia="Batang" w:hAnsi="Times New Roman" w:cs="Times New Roman"/>
                <w:b/>
                <w:i/>
                <w:color w:val="244061" w:themeColor="accent1" w:themeShade="80"/>
                <w:sz w:val="24"/>
                <w:szCs w:val="24"/>
              </w:rPr>
              <w:t>Project Khokha by South African Reserve Bank (SARB)</w:t>
            </w:r>
            <w:r w:rsidRPr="00CF28E8">
              <w:rPr>
                <w:rFonts w:ascii="Times New Roman" w:eastAsia="Batang" w:hAnsi="Times New Roman" w:cs="Times New Roman"/>
                <w:sz w:val="24"/>
                <w:szCs w:val="24"/>
              </w:rPr>
              <w:t xml:space="preserve"> had shown that it is technically feasible to process wholesale payments between participants in a decentralized manner with full visibility to the central bank from an operational perspective (</w:t>
            </w:r>
            <w:r w:rsidRPr="00CF28E8">
              <w:rPr>
                <w:rFonts w:ascii="Times New Roman" w:eastAsia="Batang" w:hAnsi="Times New Roman" w:cs="Times New Roman"/>
                <w:b/>
                <w:i/>
                <w:color w:val="244061" w:themeColor="accent1" w:themeShade="80"/>
                <w:sz w:val="24"/>
                <w:szCs w:val="24"/>
              </w:rPr>
              <w:t>SARB 2018</w:t>
            </w:r>
            <w:r w:rsidRPr="00CF28E8">
              <w:rPr>
                <w:rFonts w:ascii="Times New Roman" w:eastAsia="Batang" w:hAnsi="Times New Roman" w:cs="Times New Roman"/>
                <w:sz w:val="24"/>
                <w:szCs w:val="24"/>
              </w:rPr>
              <w:t xml:space="preserve">). </w:t>
            </w:r>
          </w:p>
        </w:tc>
      </w:tr>
    </w:tbl>
    <w:p w14:paraId="5A9BE132" w14:textId="79FA2F1A" w:rsidR="00497C70" w:rsidRDefault="00497C70" w:rsidP="00DD71F4">
      <w:pPr>
        <w:tabs>
          <w:tab w:val="left" w:pos="794"/>
          <w:tab w:val="left" w:pos="1191"/>
          <w:tab w:val="left" w:pos="1588"/>
          <w:tab w:val="left" w:pos="1985"/>
        </w:tabs>
        <w:spacing w:before="0"/>
        <w:jc w:val="both"/>
        <w:rPr>
          <w:rFonts w:eastAsia="Batang"/>
          <w:szCs w:val="24"/>
        </w:rPr>
      </w:pPr>
    </w:p>
    <w:p w14:paraId="3AF563C8" w14:textId="77777777" w:rsidR="002E5911" w:rsidRPr="00C55ACB" w:rsidRDefault="002E5911" w:rsidP="00DD71F4">
      <w:pPr>
        <w:pStyle w:val="BodyText"/>
        <w:spacing w:line="264" w:lineRule="auto"/>
        <w:jc w:val="both"/>
        <w:rPr>
          <w:iCs/>
          <w:szCs w:val="24"/>
          <w:lang w:eastAsia="ja-JP"/>
        </w:rPr>
      </w:pPr>
      <w:bookmarkStart w:id="19" w:name="_Toc9950994"/>
      <w:r w:rsidRPr="00D241C1">
        <w:rPr>
          <w:rFonts w:ascii="Times New Roman" w:hAnsi="Times New Roman" w:cs="Times New Roman"/>
          <w:b/>
          <w:bCs/>
          <w:color w:val="1F497D" w:themeColor="text2"/>
          <w:sz w:val="24"/>
          <w:szCs w:val="24"/>
        </w:rPr>
        <w:t xml:space="preserve">DLT arrangements for DFC can be designed in </w:t>
      </w:r>
      <w:r w:rsidRPr="00BF191B">
        <w:rPr>
          <w:rFonts w:ascii="Times New Roman" w:hAnsi="Times New Roman" w:cs="Times New Roman"/>
          <w:b/>
          <w:bCs/>
          <w:color w:val="1F497D" w:themeColor="text2"/>
          <w:sz w:val="24"/>
          <w:szCs w:val="24"/>
        </w:rPr>
        <w:t>several</w:t>
      </w:r>
      <w:r w:rsidRPr="00D241C1">
        <w:rPr>
          <w:rFonts w:ascii="Times New Roman" w:hAnsi="Times New Roman" w:cs="Times New Roman"/>
          <w:b/>
          <w:bCs/>
          <w:color w:val="1F497D" w:themeColor="text2"/>
          <w:sz w:val="24"/>
          <w:szCs w:val="24"/>
        </w:rPr>
        <w:t xml:space="preserve"> ways and can support some</w:t>
      </w:r>
      <w:r w:rsidR="00925A2E">
        <w:rPr>
          <w:rFonts w:ascii="Times New Roman" w:hAnsi="Times New Roman" w:cs="Times New Roman"/>
          <w:b/>
          <w:bCs/>
          <w:color w:val="1F497D" w:themeColor="text2"/>
          <w:sz w:val="24"/>
          <w:szCs w:val="24"/>
        </w:rPr>
        <w:t>,</w:t>
      </w:r>
      <w:r w:rsidRPr="00D241C1">
        <w:rPr>
          <w:rFonts w:ascii="Times New Roman" w:hAnsi="Times New Roman" w:cs="Times New Roman"/>
          <w:b/>
          <w:bCs/>
          <w:color w:val="1F497D" w:themeColor="text2"/>
          <w:sz w:val="24"/>
          <w:szCs w:val="24"/>
        </w:rPr>
        <w:t xml:space="preserve"> or all parts of a transaction flow</w:t>
      </w:r>
      <w:r w:rsidRPr="00D241C1">
        <w:rPr>
          <w:rFonts w:ascii="Times New Roman" w:hAnsi="Times New Roman" w:cs="Times New Roman"/>
          <w:b/>
          <w:bCs/>
          <w:sz w:val="24"/>
          <w:szCs w:val="24"/>
        </w:rPr>
        <w:t xml:space="preserve">. </w:t>
      </w:r>
      <w:r w:rsidRPr="00BF191B">
        <w:rPr>
          <w:rFonts w:ascii="Times New Roman" w:hAnsi="Times New Roman" w:cs="Times New Roman"/>
          <w:bCs/>
          <w:sz w:val="24"/>
          <w:szCs w:val="24"/>
        </w:rPr>
        <w:t>There are</w:t>
      </w:r>
      <w:r w:rsidRPr="00D241C1">
        <w:rPr>
          <w:rFonts w:ascii="Times New Roman" w:hAnsi="Times New Roman" w:cs="Times New Roman"/>
          <w:bCs/>
          <w:sz w:val="24"/>
          <w:szCs w:val="24"/>
        </w:rPr>
        <w:t xml:space="preserve"> various technical and institutional design considerations in this context</w:t>
      </w:r>
      <w:r w:rsidRPr="00BF191B">
        <w:rPr>
          <w:rFonts w:ascii="Times New Roman" w:hAnsi="Times New Roman" w:cs="Times New Roman"/>
          <w:bCs/>
          <w:sz w:val="24"/>
          <w:szCs w:val="24"/>
        </w:rPr>
        <w:t>.</w:t>
      </w:r>
      <w:bookmarkEnd w:id="19"/>
      <w:r>
        <w:rPr>
          <w:rFonts w:ascii="Times New Roman" w:hAnsi="Times New Roman" w:cs="Times New Roman"/>
          <w:sz w:val="24"/>
          <w:szCs w:val="24"/>
        </w:rPr>
        <w:t xml:space="preserve"> </w:t>
      </w:r>
      <w:r w:rsidRPr="0078601C">
        <w:rPr>
          <w:rFonts w:ascii="Times New Roman" w:hAnsi="Times New Roman" w:cs="Times New Roman"/>
          <w:sz w:val="24"/>
          <w:szCs w:val="24"/>
        </w:rPr>
        <w:t xml:space="preserve">Technical design typically involves concepts that specify the information to be kept on the ledger and how the ledger is to be updated. Choices in the context of ledger maintenance include maintaining either a history of all transactions or a set of account balances. </w:t>
      </w:r>
      <w:r>
        <w:rPr>
          <w:rFonts w:ascii="Times New Roman" w:hAnsi="Times New Roman" w:cs="Times New Roman"/>
          <w:sz w:val="24"/>
          <w:szCs w:val="24"/>
        </w:rPr>
        <w:t>Options for</w:t>
      </w:r>
      <w:r w:rsidRPr="0078601C">
        <w:rPr>
          <w:rFonts w:ascii="Times New Roman" w:hAnsi="Times New Roman" w:cs="Times New Roman"/>
          <w:sz w:val="24"/>
          <w:szCs w:val="24"/>
        </w:rPr>
        <w:t xml:space="preserve"> updating the ledger depend upon the number of </w:t>
      </w:r>
      <w:r>
        <w:rPr>
          <w:rFonts w:ascii="Times New Roman" w:hAnsi="Times New Roman" w:cs="Times New Roman"/>
          <w:sz w:val="24"/>
          <w:szCs w:val="24"/>
        </w:rPr>
        <w:t xml:space="preserve">communication </w:t>
      </w:r>
      <w:r w:rsidRPr="0078601C">
        <w:rPr>
          <w:rFonts w:ascii="Times New Roman" w:hAnsi="Times New Roman" w:cs="Times New Roman"/>
          <w:sz w:val="24"/>
          <w:szCs w:val="24"/>
        </w:rPr>
        <w:t xml:space="preserve">protocols between nodes </w:t>
      </w:r>
      <w:r>
        <w:rPr>
          <w:rFonts w:ascii="Times New Roman" w:hAnsi="Times New Roman" w:cs="Times New Roman"/>
          <w:sz w:val="24"/>
          <w:szCs w:val="24"/>
        </w:rPr>
        <w:t xml:space="preserve">that </w:t>
      </w:r>
      <w:r w:rsidRPr="0078601C">
        <w:rPr>
          <w:rFonts w:ascii="Times New Roman" w:hAnsi="Times New Roman" w:cs="Times New Roman"/>
          <w:sz w:val="24"/>
          <w:szCs w:val="24"/>
        </w:rPr>
        <w:t>facilitat</w:t>
      </w:r>
      <w:r>
        <w:rPr>
          <w:rFonts w:ascii="Times New Roman" w:hAnsi="Times New Roman" w:cs="Times New Roman"/>
          <w:sz w:val="24"/>
          <w:szCs w:val="24"/>
        </w:rPr>
        <w:t>e</w:t>
      </w:r>
      <w:r w:rsidRPr="0078601C">
        <w:rPr>
          <w:rFonts w:ascii="Times New Roman" w:hAnsi="Times New Roman" w:cs="Times New Roman"/>
          <w:sz w:val="24"/>
          <w:szCs w:val="24"/>
        </w:rPr>
        <w:t xml:space="preserve"> consensus </w:t>
      </w:r>
      <w:r>
        <w:rPr>
          <w:rFonts w:ascii="Times New Roman" w:hAnsi="Times New Roman" w:cs="Times New Roman"/>
          <w:sz w:val="24"/>
          <w:szCs w:val="24"/>
        </w:rPr>
        <w:t>in the network</w:t>
      </w:r>
      <w:r w:rsidRPr="0078601C">
        <w:rPr>
          <w:rFonts w:ascii="Times New Roman" w:hAnsi="Times New Roman" w:cs="Times New Roman"/>
          <w:sz w:val="24"/>
          <w:szCs w:val="24"/>
        </w:rPr>
        <w:t xml:space="preserve"> about the current state of the ledger as well as its historical record</w:t>
      </w:r>
      <w:r>
        <w:rPr>
          <w:rFonts w:ascii="Times New Roman" w:hAnsi="Times New Roman" w:cs="Times New Roman"/>
          <w:sz w:val="24"/>
          <w:szCs w:val="24"/>
        </w:rPr>
        <w:t xml:space="preserve"> (BIS, 2017). </w:t>
      </w:r>
      <w:r w:rsidRPr="00252651">
        <w:rPr>
          <w:rFonts w:ascii="Times New Roman" w:hAnsi="Times New Roman" w:cs="Times New Roman"/>
          <w:sz w:val="24"/>
          <w:szCs w:val="24"/>
        </w:rPr>
        <w:t xml:space="preserve">Institutional design considerations typically involve </w:t>
      </w:r>
      <w:r>
        <w:rPr>
          <w:rFonts w:ascii="Times New Roman" w:hAnsi="Times New Roman" w:cs="Times New Roman"/>
          <w:sz w:val="24"/>
          <w:szCs w:val="24"/>
        </w:rPr>
        <w:t xml:space="preserve">governance </w:t>
      </w:r>
      <w:r w:rsidRPr="00252651">
        <w:rPr>
          <w:rFonts w:ascii="Times New Roman" w:hAnsi="Times New Roman" w:cs="Times New Roman"/>
          <w:sz w:val="24"/>
          <w:szCs w:val="24"/>
        </w:rPr>
        <w:t xml:space="preserve">decisions regarding </w:t>
      </w:r>
      <w:r>
        <w:rPr>
          <w:rFonts w:ascii="Times New Roman" w:hAnsi="Times New Roman" w:cs="Times New Roman"/>
          <w:sz w:val="24"/>
          <w:szCs w:val="24"/>
        </w:rPr>
        <w:t>the roles and responsibilities of actors in the</w:t>
      </w:r>
      <w:r w:rsidRPr="00252651">
        <w:rPr>
          <w:rFonts w:ascii="Times New Roman" w:hAnsi="Times New Roman" w:cs="Times New Roman"/>
          <w:sz w:val="24"/>
          <w:szCs w:val="24"/>
        </w:rPr>
        <w:t xml:space="preserve"> operation of and access to the arrangement.</w:t>
      </w:r>
      <w:bookmarkStart w:id="20" w:name="_Toc11298061"/>
      <w:bookmarkStart w:id="21" w:name="_Toc11298379"/>
      <w:bookmarkEnd w:id="20"/>
      <w:bookmarkEnd w:id="21"/>
    </w:p>
    <w:p w14:paraId="0DEDE9E4" w14:textId="6EF81C3C" w:rsidR="002E5911" w:rsidRPr="002E5911" w:rsidRDefault="002E5911" w:rsidP="00DD71F4">
      <w:pPr>
        <w:pStyle w:val="BodyText"/>
        <w:spacing w:line="264" w:lineRule="auto"/>
        <w:jc w:val="both"/>
        <w:rPr>
          <w:rFonts w:cs="Times New Roman"/>
          <w:iCs/>
          <w:szCs w:val="24"/>
        </w:rPr>
      </w:pPr>
      <w:bookmarkStart w:id="22" w:name="_Toc9950997"/>
      <w:r w:rsidRPr="00C55ACB">
        <w:rPr>
          <w:rFonts w:ascii="Times New Roman" w:hAnsi="Times New Roman" w:cs="Times New Roman"/>
          <w:b/>
          <w:bCs/>
          <w:color w:val="1F497D" w:themeColor="text2"/>
          <w:sz w:val="24"/>
          <w:szCs w:val="24"/>
        </w:rPr>
        <w:t>Alternative technology arrangements for DFCs, such as distributed concurrence ledgers, are also emerging in recent times, with different design considerations.</w:t>
      </w:r>
      <w:r w:rsidRPr="00C55ACB">
        <w:rPr>
          <w:rFonts w:ascii="Times New Roman" w:hAnsi="Times New Roman" w:cs="Times New Roman"/>
          <w:b/>
          <w:bCs/>
          <w:i/>
          <w:color w:val="1F497D" w:themeColor="text2"/>
          <w:sz w:val="24"/>
          <w:szCs w:val="24"/>
        </w:rPr>
        <w:t xml:space="preserve"> </w:t>
      </w:r>
      <w:r w:rsidRPr="00C55ACB">
        <w:rPr>
          <w:rFonts w:ascii="Times New Roman" w:hAnsi="Times New Roman" w:cs="Times New Roman"/>
          <w:bCs/>
          <w:iCs/>
          <w:sz w:val="24"/>
          <w:szCs w:val="24"/>
        </w:rPr>
        <w:t>These ledgers are designed in such a way that transaction processing is handled privately between only the actual counterparties to the transaction (instead of updating of ledger with involvement of all participating nodes as envisaged in a DLT arrangement (Disledger, 2017).</w:t>
      </w:r>
      <w:bookmarkEnd w:id="22"/>
    </w:p>
    <w:p w14:paraId="291B33CD" w14:textId="77777777" w:rsidR="00497C70" w:rsidRPr="00252651" w:rsidRDefault="005D4E3F" w:rsidP="00DD71F4">
      <w:pPr>
        <w:pStyle w:val="Heading2"/>
        <w:tabs>
          <w:tab w:val="clear" w:pos="3978"/>
          <w:tab w:val="num" w:pos="284"/>
        </w:tabs>
        <w:spacing w:after="120" w:line="264" w:lineRule="auto"/>
        <w:ind w:left="426" w:hanging="426"/>
        <w:jc w:val="both"/>
        <w:rPr>
          <w:rFonts w:cs="Times New Roman"/>
          <w:color w:val="1F497D" w:themeColor="text2"/>
          <w:szCs w:val="24"/>
        </w:rPr>
      </w:pPr>
      <w:bookmarkStart w:id="23" w:name="_Toc14190266"/>
      <w:r w:rsidRPr="00C55ACB">
        <w:rPr>
          <w:rFonts w:cs="Times New Roman"/>
          <w:color w:val="1F497D" w:themeColor="text2"/>
          <w:szCs w:val="24"/>
        </w:rPr>
        <w:t xml:space="preserve">Efficiency of </w:t>
      </w:r>
      <w:r w:rsidR="004A597D">
        <w:rPr>
          <w:rFonts w:cs="Times New Roman"/>
          <w:color w:val="1F497D" w:themeColor="text2"/>
          <w:szCs w:val="24"/>
        </w:rPr>
        <w:t>CBDC W</w:t>
      </w:r>
      <w:r w:rsidRPr="00252651">
        <w:rPr>
          <w:rFonts w:cs="Times New Roman"/>
          <w:color w:val="1F497D" w:themeColor="text2"/>
          <w:szCs w:val="24"/>
        </w:rPr>
        <w:t>hole</w:t>
      </w:r>
      <w:r w:rsidR="00497C70" w:rsidRPr="00252651">
        <w:rPr>
          <w:rFonts w:cs="Times New Roman"/>
          <w:color w:val="1F497D" w:themeColor="text2"/>
          <w:szCs w:val="24"/>
        </w:rPr>
        <w:t xml:space="preserve">sale </w:t>
      </w:r>
      <w:r w:rsidR="004A597D">
        <w:rPr>
          <w:rFonts w:cs="Times New Roman"/>
          <w:color w:val="1F497D" w:themeColor="text2"/>
          <w:szCs w:val="24"/>
        </w:rPr>
        <w:t>P</w:t>
      </w:r>
      <w:r w:rsidR="00497C70" w:rsidRPr="00252651">
        <w:rPr>
          <w:rFonts w:cs="Times New Roman"/>
          <w:color w:val="1F497D" w:themeColor="text2"/>
          <w:szCs w:val="24"/>
        </w:rPr>
        <w:t xml:space="preserve">ayment </w:t>
      </w:r>
      <w:r w:rsidR="004A597D">
        <w:rPr>
          <w:rFonts w:cs="Times New Roman"/>
          <w:color w:val="1F497D" w:themeColor="text2"/>
          <w:szCs w:val="24"/>
        </w:rPr>
        <w:t>S</w:t>
      </w:r>
      <w:r w:rsidR="00497C70" w:rsidRPr="00252651">
        <w:rPr>
          <w:rFonts w:cs="Times New Roman"/>
          <w:color w:val="1F497D" w:themeColor="text2"/>
          <w:szCs w:val="24"/>
        </w:rPr>
        <w:t>ystems</w:t>
      </w:r>
      <w:bookmarkEnd w:id="23"/>
    </w:p>
    <w:p w14:paraId="5664C8B8" w14:textId="4F2F0506" w:rsidR="00497C70" w:rsidRPr="0060119B" w:rsidRDefault="004A597D" w:rsidP="00DD71F4">
      <w:pPr>
        <w:pStyle w:val="BodyText"/>
        <w:spacing w:line="264" w:lineRule="auto"/>
        <w:jc w:val="both"/>
        <w:rPr>
          <w:b/>
          <w:szCs w:val="24"/>
        </w:rPr>
      </w:pPr>
      <w:r w:rsidRPr="0060119B">
        <w:rPr>
          <w:rFonts w:ascii="Times New Roman" w:hAnsi="Times New Roman" w:cs="Times New Roman"/>
          <w:b/>
          <w:color w:val="1F497D" w:themeColor="text2"/>
          <w:sz w:val="24"/>
          <w:szCs w:val="24"/>
        </w:rPr>
        <w:t>Th</w:t>
      </w:r>
      <w:r w:rsidR="00D241C1" w:rsidRPr="0060119B">
        <w:rPr>
          <w:rFonts w:ascii="Times New Roman" w:hAnsi="Times New Roman" w:cs="Times New Roman"/>
          <w:b/>
          <w:color w:val="1F497D" w:themeColor="text2"/>
          <w:sz w:val="24"/>
          <w:szCs w:val="24"/>
        </w:rPr>
        <w:t>is subsection summarizes key aspects of wholesale CBDC</w:t>
      </w:r>
      <w:r w:rsidRPr="0060119B">
        <w:rPr>
          <w:rFonts w:ascii="Times New Roman" w:hAnsi="Times New Roman" w:cs="Times New Roman"/>
          <w:b/>
          <w:color w:val="1F497D" w:themeColor="text2"/>
          <w:sz w:val="24"/>
          <w:szCs w:val="24"/>
        </w:rPr>
        <w:t xml:space="preserve"> r</w:t>
      </w:r>
      <w:r w:rsidR="00497C70" w:rsidRPr="0060119B">
        <w:rPr>
          <w:rFonts w:ascii="Times New Roman" w:hAnsi="Times New Roman" w:cs="Times New Roman"/>
          <w:b/>
          <w:color w:val="1F497D" w:themeColor="text2"/>
          <w:sz w:val="24"/>
          <w:szCs w:val="24"/>
        </w:rPr>
        <w:t>eference architecture</w:t>
      </w:r>
      <w:r w:rsidRPr="0060119B">
        <w:rPr>
          <w:rFonts w:ascii="Times New Roman" w:hAnsi="Times New Roman" w:cs="Times New Roman"/>
          <w:b/>
          <w:color w:val="1F497D" w:themeColor="text2"/>
          <w:sz w:val="24"/>
          <w:szCs w:val="24"/>
        </w:rPr>
        <w:t>s</w:t>
      </w:r>
      <w:r w:rsidR="00D241C1" w:rsidRPr="0060119B">
        <w:rPr>
          <w:rFonts w:ascii="Times New Roman" w:hAnsi="Times New Roman" w:cs="Times New Roman"/>
          <w:b/>
          <w:color w:val="1F497D" w:themeColor="text2"/>
          <w:sz w:val="24"/>
          <w:szCs w:val="24"/>
        </w:rPr>
        <w:t xml:space="preserve">. </w:t>
      </w:r>
    </w:p>
    <w:p w14:paraId="4D6D5B1D" w14:textId="3ECF8A5F" w:rsidR="00497C70" w:rsidRPr="00C55ACB" w:rsidRDefault="0093235C" w:rsidP="00DD71F4">
      <w:pPr>
        <w:pStyle w:val="BodyText"/>
        <w:spacing w:line="264" w:lineRule="auto"/>
        <w:jc w:val="both"/>
        <w:rPr>
          <w:szCs w:val="24"/>
        </w:rPr>
      </w:pPr>
      <w:r>
        <w:rPr>
          <w:rFonts w:ascii="Times New Roman" w:hAnsi="Times New Roman" w:cs="Times New Roman"/>
          <w:b/>
          <w:color w:val="1F497D" w:themeColor="text2"/>
          <w:sz w:val="24"/>
          <w:szCs w:val="24"/>
        </w:rPr>
        <w:t xml:space="preserve">The </w:t>
      </w:r>
      <w:r w:rsidR="00497C70" w:rsidRPr="00C55ACB">
        <w:rPr>
          <w:rFonts w:ascii="Times New Roman" w:hAnsi="Times New Roman" w:cs="Times New Roman"/>
          <w:b/>
          <w:color w:val="1F497D" w:themeColor="text2"/>
          <w:sz w:val="24"/>
          <w:szCs w:val="24"/>
        </w:rPr>
        <w:t xml:space="preserve">reference architecture should </w:t>
      </w:r>
      <w:r w:rsidR="00252651">
        <w:rPr>
          <w:rFonts w:ascii="Times New Roman" w:hAnsi="Times New Roman" w:cs="Times New Roman"/>
          <w:b/>
          <w:color w:val="1F497D" w:themeColor="text2"/>
          <w:sz w:val="24"/>
          <w:szCs w:val="24"/>
        </w:rPr>
        <w:t>follow</w:t>
      </w:r>
      <w:r w:rsidR="00252651" w:rsidRPr="00C55ACB">
        <w:rPr>
          <w:rFonts w:ascii="Times New Roman" w:hAnsi="Times New Roman" w:cs="Times New Roman"/>
          <w:b/>
          <w:color w:val="1F497D" w:themeColor="text2"/>
          <w:sz w:val="24"/>
          <w:szCs w:val="24"/>
        </w:rPr>
        <w:t xml:space="preserve"> </w:t>
      </w:r>
      <w:r w:rsidR="00497C70" w:rsidRPr="00C55ACB">
        <w:rPr>
          <w:rFonts w:ascii="Times New Roman" w:hAnsi="Times New Roman" w:cs="Times New Roman"/>
          <w:b/>
          <w:color w:val="1F497D" w:themeColor="text2"/>
          <w:sz w:val="24"/>
          <w:szCs w:val="24"/>
        </w:rPr>
        <w:t>the operational standards in existing wholesale payment systems:</w:t>
      </w:r>
      <w:r w:rsidR="00497C70" w:rsidRPr="00C55ACB">
        <w:rPr>
          <w:rFonts w:ascii="Times New Roman" w:hAnsi="Times New Roman" w:cs="Times New Roman"/>
          <w:b/>
          <w:i/>
          <w:color w:val="1F497D" w:themeColor="text2"/>
          <w:sz w:val="24"/>
          <w:szCs w:val="24"/>
        </w:rPr>
        <w:t xml:space="preserve"> </w:t>
      </w:r>
      <w:r w:rsidR="00194961">
        <w:rPr>
          <w:rFonts w:ascii="Times New Roman" w:hAnsi="Times New Roman" w:cs="Times New Roman"/>
          <w:sz w:val="24"/>
          <w:szCs w:val="24"/>
        </w:rPr>
        <w:t>W</w:t>
      </w:r>
      <w:r w:rsidR="00497C70" w:rsidRPr="00C55ACB">
        <w:rPr>
          <w:rFonts w:ascii="Times New Roman" w:hAnsi="Times New Roman" w:cs="Times New Roman"/>
          <w:sz w:val="24"/>
          <w:szCs w:val="24"/>
        </w:rPr>
        <w:t xml:space="preserve">holesale payment systems ensure operational standards through their commitment to implement defined principles such as those encapsulated in the Principles for Financial Market Infrastructures (PFMIs) laid down in a joint work by the </w:t>
      </w:r>
      <w:r w:rsidR="00194961">
        <w:rPr>
          <w:rFonts w:ascii="Times New Roman" w:hAnsi="Times New Roman" w:cs="Times New Roman"/>
          <w:sz w:val="24"/>
          <w:szCs w:val="24"/>
        </w:rPr>
        <w:t xml:space="preserve">Committee on Payments and Market Infrastructure (CPMI) of the </w:t>
      </w:r>
      <w:r w:rsidR="00497C70" w:rsidRPr="00C55ACB">
        <w:rPr>
          <w:rFonts w:ascii="Times New Roman" w:hAnsi="Times New Roman" w:cs="Times New Roman"/>
          <w:sz w:val="24"/>
          <w:szCs w:val="24"/>
        </w:rPr>
        <w:t xml:space="preserve">Bank for International Settlements </w:t>
      </w:r>
      <w:r w:rsidR="00252651">
        <w:rPr>
          <w:rFonts w:ascii="Times New Roman" w:hAnsi="Times New Roman" w:cs="Times New Roman"/>
          <w:sz w:val="24"/>
          <w:szCs w:val="24"/>
        </w:rPr>
        <w:t xml:space="preserve">(BIS) </w:t>
      </w:r>
      <w:r w:rsidR="00497C70" w:rsidRPr="00C55ACB">
        <w:rPr>
          <w:rFonts w:ascii="Times New Roman" w:hAnsi="Times New Roman" w:cs="Times New Roman"/>
          <w:sz w:val="24"/>
          <w:szCs w:val="24"/>
        </w:rPr>
        <w:t xml:space="preserve">and International Organization of Securities Commissions </w:t>
      </w:r>
      <w:r w:rsidR="00252651">
        <w:rPr>
          <w:rFonts w:ascii="Times New Roman" w:hAnsi="Times New Roman" w:cs="Times New Roman"/>
          <w:sz w:val="24"/>
          <w:szCs w:val="24"/>
        </w:rPr>
        <w:t xml:space="preserve">(IOSCO) </w:t>
      </w:r>
      <w:r w:rsidR="00497C70" w:rsidRPr="00C55ACB">
        <w:rPr>
          <w:rFonts w:ascii="Times New Roman" w:hAnsi="Times New Roman" w:cs="Times New Roman"/>
          <w:sz w:val="24"/>
          <w:szCs w:val="24"/>
        </w:rPr>
        <w:t>(</w:t>
      </w:r>
      <w:r w:rsidR="00194961">
        <w:rPr>
          <w:rFonts w:ascii="Times New Roman" w:hAnsi="Times New Roman" w:cs="Times New Roman"/>
          <w:sz w:val="24"/>
          <w:szCs w:val="24"/>
        </w:rPr>
        <w:t>CPMI</w:t>
      </w:r>
      <w:r w:rsidR="00497C70" w:rsidRPr="00C55ACB">
        <w:rPr>
          <w:rFonts w:ascii="Times New Roman" w:hAnsi="Times New Roman" w:cs="Times New Roman"/>
          <w:sz w:val="24"/>
          <w:szCs w:val="24"/>
        </w:rPr>
        <w:t xml:space="preserve">-IOSCO 2012). </w:t>
      </w:r>
    </w:p>
    <w:p w14:paraId="774D541A" w14:textId="5E05CC20" w:rsidR="00320A35" w:rsidRPr="00C55ACB" w:rsidRDefault="0093235C" w:rsidP="00DD71F4">
      <w:pPr>
        <w:pStyle w:val="BodyText"/>
        <w:spacing w:line="264" w:lineRule="auto"/>
        <w:jc w:val="both"/>
        <w:rPr>
          <w:szCs w:val="24"/>
        </w:rPr>
      </w:pPr>
      <w:r w:rsidRPr="00D241C1">
        <w:rPr>
          <w:rFonts w:ascii="Times New Roman" w:hAnsi="Times New Roman" w:cs="Times New Roman"/>
          <w:b/>
          <w:color w:val="1F497D" w:themeColor="text2"/>
          <w:sz w:val="24"/>
          <w:szCs w:val="24"/>
        </w:rPr>
        <w:t xml:space="preserve">The </w:t>
      </w:r>
      <w:r w:rsidR="00497C70" w:rsidRPr="00D241C1">
        <w:rPr>
          <w:rFonts w:ascii="Times New Roman" w:hAnsi="Times New Roman" w:cs="Times New Roman"/>
          <w:b/>
          <w:color w:val="1F497D" w:themeColor="text2"/>
          <w:sz w:val="24"/>
          <w:szCs w:val="24"/>
        </w:rPr>
        <w:t>reference architecture should enhance the operational efficiencies of existing wholesale</w:t>
      </w:r>
      <w:r w:rsidR="00320A35" w:rsidRPr="00D241C1">
        <w:rPr>
          <w:rFonts w:ascii="Times New Roman" w:hAnsi="Times New Roman" w:cs="Times New Roman"/>
          <w:b/>
          <w:color w:val="1F497D" w:themeColor="text2"/>
          <w:sz w:val="24"/>
          <w:szCs w:val="24"/>
        </w:rPr>
        <w:t xml:space="preserve"> payment systems</w:t>
      </w:r>
      <w:r w:rsidR="00D241C1">
        <w:rPr>
          <w:b/>
          <w:color w:val="1F497D" w:themeColor="text2"/>
          <w:szCs w:val="24"/>
        </w:rPr>
        <w:t>.</w:t>
      </w:r>
      <w:r w:rsidR="00320A35" w:rsidRPr="00C55ACB">
        <w:rPr>
          <w:b/>
          <w:szCs w:val="24"/>
        </w:rPr>
        <w:t xml:space="preserve"> </w:t>
      </w:r>
      <w:r w:rsidR="00320A35" w:rsidRPr="00C55ACB">
        <w:rPr>
          <w:rFonts w:ascii="Times New Roman" w:hAnsi="Times New Roman" w:cs="Times New Roman"/>
          <w:sz w:val="24"/>
          <w:szCs w:val="24"/>
        </w:rPr>
        <w:t xml:space="preserve">In most jurisdictions, existing domestic payments services are viewed as relatively efficient compared </w:t>
      </w:r>
      <w:r w:rsidR="00252651">
        <w:rPr>
          <w:rFonts w:ascii="Times New Roman" w:hAnsi="Times New Roman" w:cs="Times New Roman"/>
          <w:sz w:val="24"/>
          <w:szCs w:val="24"/>
        </w:rPr>
        <w:t>to</w:t>
      </w:r>
      <w:r w:rsidR="00320A35" w:rsidRPr="00C55ACB">
        <w:rPr>
          <w:rFonts w:ascii="Times New Roman" w:hAnsi="Times New Roman" w:cs="Times New Roman"/>
          <w:sz w:val="24"/>
          <w:szCs w:val="24"/>
        </w:rPr>
        <w:t xml:space="preserve"> cross-border services. This reﬂects consumers’ trust in highly regulated national infrastructure providers and financial institutions, and the central monetary authority as the settlement institution in wholesale payment systems. Compared with the cross-border experience, consumers of domestic payments services are offered greater variety and lower-cost payment options; well-established rules, standards and procedures governing the use and acceptance of these various payment instruments; and reliable and/or timely funds availability (</w:t>
      </w:r>
      <w:r w:rsidR="00320A35" w:rsidRPr="00C106AC">
        <w:rPr>
          <w:rFonts w:ascii="Times New Roman" w:hAnsi="Times New Roman" w:cs="Times New Roman"/>
          <w:b/>
          <w:i/>
          <w:color w:val="244061" w:themeColor="accent1" w:themeShade="80"/>
          <w:sz w:val="24"/>
          <w:szCs w:val="24"/>
        </w:rPr>
        <w:t>BOC 2017</w:t>
      </w:r>
      <w:r w:rsidR="00320A35" w:rsidRPr="00C55ACB">
        <w:rPr>
          <w:rFonts w:ascii="Times New Roman" w:hAnsi="Times New Roman" w:cs="Times New Roman"/>
          <w:sz w:val="24"/>
          <w:szCs w:val="24"/>
        </w:rPr>
        <w:t>).</w:t>
      </w:r>
    </w:p>
    <w:p w14:paraId="6CA07137" w14:textId="3AFC33DB" w:rsidR="00320A35" w:rsidRPr="00C55ACB" w:rsidRDefault="00320A35" w:rsidP="00DD71F4">
      <w:pPr>
        <w:pStyle w:val="BodyText"/>
        <w:spacing w:line="264" w:lineRule="auto"/>
        <w:jc w:val="both"/>
        <w:rPr>
          <w:szCs w:val="24"/>
        </w:rPr>
      </w:pPr>
      <w:r w:rsidRPr="00C55ACB">
        <w:rPr>
          <w:rFonts w:ascii="Times New Roman" w:hAnsi="Times New Roman" w:cs="Times New Roman"/>
          <w:b/>
          <w:color w:val="1F497D" w:themeColor="text2"/>
          <w:sz w:val="24"/>
          <w:szCs w:val="24"/>
        </w:rPr>
        <w:t>Participation in these wholesale payment systems is typically layered</w:t>
      </w:r>
      <w:r w:rsidR="008A3BB8" w:rsidRPr="00C55ACB">
        <w:rPr>
          <w:rFonts w:ascii="Times New Roman" w:hAnsi="Times New Roman" w:cs="Times New Roman"/>
          <w:b/>
          <w:color w:val="1F497D" w:themeColor="text2"/>
          <w:sz w:val="24"/>
          <w:szCs w:val="24"/>
        </w:rPr>
        <w:t xml:space="preserve"> with participating f</w:t>
      </w:r>
      <w:r w:rsidRPr="00C55ACB">
        <w:rPr>
          <w:rFonts w:ascii="Times New Roman" w:hAnsi="Times New Roman" w:cs="Times New Roman"/>
          <w:b/>
          <w:color w:val="1F497D" w:themeColor="text2"/>
          <w:sz w:val="24"/>
          <w:szCs w:val="24"/>
        </w:rPr>
        <w:t>inancial institution represent</w:t>
      </w:r>
      <w:r w:rsidR="008A3BB8" w:rsidRPr="00C55ACB">
        <w:rPr>
          <w:rFonts w:ascii="Times New Roman" w:hAnsi="Times New Roman" w:cs="Times New Roman"/>
          <w:b/>
          <w:color w:val="1F497D" w:themeColor="text2"/>
          <w:sz w:val="24"/>
          <w:szCs w:val="24"/>
        </w:rPr>
        <w:t>ing</w:t>
      </w:r>
      <w:r w:rsidRPr="00C55ACB">
        <w:rPr>
          <w:rFonts w:ascii="Times New Roman" w:hAnsi="Times New Roman" w:cs="Times New Roman"/>
          <w:b/>
          <w:color w:val="1F497D" w:themeColor="text2"/>
          <w:sz w:val="24"/>
          <w:szCs w:val="24"/>
        </w:rPr>
        <w:t xml:space="preserve"> not only </w:t>
      </w:r>
      <w:r w:rsidR="008A3BB8" w:rsidRPr="00C55ACB">
        <w:rPr>
          <w:rFonts w:ascii="Times New Roman" w:hAnsi="Times New Roman" w:cs="Times New Roman"/>
          <w:b/>
          <w:color w:val="1F497D" w:themeColor="text2"/>
          <w:sz w:val="24"/>
          <w:szCs w:val="24"/>
        </w:rPr>
        <w:t>their</w:t>
      </w:r>
      <w:r w:rsidRPr="00C55ACB">
        <w:rPr>
          <w:rFonts w:ascii="Times New Roman" w:hAnsi="Times New Roman" w:cs="Times New Roman"/>
          <w:b/>
          <w:color w:val="1F497D" w:themeColor="text2"/>
          <w:sz w:val="24"/>
          <w:szCs w:val="24"/>
        </w:rPr>
        <w:t xml:space="preserve"> own interest, but also </w:t>
      </w:r>
      <w:r w:rsidR="008A3BB8" w:rsidRPr="00C55ACB">
        <w:rPr>
          <w:rFonts w:ascii="Times New Roman" w:hAnsi="Times New Roman" w:cs="Times New Roman"/>
          <w:b/>
          <w:color w:val="1F497D" w:themeColor="text2"/>
          <w:sz w:val="24"/>
          <w:szCs w:val="24"/>
        </w:rPr>
        <w:t xml:space="preserve">those of </w:t>
      </w:r>
      <w:r w:rsidRPr="00C55ACB">
        <w:rPr>
          <w:rFonts w:ascii="Times New Roman" w:hAnsi="Times New Roman" w:cs="Times New Roman"/>
          <w:b/>
          <w:color w:val="1F497D" w:themeColor="text2"/>
          <w:sz w:val="24"/>
          <w:szCs w:val="24"/>
        </w:rPr>
        <w:t>other institutions.</w:t>
      </w:r>
      <w:r w:rsidRPr="00C55ACB">
        <w:rPr>
          <w:rFonts w:ascii="Times New Roman" w:hAnsi="Times New Roman" w:cs="Times New Roman"/>
          <w:i/>
          <w:color w:val="1F497D" w:themeColor="text2"/>
          <w:sz w:val="24"/>
          <w:szCs w:val="24"/>
        </w:rPr>
        <w:t xml:space="preserve"> </w:t>
      </w:r>
      <w:r w:rsidRPr="00C55ACB">
        <w:rPr>
          <w:rFonts w:ascii="Times New Roman" w:hAnsi="Times New Roman" w:cs="Times New Roman"/>
          <w:sz w:val="24"/>
          <w:szCs w:val="24"/>
        </w:rPr>
        <w:t xml:space="preserve">Given the </w:t>
      </w:r>
      <w:r w:rsidR="008A3BB8">
        <w:rPr>
          <w:rFonts w:ascii="Times New Roman" w:hAnsi="Times New Roman" w:cs="Times New Roman"/>
          <w:sz w:val="24"/>
          <w:szCs w:val="24"/>
        </w:rPr>
        <w:t>large</w:t>
      </w:r>
      <w:r w:rsidRPr="00C55ACB">
        <w:rPr>
          <w:rFonts w:ascii="Times New Roman" w:hAnsi="Times New Roman" w:cs="Times New Roman"/>
          <w:sz w:val="24"/>
          <w:szCs w:val="24"/>
        </w:rPr>
        <w:t xml:space="preserve"> volume of activity</w:t>
      </w:r>
      <w:r w:rsidR="008A3BB8">
        <w:rPr>
          <w:rFonts w:ascii="Times New Roman" w:hAnsi="Times New Roman" w:cs="Times New Roman"/>
          <w:sz w:val="24"/>
          <w:szCs w:val="24"/>
        </w:rPr>
        <w:t xml:space="preserve"> in</w:t>
      </w:r>
      <w:r w:rsidRPr="00C55ACB">
        <w:rPr>
          <w:rFonts w:ascii="Times New Roman" w:hAnsi="Times New Roman" w:cs="Times New Roman"/>
          <w:sz w:val="24"/>
          <w:szCs w:val="24"/>
        </w:rPr>
        <w:t xml:space="preserve"> these systems</w:t>
      </w:r>
      <w:r w:rsidR="008A3BB8">
        <w:rPr>
          <w:rFonts w:ascii="Times New Roman" w:hAnsi="Times New Roman" w:cs="Times New Roman"/>
          <w:sz w:val="24"/>
          <w:szCs w:val="24"/>
        </w:rPr>
        <w:t>,</w:t>
      </w:r>
      <w:r w:rsidR="008A3BB8">
        <w:rPr>
          <w:rStyle w:val="FootnoteReference"/>
          <w:rFonts w:ascii="Times New Roman" w:hAnsi="Times New Roman" w:cs="Times New Roman"/>
          <w:sz w:val="24"/>
          <w:szCs w:val="24"/>
        </w:rPr>
        <w:footnoteReference w:id="8"/>
      </w:r>
      <w:r w:rsidR="008A3BB8">
        <w:rPr>
          <w:rFonts w:ascii="Times New Roman" w:hAnsi="Times New Roman" w:cs="Times New Roman"/>
          <w:sz w:val="24"/>
          <w:szCs w:val="24"/>
        </w:rPr>
        <w:t xml:space="preserve"> </w:t>
      </w:r>
      <w:r w:rsidRPr="00C55ACB">
        <w:rPr>
          <w:rFonts w:ascii="Times New Roman" w:hAnsi="Times New Roman" w:cs="Times New Roman"/>
          <w:sz w:val="24"/>
          <w:szCs w:val="24"/>
        </w:rPr>
        <w:t xml:space="preserve">erroneous and duplicate entries can occur, </w:t>
      </w:r>
      <w:r w:rsidR="008A3BB8">
        <w:rPr>
          <w:rFonts w:ascii="Times New Roman" w:hAnsi="Times New Roman" w:cs="Times New Roman"/>
          <w:sz w:val="24"/>
          <w:szCs w:val="24"/>
        </w:rPr>
        <w:t xml:space="preserve">possibly </w:t>
      </w:r>
      <w:r w:rsidRPr="00C55ACB">
        <w:rPr>
          <w:rFonts w:ascii="Times New Roman" w:hAnsi="Times New Roman" w:cs="Times New Roman"/>
          <w:sz w:val="24"/>
          <w:szCs w:val="24"/>
        </w:rPr>
        <w:t xml:space="preserve">escalating into costly disputes between participating financial institutions. Such errors and disputes typically require manual or semi-automated reconciliation by the affected institutions. Currently, all participants of the domestic wholesale payment systems expend significant resources in back-office reconciliation efforts to verify and validate the information they receive from the payment system operator. </w:t>
      </w:r>
    </w:p>
    <w:p w14:paraId="622429EA" w14:textId="5FB866AC" w:rsidR="00497C70" w:rsidRPr="00C55ACB" w:rsidRDefault="0093235C" w:rsidP="00DD71F4">
      <w:pPr>
        <w:pStyle w:val="BodyText"/>
        <w:spacing w:line="264" w:lineRule="auto"/>
        <w:jc w:val="both"/>
        <w:rPr>
          <w:szCs w:val="24"/>
        </w:rPr>
      </w:pPr>
      <w:r w:rsidRPr="00D241C1">
        <w:rPr>
          <w:rFonts w:ascii="Times New Roman" w:hAnsi="Times New Roman" w:cs="Times New Roman"/>
          <w:b/>
          <w:color w:val="1F497D" w:themeColor="text2"/>
          <w:sz w:val="24"/>
          <w:szCs w:val="24"/>
        </w:rPr>
        <w:t xml:space="preserve">The CBDC </w:t>
      </w:r>
      <w:r w:rsidR="00497C70" w:rsidRPr="00D241C1">
        <w:rPr>
          <w:rFonts w:ascii="Times New Roman" w:hAnsi="Times New Roman" w:cs="Times New Roman"/>
          <w:b/>
          <w:color w:val="1F497D" w:themeColor="text2"/>
          <w:sz w:val="24"/>
          <w:szCs w:val="24"/>
        </w:rPr>
        <w:t>reference architecture should enable</w:t>
      </w:r>
      <w:r w:rsidRPr="00D241C1">
        <w:rPr>
          <w:rFonts w:ascii="Times New Roman" w:hAnsi="Times New Roman" w:cs="Times New Roman"/>
          <w:b/>
          <w:color w:val="1F497D" w:themeColor="text2"/>
          <w:sz w:val="24"/>
          <w:szCs w:val="24"/>
        </w:rPr>
        <w:t xml:space="preserve"> scalable</w:t>
      </w:r>
      <w:r w:rsidR="00497C70" w:rsidRPr="00D241C1">
        <w:rPr>
          <w:rFonts w:ascii="Times New Roman" w:hAnsi="Times New Roman" w:cs="Times New Roman"/>
          <w:b/>
          <w:color w:val="1F497D" w:themeColor="text2"/>
          <w:sz w:val="24"/>
          <w:szCs w:val="24"/>
        </w:rPr>
        <w:t xml:space="preserve"> payment systems</w:t>
      </w:r>
      <w:r w:rsidR="00497C70" w:rsidRPr="00D241C1">
        <w:rPr>
          <w:rFonts w:ascii="Times New Roman" w:hAnsi="Times New Roman" w:cs="Times New Roman"/>
          <w:b/>
          <w:i/>
          <w:color w:val="1F497D" w:themeColor="text2"/>
          <w:sz w:val="24"/>
          <w:szCs w:val="24"/>
        </w:rPr>
        <w:t xml:space="preserve">: </w:t>
      </w:r>
      <w:r w:rsidR="00497C70" w:rsidRPr="00D241C1">
        <w:rPr>
          <w:rFonts w:ascii="Times New Roman" w:hAnsi="Times New Roman" w:cs="Times New Roman"/>
          <w:sz w:val="24"/>
          <w:szCs w:val="24"/>
        </w:rPr>
        <w:t>Arguably, DLT is an ecosystem rather than application-level technology. Efficiencies</w:t>
      </w:r>
      <w:r w:rsidR="00D01829" w:rsidRPr="00D241C1">
        <w:rPr>
          <w:rFonts w:ascii="Times New Roman" w:hAnsi="Times New Roman" w:cs="Times New Roman"/>
          <w:sz w:val="24"/>
          <w:szCs w:val="24"/>
        </w:rPr>
        <w:t xml:space="preserve"> identified above</w:t>
      </w:r>
      <w:r w:rsidR="00497C70" w:rsidRPr="00D241C1">
        <w:rPr>
          <w:rFonts w:ascii="Times New Roman" w:hAnsi="Times New Roman" w:cs="Times New Roman"/>
          <w:sz w:val="24"/>
          <w:szCs w:val="24"/>
        </w:rPr>
        <w:t xml:space="preserve"> are more likely accrue only </w:t>
      </w:r>
      <w:r w:rsidR="00D01829" w:rsidRPr="00D241C1">
        <w:rPr>
          <w:rFonts w:ascii="Times New Roman" w:hAnsi="Times New Roman" w:cs="Times New Roman"/>
          <w:sz w:val="24"/>
          <w:szCs w:val="24"/>
        </w:rPr>
        <w:t xml:space="preserve">with increase in </w:t>
      </w:r>
      <w:r w:rsidR="00497C70" w:rsidRPr="00D241C1">
        <w:rPr>
          <w:rFonts w:ascii="Times New Roman" w:hAnsi="Times New Roman" w:cs="Times New Roman"/>
          <w:sz w:val="24"/>
          <w:szCs w:val="24"/>
        </w:rPr>
        <w:t>scope and</w:t>
      </w:r>
      <w:r w:rsidR="00D01829" w:rsidRPr="00D241C1">
        <w:rPr>
          <w:rFonts w:ascii="Times New Roman" w:hAnsi="Times New Roman" w:cs="Times New Roman"/>
          <w:sz w:val="24"/>
          <w:szCs w:val="24"/>
        </w:rPr>
        <w:t xml:space="preserve"> </w:t>
      </w:r>
      <w:r w:rsidR="00497C70" w:rsidRPr="00D241C1">
        <w:rPr>
          <w:rFonts w:ascii="Times New Roman" w:hAnsi="Times New Roman" w:cs="Times New Roman"/>
          <w:sz w:val="24"/>
          <w:szCs w:val="24"/>
        </w:rPr>
        <w:t>scale of the ecosystem. Scalability depends on a number of factors, including</w:t>
      </w:r>
      <w:r w:rsidRPr="00D241C1">
        <w:rPr>
          <w:rFonts w:ascii="Times New Roman" w:hAnsi="Times New Roman" w:cs="Times New Roman"/>
          <w:sz w:val="24"/>
          <w:szCs w:val="24"/>
        </w:rPr>
        <w:t xml:space="preserve"> c</w:t>
      </w:r>
      <w:r w:rsidR="00497C70" w:rsidRPr="00D241C1">
        <w:rPr>
          <w:rFonts w:ascii="Times New Roman" w:hAnsi="Times New Roman" w:cs="Times New Roman"/>
          <w:sz w:val="24"/>
          <w:szCs w:val="24"/>
        </w:rPr>
        <w:t>onfidentiality and</w:t>
      </w:r>
      <w:r w:rsidR="00497C70" w:rsidRPr="00C55ACB">
        <w:rPr>
          <w:rFonts w:ascii="Times New Roman" w:hAnsi="Times New Roman" w:cs="Times New Roman"/>
          <w:sz w:val="24"/>
          <w:szCs w:val="24"/>
        </w:rPr>
        <w:t xml:space="preserve"> consensus mechanisms adopted in the reference architecture</w:t>
      </w:r>
      <w:r>
        <w:rPr>
          <w:rFonts w:ascii="Times New Roman" w:hAnsi="Times New Roman" w:cs="Times New Roman"/>
          <w:sz w:val="24"/>
          <w:szCs w:val="24"/>
        </w:rPr>
        <w:t>, the n</w:t>
      </w:r>
      <w:r w:rsidR="00497C70" w:rsidRPr="00C55ACB">
        <w:rPr>
          <w:rFonts w:ascii="Times New Roman" w:hAnsi="Times New Roman" w:cs="Times New Roman"/>
          <w:sz w:val="24"/>
          <w:szCs w:val="24"/>
        </w:rPr>
        <w:t>ode architecture</w:t>
      </w:r>
      <w:r>
        <w:rPr>
          <w:rStyle w:val="FootnoteReference"/>
          <w:rFonts w:ascii="Times New Roman" w:hAnsi="Times New Roman" w:cs="Times New Roman"/>
          <w:sz w:val="24"/>
          <w:szCs w:val="24"/>
        </w:rPr>
        <w:footnoteReference w:id="9"/>
      </w:r>
      <w:r w:rsidR="00497C70" w:rsidRPr="00C55ACB">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EF62FA">
        <w:rPr>
          <w:rFonts w:ascii="Times New Roman" w:hAnsi="Times New Roman" w:cs="Times New Roman"/>
          <w:sz w:val="24"/>
          <w:szCs w:val="24"/>
        </w:rPr>
        <w:t>latency as further impacted by system parameters</w:t>
      </w:r>
      <w:r>
        <w:rPr>
          <w:rFonts w:ascii="Times New Roman" w:hAnsi="Times New Roman" w:cs="Times New Roman"/>
          <w:sz w:val="24"/>
          <w:szCs w:val="24"/>
        </w:rPr>
        <w:t xml:space="preserve"> in case of DLT employing </w:t>
      </w:r>
      <w:r w:rsidR="00BF4BB2" w:rsidRPr="00C55ACB">
        <w:rPr>
          <w:rFonts w:ascii="Times New Roman" w:hAnsi="Times New Roman" w:cs="Times New Roman"/>
          <w:sz w:val="24"/>
          <w:szCs w:val="24"/>
        </w:rPr>
        <w:t>block-chain architecture</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Central bank </w:t>
      </w:r>
      <w:r w:rsidR="00497C70" w:rsidRPr="00C55ACB">
        <w:rPr>
          <w:rFonts w:ascii="Times New Roman" w:hAnsi="Times New Roman" w:cs="Times New Roman"/>
          <w:sz w:val="24"/>
          <w:szCs w:val="24"/>
        </w:rPr>
        <w:t xml:space="preserve">studies </w:t>
      </w:r>
      <w:r>
        <w:rPr>
          <w:rFonts w:ascii="Times New Roman" w:hAnsi="Times New Roman" w:cs="Times New Roman"/>
          <w:sz w:val="24"/>
          <w:szCs w:val="24"/>
        </w:rPr>
        <w:t>show that DLT-enabled wholesale</w:t>
      </w:r>
      <w:r w:rsidR="00497C70" w:rsidRPr="00C55ACB">
        <w:rPr>
          <w:rFonts w:ascii="Times New Roman" w:hAnsi="Times New Roman" w:cs="Times New Roman"/>
          <w:sz w:val="24"/>
          <w:szCs w:val="24"/>
        </w:rPr>
        <w:t xml:space="preserve"> systems are able to accommodate current volumes in the </w:t>
      </w:r>
      <w:r>
        <w:rPr>
          <w:rFonts w:ascii="Times New Roman" w:hAnsi="Times New Roman" w:cs="Times New Roman"/>
          <w:sz w:val="24"/>
          <w:szCs w:val="24"/>
        </w:rPr>
        <w:t xml:space="preserve">existing centralized </w:t>
      </w:r>
      <w:r w:rsidR="00D241C1">
        <w:rPr>
          <w:rFonts w:ascii="Times New Roman" w:hAnsi="Times New Roman" w:cs="Times New Roman"/>
          <w:sz w:val="24"/>
          <w:szCs w:val="24"/>
        </w:rPr>
        <w:t>infrastructure</w:t>
      </w:r>
      <w:r>
        <w:rPr>
          <w:rFonts w:ascii="Times New Roman" w:hAnsi="Times New Roman" w:cs="Times New Roman"/>
          <w:sz w:val="24"/>
          <w:szCs w:val="24"/>
        </w:rPr>
        <w:t xml:space="preserve">. </w:t>
      </w:r>
      <w:r w:rsidR="00497C70" w:rsidRPr="00C55ACB">
        <w:rPr>
          <w:rFonts w:ascii="Times New Roman" w:hAnsi="Times New Roman" w:cs="Times New Roman"/>
          <w:sz w:val="24"/>
          <w:szCs w:val="24"/>
        </w:rPr>
        <w:t xml:space="preserve">However, these studies also indicated that the technology </w:t>
      </w:r>
      <w:r>
        <w:rPr>
          <w:rFonts w:ascii="Times New Roman" w:hAnsi="Times New Roman" w:cs="Times New Roman"/>
          <w:sz w:val="24"/>
          <w:szCs w:val="24"/>
        </w:rPr>
        <w:t xml:space="preserve">is still in its nascency and needs to </w:t>
      </w:r>
      <w:r w:rsidR="00497C70" w:rsidRPr="00C55ACB">
        <w:rPr>
          <w:rFonts w:ascii="Times New Roman" w:hAnsi="Times New Roman" w:cs="Times New Roman"/>
          <w:sz w:val="24"/>
          <w:szCs w:val="24"/>
        </w:rPr>
        <w:t xml:space="preserve">evolve </w:t>
      </w:r>
      <w:r>
        <w:rPr>
          <w:rFonts w:ascii="Times New Roman" w:hAnsi="Times New Roman" w:cs="Times New Roman"/>
          <w:sz w:val="24"/>
          <w:szCs w:val="24"/>
        </w:rPr>
        <w:t xml:space="preserve">further </w:t>
      </w:r>
      <w:r w:rsidR="00497C70" w:rsidRPr="00C55ACB">
        <w:rPr>
          <w:rFonts w:ascii="Times New Roman" w:hAnsi="Times New Roman" w:cs="Times New Roman"/>
          <w:sz w:val="24"/>
          <w:szCs w:val="24"/>
        </w:rPr>
        <w:t>to provide the desired speed for large-scale applications to operate in a live environment (</w:t>
      </w:r>
      <w:r w:rsidR="00D71F15" w:rsidRPr="0060119B">
        <w:rPr>
          <w:rFonts w:ascii="Times New Roman" w:hAnsi="Times New Roman" w:cs="Times New Roman"/>
          <w:color w:val="244061" w:themeColor="accent1" w:themeShade="80"/>
          <w:sz w:val="24"/>
          <w:szCs w:val="24"/>
        </w:rPr>
        <w:t>Box 2</w:t>
      </w:r>
      <w:r w:rsidR="00497C70" w:rsidRPr="00C55ACB">
        <w:rPr>
          <w:rFonts w:ascii="Times New Roman" w:hAnsi="Times New Roman" w:cs="Times New Roman"/>
          <w:sz w:val="24"/>
          <w:szCs w:val="24"/>
        </w:rPr>
        <w:t xml:space="preserve">). </w:t>
      </w:r>
    </w:p>
    <w:p w14:paraId="2068D53E" w14:textId="4047C999" w:rsidR="00497C70" w:rsidRPr="00C55ACB" w:rsidRDefault="0093235C" w:rsidP="00DD71F4">
      <w:pPr>
        <w:pStyle w:val="BodyText"/>
        <w:spacing w:line="264" w:lineRule="auto"/>
        <w:jc w:val="both"/>
        <w:rPr>
          <w:szCs w:val="24"/>
        </w:rPr>
      </w:pPr>
      <w:r w:rsidRPr="00D241C1">
        <w:rPr>
          <w:rFonts w:ascii="Times New Roman" w:hAnsi="Times New Roman" w:cs="Times New Roman"/>
          <w:b/>
          <w:color w:val="1F497D" w:themeColor="text2"/>
          <w:sz w:val="24"/>
          <w:szCs w:val="24"/>
        </w:rPr>
        <w:t xml:space="preserve">The </w:t>
      </w:r>
      <w:r w:rsidR="00497C70" w:rsidRPr="00D241C1">
        <w:rPr>
          <w:rFonts w:ascii="Times New Roman" w:hAnsi="Times New Roman" w:cs="Times New Roman"/>
          <w:b/>
          <w:color w:val="1F497D" w:themeColor="text2"/>
          <w:sz w:val="24"/>
          <w:szCs w:val="24"/>
        </w:rPr>
        <w:t>architecture should promote confidentiality of institutional transactional details</w:t>
      </w:r>
      <w:r w:rsidR="00497C70" w:rsidRPr="00D241C1">
        <w:rPr>
          <w:rFonts w:ascii="Times New Roman" w:hAnsi="Times New Roman" w:cs="Times New Roman"/>
          <w:b/>
          <w:i/>
          <w:color w:val="1F497D" w:themeColor="text2"/>
          <w:sz w:val="24"/>
          <w:szCs w:val="24"/>
        </w:rPr>
        <w:t xml:space="preserve">: </w:t>
      </w:r>
      <w:r w:rsidR="009B7F65" w:rsidRPr="00D241C1">
        <w:rPr>
          <w:rFonts w:ascii="Times New Roman" w:hAnsi="Times New Roman" w:cs="Times New Roman"/>
          <w:sz w:val="24"/>
          <w:szCs w:val="24"/>
        </w:rPr>
        <w:t>The</w:t>
      </w:r>
      <w:r w:rsidR="00497C70" w:rsidRPr="00D241C1">
        <w:rPr>
          <w:rFonts w:ascii="Times New Roman" w:hAnsi="Times New Roman" w:cs="Times New Roman"/>
          <w:sz w:val="24"/>
          <w:szCs w:val="24"/>
        </w:rPr>
        <w:t xml:space="preserve"> wholesale payment systems for which this technology is now being considered for operates within a finite number of users whose identities are known to each other in a closed environment. Within such a </w:t>
      </w:r>
      <w:r w:rsidR="009B7F65" w:rsidRPr="00D241C1">
        <w:rPr>
          <w:rFonts w:ascii="Times New Roman" w:hAnsi="Times New Roman" w:cs="Times New Roman"/>
          <w:sz w:val="24"/>
          <w:szCs w:val="24"/>
        </w:rPr>
        <w:t>closed system</w:t>
      </w:r>
      <w:r w:rsidR="00497C70" w:rsidRPr="00D241C1">
        <w:rPr>
          <w:rFonts w:ascii="Times New Roman" w:hAnsi="Times New Roman" w:cs="Times New Roman"/>
          <w:sz w:val="24"/>
          <w:szCs w:val="24"/>
        </w:rPr>
        <w:t xml:space="preserve">, there is a possibility that each participant will inevitably interact with </w:t>
      </w:r>
      <w:r w:rsidR="009B7F65" w:rsidRPr="00D241C1">
        <w:rPr>
          <w:rFonts w:ascii="Times New Roman" w:hAnsi="Times New Roman" w:cs="Times New Roman"/>
          <w:sz w:val="24"/>
          <w:szCs w:val="24"/>
        </w:rPr>
        <w:t xml:space="preserve">all network participants. This might enable the participants </w:t>
      </w:r>
      <w:r w:rsidR="00497C70" w:rsidRPr="00D241C1">
        <w:rPr>
          <w:rFonts w:ascii="Times New Roman" w:hAnsi="Times New Roman" w:cs="Times New Roman"/>
          <w:sz w:val="24"/>
          <w:szCs w:val="24"/>
        </w:rPr>
        <w:t xml:space="preserve">to acquire a great deal of sensitive data </w:t>
      </w:r>
      <w:r w:rsidR="009B7F65" w:rsidRPr="00D241C1">
        <w:rPr>
          <w:rFonts w:ascii="Times New Roman" w:hAnsi="Times New Roman" w:cs="Times New Roman"/>
          <w:sz w:val="24"/>
          <w:szCs w:val="24"/>
        </w:rPr>
        <w:t>and</w:t>
      </w:r>
      <w:r w:rsidR="00497C70" w:rsidRPr="00D241C1">
        <w:rPr>
          <w:rFonts w:ascii="Times New Roman" w:hAnsi="Times New Roman" w:cs="Times New Roman"/>
          <w:sz w:val="24"/>
          <w:szCs w:val="24"/>
        </w:rPr>
        <w:t xml:space="preserve"> extract transaction graph</w:t>
      </w:r>
      <w:r w:rsidR="009B7F65" w:rsidRPr="00D241C1">
        <w:rPr>
          <w:rFonts w:ascii="Times New Roman" w:hAnsi="Times New Roman" w:cs="Times New Roman"/>
          <w:sz w:val="24"/>
          <w:szCs w:val="24"/>
        </w:rPr>
        <w:t>s</w:t>
      </w:r>
      <w:r w:rsidR="00497C70" w:rsidRPr="00D241C1">
        <w:rPr>
          <w:rFonts w:ascii="Times New Roman" w:hAnsi="Times New Roman" w:cs="Times New Roman"/>
          <w:sz w:val="24"/>
          <w:szCs w:val="24"/>
        </w:rPr>
        <w:t xml:space="preserve"> for a large part of the network. </w:t>
      </w:r>
      <w:r w:rsidR="009B7F65" w:rsidRPr="00D241C1">
        <w:rPr>
          <w:rFonts w:ascii="Times New Roman" w:hAnsi="Times New Roman" w:cs="Times New Roman"/>
          <w:sz w:val="24"/>
          <w:szCs w:val="24"/>
        </w:rPr>
        <w:t xml:space="preserve">This </w:t>
      </w:r>
      <w:r w:rsidR="00497C70" w:rsidRPr="00D241C1">
        <w:rPr>
          <w:rFonts w:ascii="Times New Roman" w:hAnsi="Times New Roman" w:cs="Times New Roman"/>
          <w:sz w:val="24"/>
          <w:szCs w:val="24"/>
        </w:rPr>
        <w:t>capability could</w:t>
      </w:r>
      <w:r w:rsidR="009B7F65" w:rsidRPr="00D241C1">
        <w:rPr>
          <w:rFonts w:ascii="Times New Roman" w:hAnsi="Times New Roman" w:cs="Times New Roman"/>
          <w:sz w:val="24"/>
          <w:szCs w:val="24"/>
        </w:rPr>
        <w:t xml:space="preserve"> adversely</w:t>
      </w:r>
      <w:r w:rsidR="00497C70" w:rsidRPr="00D241C1">
        <w:rPr>
          <w:rFonts w:ascii="Times New Roman" w:hAnsi="Times New Roman" w:cs="Times New Roman"/>
          <w:sz w:val="24"/>
          <w:szCs w:val="24"/>
        </w:rPr>
        <w:t xml:space="preserve"> affect the whole financial system by providing participants with </w:t>
      </w:r>
      <w:r w:rsidR="009B7F65" w:rsidRPr="00D241C1">
        <w:rPr>
          <w:rFonts w:ascii="Times New Roman" w:hAnsi="Times New Roman" w:cs="Times New Roman"/>
          <w:sz w:val="24"/>
          <w:szCs w:val="24"/>
        </w:rPr>
        <w:t>confidential</w:t>
      </w:r>
      <w:r w:rsidR="00497C70" w:rsidRPr="00D241C1">
        <w:rPr>
          <w:rFonts w:ascii="Times New Roman" w:hAnsi="Times New Roman" w:cs="Times New Roman"/>
          <w:sz w:val="24"/>
          <w:szCs w:val="24"/>
        </w:rPr>
        <w:t xml:space="preserve"> information about their peers and </w:t>
      </w:r>
      <w:r w:rsidR="009B7F65" w:rsidRPr="00D241C1">
        <w:rPr>
          <w:rFonts w:ascii="Times New Roman" w:hAnsi="Times New Roman" w:cs="Times New Roman"/>
          <w:sz w:val="24"/>
          <w:szCs w:val="24"/>
        </w:rPr>
        <w:t>their transactions thereby</w:t>
      </w:r>
      <w:r w:rsidR="00497C70" w:rsidRPr="00D241C1">
        <w:rPr>
          <w:rFonts w:ascii="Times New Roman" w:hAnsi="Times New Roman" w:cs="Times New Roman"/>
          <w:sz w:val="24"/>
          <w:szCs w:val="24"/>
        </w:rPr>
        <w:t xml:space="preserve"> </w:t>
      </w:r>
      <w:r w:rsidR="009B7F65" w:rsidRPr="00D241C1">
        <w:rPr>
          <w:rFonts w:ascii="Times New Roman" w:hAnsi="Times New Roman" w:cs="Times New Roman"/>
          <w:sz w:val="24"/>
          <w:szCs w:val="24"/>
        </w:rPr>
        <w:t xml:space="preserve">introducing information asymmetry </w:t>
      </w:r>
      <w:r w:rsidR="00497C70" w:rsidRPr="00D241C1">
        <w:rPr>
          <w:rFonts w:ascii="Times New Roman" w:hAnsi="Times New Roman" w:cs="Times New Roman"/>
          <w:sz w:val="24"/>
          <w:szCs w:val="24"/>
        </w:rPr>
        <w:t>and compromis</w:t>
      </w:r>
      <w:r w:rsidR="009B7F65" w:rsidRPr="00D241C1">
        <w:rPr>
          <w:rFonts w:ascii="Times New Roman" w:hAnsi="Times New Roman" w:cs="Times New Roman"/>
          <w:sz w:val="24"/>
          <w:szCs w:val="24"/>
        </w:rPr>
        <w:t>ing</w:t>
      </w:r>
      <w:r w:rsidR="00497C70" w:rsidRPr="00D241C1">
        <w:rPr>
          <w:rFonts w:ascii="Times New Roman" w:hAnsi="Times New Roman" w:cs="Times New Roman"/>
          <w:sz w:val="24"/>
          <w:szCs w:val="24"/>
        </w:rPr>
        <w:t xml:space="preserve"> competition. </w:t>
      </w:r>
      <w:r w:rsidR="00497C70" w:rsidRPr="00C55ACB">
        <w:rPr>
          <w:rFonts w:ascii="Times New Roman" w:hAnsi="Times New Roman" w:cs="Times New Roman"/>
          <w:sz w:val="24"/>
          <w:szCs w:val="24"/>
        </w:rPr>
        <w:t xml:space="preserve">The wholesale </w:t>
      </w:r>
      <w:r w:rsidR="009B7F65" w:rsidRPr="00C55ACB">
        <w:rPr>
          <w:rFonts w:ascii="Times New Roman" w:hAnsi="Times New Roman" w:cs="Times New Roman"/>
          <w:sz w:val="24"/>
          <w:szCs w:val="24"/>
        </w:rPr>
        <w:t xml:space="preserve">CBDC </w:t>
      </w:r>
      <w:r w:rsidR="00497C70" w:rsidRPr="00C55ACB">
        <w:rPr>
          <w:rFonts w:ascii="Times New Roman" w:hAnsi="Times New Roman" w:cs="Times New Roman"/>
          <w:sz w:val="24"/>
          <w:szCs w:val="24"/>
        </w:rPr>
        <w:t xml:space="preserve">architecture should ensure that transaction details remain fully confidential, </w:t>
      </w:r>
      <w:r w:rsidR="009B7F65">
        <w:rPr>
          <w:rFonts w:ascii="Times New Roman" w:hAnsi="Times New Roman" w:cs="Times New Roman"/>
          <w:sz w:val="24"/>
          <w:szCs w:val="24"/>
        </w:rPr>
        <w:t>while allowing the</w:t>
      </w:r>
      <w:r w:rsidR="00497C70" w:rsidRPr="00C55ACB">
        <w:rPr>
          <w:rFonts w:ascii="Times New Roman" w:hAnsi="Times New Roman" w:cs="Times New Roman"/>
          <w:sz w:val="24"/>
          <w:szCs w:val="24"/>
        </w:rPr>
        <w:t xml:space="preserve"> central bank</w:t>
      </w:r>
      <w:r w:rsidR="009B7F65">
        <w:rPr>
          <w:rFonts w:ascii="Times New Roman" w:hAnsi="Times New Roman" w:cs="Times New Roman"/>
          <w:sz w:val="24"/>
          <w:szCs w:val="24"/>
        </w:rPr>
        <w:t xml:space="preserve"> or other regulatory and supervisory bodies to have full access to</w:t>
      </w:r>
      <w:r w:rsidR="00497C70" w:rsidRPr="00C55ACB">
        <w:rPr>
          <w:rFonts w:ascii="Times New Roman" w:hAnsi="Times New Roman" w:cs="Times New Roman"/>
          <w:sz w:val="24"/>
          <w:szCs w:val="24"/>
        </w:rPr>
        <w:t xml:space="preserve"> the payment system. </w:t>
      </w:r>
      <w:r w:rsidR="009B7F65">
        <w:rPr>
          <w:rFonts w:ascii="Times New Roman" w:hAnsi="Times New Roman" w:cs="Times New Roman"/>
          <w:sz w:val="24"/>
          <w:szCs w:val="24"/>
        </w:rPr>
        <w:t>Anonymity with traceability components could</w:t>
      </w:r>
      <w:r w:rsidR="009B7F65" w:rsidRPr="00C55ACB">
        <w:rPr>
          <w:rFonts w:ascii="Times New Roman" w:hAnsi="Times New Roman" w:cs="Times New Roman"/>
          <w:sz w:val="24"/>
          <w:szCs w:val="24"/>
        </w:rPr>
        <w:t xml:space="preserve"> </w:t>
      </w:r>
      <w:r w:rsidR="00497C70" w:rsidRPr="00C55ACB">
        <w:rPr>
          <w:rFonts w:ascii="Times New Roman" w:hAnsi="Times New Roman" w:cs="Times New Roman"/>
          <w:sz w:val="24"/>
          <w:szCs w:val="24"/>
        </w:rPr>
        <w:t xml:space="preserve">enable an effective level of privacy and confidentiality relevant for permissioned decentralized networks. </w:t>
      </w:r>
    </w:p>
    <w:p w14:paraId="70C98031" w14:textId="77777777" w:rsidR="00497C70" w:rsidRPr="000E19A4" w:rsidRDefault="00FB7067" w:rsidP="00DD71F4">
      <w:pPr>
        <w:pStyle w:val="BodyText"/>
        <w:spacing w:line="264" w:lineRule="auto"/>
        <w:jc w:val="both"/>
        <w:rPr>
          <w:rFonts w:ascii="Times New Roman" w:hAnsi="Times New Roman" w:cs="Times New Roman"/>
          <w:sz w:val="24"/>
          <w:szCs w:val="24"/>
        </w:rPr>
      </w:pPr>
      <w:r w:rsidRPr="000E19A4">
        <w:rPr>
          <w:rFonts w:ascii="Times New Roman" w:hAnsi="Times New Roman" w:cs="Times New Roman"/>
          <w:b/>
          <w:color w:val="1F497D" w:themeColor="text2"/>
          <w:sz w:val="24"/>
          <w:szCs w:val="24"/>
        </w:rPr>
        <w:t>E</w:t>
      </w:r>
      <w:r w:rsidR="00497C70" w:rsidRPr="000E19A4">
        <w:rPr>
          <w:rFonts w:ascii="Times New Roman" w:hAnsi="Times New Roman" w:cs="Times New Roman"/>
          <w:b/>
          <w:color w:val="1F497D" w:themeColor="text2"/>
          <w:sz w:val="24"/>
          <w:szCs w:val="24"/>
        </w:rPr>
        <w:t>nhance</w:t>
      </w:r>
      <w:r w:rsidRPr="000E19A4">
        <w:rPr>
          <w:rFonts w:ascii="Times New Roman" w:hAnsi="Times New Roman" w:cs="Times New Roman"/>
          <w:b/>
          <w:color w:val="1F497D" w:themeColor="text2"/>
          <w:sz w:val="24"/>
          <w:szCs w:val="24"/>
        </w:rPr>
        <w:t>d</w:t>
      </w:r>
      <w:r w:rsidR="00497C70" w:rsidRPr="000E19A4">
        <w:rPr>
          <w:rFonts w:ascii="Times New Roman" w:hAnsi="Times New Roman" w:cs="Times New Roman"/>
          <w:b/>
          <w:color w:val="1F497D" w:themeColor="text2"/>
          <w:sz w:val="24"/>
          <w:szCs w:val="24"/>
        </w:rPr>
        <w:t xml:space="preserve"> resilience of payment systems and their availability to market players </w:t>
      </w:r>
      <w:r w:rsidR="00C729EE" w:rsidRPr="000E19A4">
        <w:rPr>
          <w:rFonts w:ascii="Times New Roman" w:hAnsi="Times New Roman" w:cs="Times New Roman"/>
          <w:b/>
          <w:color w:val="1F497D" w:themeColor="text2"/>
          <w:sz w:val="24"/>
          <w:szCs w:val="24"/>
        </w:rPr>
        <w:t>should be available</w:t>
      </w:r>
      <w:r w:rsidR="00497C70" w:rsidRPr="000E19A4">
        <w:rPr>
          <w:rFonts w:ascii="Times New Roman" w:hAnsi="Times New Roman" w:cs="Times New Roman"/>
          <w:b/>
          <w:i/>
          <w:color w:val="1F497D" w:themeColor="text2"/>
          <w:sz w:val="24"/>
          <w:szCs w:val="24"/>
        </w:rPr>
        <w:t xml:space="preserve">: </w:t>
      </w:r>
      <w:r w:rsidR="00497C70" w:rsidRPr="000E19A4">
        <w:rPr>
          <w:rFonts w:ascii="Times New Roman" w:hAnsi="Times New Roman" w:cs="Times New Roman"/>
          <w:sz w:val="24"/>
          <w:szCs w:val="24"/>
        </w:rPr>
        <w:t>Layered technology architecture prevalent in current wholesale payment systems operated by various central banks is susceptible to technical faults (including cyber-attacks). A DLT</w:t>
      </w:r>
      <w:r w:rsidR="00C729EE" w:rsidRPr="000E19A4">
        <w:rPr>
          <w:rFonts w:ascii="Times New Roman" w:hAnsi="Times New Roman" w:cs="Times New Roman"/>
          <w:sz w:val="24"/>
          <w:szCs w:val="24"/>
        </w:rPr>
        <w:t>-enabled</w:t>
      </w:r>
      <w:r w:rsidR="00497C70" w:rsidRPr="000E19A4">
        <w:rPr>
          <w:rFonts w:ascii="Times New Roman" w:hAnsi="Times New Roman" w:cs="Times New Roman"/>
          <w:sz w:val="24"/>
          <w:szCs w:val="24"/>
        </w:rPr>
        <w:t xml:space="preserve"> </w:t>
      </w:r>
      <w:r w:rsidR="00C729EE" w:rsidRPr="000E19A4">
        <w:rPr>
          <w:rFonts w:ascii="Times New Roman" w:hAnsi="Times New Roman" w:cs="Times New Roman"/>
          <w:sz w:val="24"/>
          <w:szCs w:val="24"/>
        </w:rPr>
        <w:t xml:space="preserve">wholesale </w:t>
      </w:r>
      <w:r w:rsidR="00497C70" w:rsidRPr="000E19A4">
        <w:rPr>
          <w:rFonts w:ascii="Times New Roman" w:hAnsi="Times New Roman" w:cs="Times New Roman"/>
          <w:sz w:val="24"/>
          <w:szCs w:val="24"/>
        </w:rPr>
        <w:t>payment system architecture with a resilient design could address</w:t>
      </w:r>
      <w:r w:rsidR="00BF4BB2" w:rsidRPr="000E19A4">
        <w:rPr>
          <w:rFonts w:ascii="Times New Roman" w:hAnsi="Times New Roman" w:cs="Times New Roman"/>
          <w:sz w:val="24"/>
          <w:szCs w:val="24"/>
        </w:rPr>
        <w:t xml:space="preserve"> some of the</w:t>
      </w:r>
      <w:r w:rsidR="00497C70" w:rsidRPr="000E19A4">
        <w:rPr>
          <w:rFonts w:ascii="Times New Roman" w:hAnsi="Times New Roman" w:cs="Times New Roman"/>
          <w:sz w:val="24"/>
          <w:szCs w:val="24"/>
        </w:rPr>
        <w:t xml:space="preserve"> technical issues by promoting “zero-incident” operations (scenario in which the multiple incidents of disruption at different nodes is minimi</w:t>
      </w:r>
      <w:r w:rsidR="00C729EE" w:rsidRPr="000E19A4">
        <w:rPr>
          <w:rFonts w:ascii="Times New Roman" w:hAnsi="Times New Roman" w:cs="Times New Roman"/>
          <w:sz w:val="24"/>
          <w:szCs w:val="24"/>
        </w:rPr>
        <w:t>z</w:t>
      </w:r>
      <w:r w:rsidR="00497C70" w:rsidRPr="000E19A4">
        <w:rPr>
          <w:rFonts w:ascii="Times New Roman" w:hAnsi="Times New Roman" w:cs="Times New Roman"/>
          <w:sz w:val="24"/>
          <w:szCs w:val="24"/>
        </w:rPr>
        <w:t xml:space="preserve">ed). </w:t>
      </w:r>
      <w:r w:rsidR="00C729EE" w:rsidRPr="000E19A4">
        <w:rPr>
          <w:rFonts w:ascii="Times New Roman" w:hAnsi="Times New Roman" w:cs="Times New Roman"/>
          <w:sz w:val="24"/>
          <w:szCs w:val="24"/>
        </w:rPr>
        <w:t>A consensus mechanism that allows the i</w:t>
      </w:r>
      <w:r w:rsidR="00497C70" w:rsidRPr="000E19A4">
        <w:rPr>
          <w:rFonts w:ascii="Times New Roman" w:hAnsi="Times New Roman" w:cs="Times New Roman"/>
          <w:sz w:val="24"/>
          <w:szCs w:val="24"/>
        </w:rPr>
        <w:t>ndependent</w:t>
      </w:r>
      <w:r w:rsidR="00C729EE" w:rsidRPr="000E19A4">
        <w:rPr>
          <w:rFonts w:ascii="Times New Roman" w:hAnsi="Times New Roman" w:cs="Times New Roman"/>
          <w:sz w:val="24"/>
          <w:szCs w:val="24"/>
        </w:rPr>
        <w:t xml:space="preserve"> </w:t>
      </w:r>
      <w:r w:rsidR="00497C70" w:rsidRPr="000E19A4">
        <w:rPr>
          <w:rFonts w:ascii="Times New Roman" w:hAnsi="Times New Roman" w:cs="Times New Roman"/>
          <w:sz w:val="24"/>
          <w:szCs w:val="24"/>
        </w:rPr>
        <w:t>validati</w:t>
      </w:r>
      <w:r w:rsidR="00C729EE" w:rsidRPr="000E19A4">
        <w:rPr>
          <w:rFonts w:ascii="Times New Roman" w:hAnsi="Times New Roman" w:cs="Times New Roman"/>
          <w:sz w:val="24"/>
          <w:szCs w:val="24"/>
        </w:rPr>
        <w:t>on of</w:t>
      </w:r>
      <w:r w:rsidR="00497C70" w:rsidRPr="000E19A4">
        <w:rPr>
          <w:rFonts w:ascii="Times New Roman" w:hAnsi="Times New Roman" w:cs="Times New Roman"/>
          <w:sz w:val="24"/>
          <w:szCs w:val="24"/>
        </w:rPr>
        <w:t xml:space="preserve"> multiple-node</w:t>
      </w:r>
      <w:r w:rsidR="00C729EE" w:rsidRPr="000E19A4">
        <w:rPr>
          <w:rFonts w:ascii="Times New Roman" w:hAnsi="Times New Roman" w:cs="Times New Roman"/>
          <w:sz w:val="24"/>
          <w:szCs w:val="24"/>
        </w:rPr>
        <w:t>s</w:t>
      </w:r>
      <w:r w:rsidR="00497C70" w:rsidRPr="000E19A4">
        <w:rPr>
          <w:rFonts w:ascii="Times New Roman" w:hAnsi="Times New Roman" w:cs="Times New Roman"/>
          <w:sz w:val="24"/>
          <w:szCs w:val="24"/>
        </w:rPr>
        <w:t xml:space="preserve"> could prevent contagion spreading from a cyber-hack of a single central point. Experiments by Singapore and South Africa provide insights into design considerations through presence of notary and supervisory nodes, coordinated end-to-end procedures and sufficient disaster recovery procedures. These design considerations contribute to achieving high availability redundancy</w:t>
      </w:r>
      <w:r w:rsidR="00C729EE" w:rsidRPr="000E19A4">
        <w:rPr>
          <w:rFonts w:ascii="Times New Roman" w:hAnsi="Times New Roman" w:cs="Times New Roman"/>
          <w:sz w:val="24"/>
          <w:szCs w:val="24"/>
        </w:rPr>
        <w:t xml:space="preserve"> and</w:t>
      </w:r>
      <w:r w:rsidR="00497C70" w:rsidRPr="000E19A4">
        <w:rPr>
          <w:rFonts w:ascii="Times New Roman" w:hAnsi="Times New Roman" w:cs="Times New Roman"/>
          <w:sz w:val="24"/>
          <w:szCs w:val="24"/>
        </w:rPr>
        <w:t xml:space="preserve"> ensure business continuity</w:t>
      </w:r>
      <w:r w:rsidR="00C729EE" w:rsidRPr="000E19A4">
        <w:rPr>
          <w:rFonts w:ascii="Times New Roman" w:hAnsi="Times New Roman" w:cs="Times New Roman"/>
          <w:sz w:val="24"/>
          <w:szCs w:val="24"/>
        </w:rPr>
        <w:t>.</w:t>
      </w:r>
    </w:p>
    <w:p w14:paraId="7D47BB61" w14:textId="3ADCB337" w:rsidR="00497C70" w:rsidRPr="000E19A4" w:rsidRDefault="00511E40" w:rsidP="00DD71F4">
      <w:pPr>
        <w:pStyle w:val="BodyText"/>
        <w:spacing w:line="264" w:lineRule="auto"/>
        <w:jc w:val="both"/>
        <w:rPr>
          <w:rFonts w:ascii="Times New Roman" w:hAnsi="Times New Roman" w:cs="Times New Roman"/>
          <w:sz w:val="24"/>
          <w:szCs w:val="24"/>
        </w:rPr>
      </w:pPr>
      <w:r w:rsidRPr="000E19A4">
        <w:rPr>
          <w:rFonts w:ascii="Times New Roman" w:hAnsi="Times New Roman" w:cs="Times New Roman"/>
          <w:b/>
          <w:color w:val="1F497D" w:themeColor="text2"/>
          <w:sz w:val="24"/>
          <w:szCs w:val="24"/>
        </w:rPr>
        <w:t>F</w:t>
      </w:r>
      <w:r w:rsidR="00497C70" w:rsidRPr="000E19A4">
        <w:rPr>
          <w:rFonts w:ascii="Times New Roman" w:hAnsi="Times New Roman" w:cs="Times New Roman"/>
          <w:b/>
          <w:color w:val="1F497D" w:themeColor="text2"/>
          <w:sz w:val="24"/>
          <w:szCs w:val="24"/>
        </w:rPr>
        <w:t xml:space="preserve">acilitate </w:t>
      </w:r>
      <w:r w:rsidR="00753936" w:rsidRPr="000E19A4">
        <w:rPr>
          <w:rFonts w:ascii="Times New Roman" w:hAnsi="Times New Roman" w:cs="Times New Roman"/>
          <w:b/>
          <w:color w:val="1F497D" w:themeColor="text2"/>
          <w:sz w:val="24"/>
          <w:szCs w:val="24"/>
        </w:rPr>
        <w:t xml:space="preserve">wider </w:t>
      </w:r>
      <w:r w:rsidR="00497C70" w:rsidRPr="000E19A4">
        <w:rPr>
          <w:rFonts w:ascii="Times New Roman" w:hAnsi="Times New Roman" w:cs="Times New Roman"/>
          <w:b/>
          <w:color w:val="1F497D" w:themeColor="text2"/>
          <w:sz w:val="24"/>
          <w:szCs w:val="24"/>
        </w:rPr>
        <w:t xml:space="preserve">access </w:t>
      </w:r>
      <w:r w:rsidR="00753936" w:rsidRPr="000E19A4">
        <w:rPr>
          <w:rFonts w:ascii="Times New Roman" w:hAnsi="Times New Roman" w:cs="Times New Roman"/>
          <w:b/>
          <w:color w:val="1F497D" w:themeColor="text2"/>
          <w:sz w:val="24"/>
          <w:szCs w:val="24"/>
        </w:rPr>
        <w:t xml:space="preserve">to </w:t>
      </w:r>
      <w:r w:rsidR="00497C70" w:rsidRPr="000E19A4">
        <w:rPr>
          <w:rFonts w:ascii="Times New Roman" w:hAnsi="Times New Roman" w:cs="Times New Roman"/>
          <w:b/>
          <w:color w:val="1F497D" w:themeColor="text2"/>
          <w:sz w:val="24"/>
          <w:szCs w:val="24"/>
        </w:rPr>
        <w:t xml:space="preserve">wholesale payment systems </w:t>
      </w:r>
      <w:r w:rsidR="00753936" w:rsidRPr="000E19A4">
        <w:rPr>
          <w:rFonts w:ascii="Times New Roman" w:hAnsi="Times New Roman" w:cs="Times New Roman"/>
          <w:b/>
          <w:color w:val="1F497D" w:themeColor="text2"/>
          <w:sz w:val="24"/>
          <w:szCs w:val="24"/>
        </w:rPr>
        <w:t xml:space="preserve">by </w:t>
      </w:r>
      <w:r w:rsidRPr="000E19A4">
        <w:rPr>
          <w:rFonts w:ascii="Times New Roman" w:hAnsi="Times New Roman" w:cs="Times New Roman"/>
          <w:b/>
          <w:color w:val="1F497D" w:themeColor="text2"/>
          <w:sz w:val="24"/>
          <w:szCs w:val="24"/>
        </w:rPr>
        <w:t xml:space="preserve">non-financial </w:t>
      </w:r>
      <w:r w:rsidR="00497C70" w:rsidRPr="000E19A4">
        <w:rPr>
          <w:rFonts w:ascii="Times New Roman" w:hAnsi="Times New Roman" w:cs="Times New Roman"/>
          <w:b/>
          <w:color w:val="1F497D" w:themeColor="text2"/>
          <w:sz w:val="24"/>
          <w:szCs w:val="24"/>
        </w:rPr>
        <w:t>institutions:</w:t>
      </w:r>
      <w:r w:rsidR="00497C70" w:rsidRPr="000E19A4">
        <w:rPr>
          <w:rFonts w:ascii="Times New Roman" w:hAnsi="Times New Roman" w:cs="Times New Roman"/>
          <w:b/>
          <w:i/>
          <w:color w:val="1F497D" w:themeColor="text2"/>
          <w:sz w:val="24"/>
          <w:szCs w:val="24"/>
        </w:rPr>
        <w:t xml:space="preserve"> </w:t>
      </w:r>
      <w:r w:rsidRPr="000E19A4">
        <w:rPr>
          <w:rFonts w:ascii="Times New Roman" w:hAnsi="Times New Roman" w:cs="Times New Roman"/>
          <w:sz w:val="24"/>
          <w:szCs w:val="24"/>
        </w:rPr>
        <w:t xml:space="preserve">Allowing </w:t>
      </w:r>
      <w:r w:rsidR="00497C70" w:rsidRPr="000E19A4">
        <w:rPr>
          <w:rFonts w:ascii="Times New Roman" w:hAnsi="Times New Roman" w:cs="Times New Roman"/>
          <w:sz w:val="24"/>
          <w:szCs w:val="24"/>
        </w:rPr>
        <w:t xml:space="preserve">access to non-bank participants </w:t>
      </w:r>
      <w:r w:rsidRPr="000E19A4">
        <w:rPr>
          <w:rFonts w:ascii="Times New Roman" w:hAnsi="Times New Roman" w:cs="Times New Roman"/>
          <w:sz w:val="24"/>
          <w:szCs w:val="24"/>
        </w:rPr>
        <w:t xml:space="preserve">has been tested in several projects such as </w:t>
      </w:r>
      <w:r w:rsidR="00497C70" w:rsidRPr="000E19A4">
        <w:rPr>
          <w:rFonts w:ascii="Times New Roman" w:hAnsi="Times New Roman" w:cs="Times New Roman"/>
          <w:sz w:val="24"/>
          <w:szCs w:val="24"/>
        </w:rPr>
        <w:t xml:space="preserve">the </w:t>
      </w:r>
      <w:r w:rsidRPr="000E19A4">
        <w:rPr>
          <w:rFonts w:ascii="Times New Roman" w:hAnsi="Times New Roman" w:cs="Times New Roman"/>
          <w:sz w:val="24"/>
          <w:szCs w:val="24"/>
        </w:rPr>
        <w:t>Hong Kong Monetary Authority (HKMA)</w:t>
      </w:r>
      <w:r w:rsidR="00925A2E">
        <w:rPr>
          <w:rFonts w:ascii="Times New Roman" w:hAnsi="Times New Roman" w:cs="Times New Roman"/>
          <w:sz w:val="24"/>
          <w:szCs w:val="24"/>
        </w:rPr>
        <w:t>,</w:t>
      </w:r>
      <w:r w:rsidRPr="000E19A4">
        <w:rPr>
          <w:rFonts w:ascii="Times New Roman" w:hAnsi="Times New Roman" w:cs="Times New Roman"/>
          <w:sz w:val="24"/>
          <w:szCs w:val="24"/>
        </w:rPr>
        <w:t xml:space="preserve"> </w:t>
      </w:r>
      <w:r w:rsidR="00497C70" w:rsidRPr="000E19A4">
        <w:rPr>
          <w:rFonts w:ascii="Times New Roman" w:hAnsi="Times New Roman" w:cs="Times New Roman"/>
          <w:sz w:val="24"/>
          <w:szCs w:val="24"/>
        </w:rPr>
        <w:t xml:space="preserve">Project Lion Rock </w:t>
      </w:r>
      <w:r w:rsidRPr="000E19A4">
        <w:rPr>
          <w:rFonts w:ascii="Times New Roman" w:hAnsi="Times New Roman" w:cs="Times New Roman"/>
          <w:sz w:val="24"/>
          <w:szCs w:val="24"/>
        </w:rPr>
        <w:t xml:space="preserve">through </w:t>
      </w:r>
      <w:r w:rsidR="00497C70" w:rsidRPr="000E19A4">
        <w:rPr>
          <w:rFonts w:ascii="Times New Roman" w:hAnsi="Times New Roman" w:cs="Times New Roman"/>
          <w:sz w:val="24"/>
          <w:szCs w:val="24"/>
        </w:rPr>
        <w:t>DLT</w:t>
      </w:r>
      <w:r w:rsidRPr="000E19A4">
        <w:rPr>
          <w:rFonts w:ascii="Times New Roman" w:hAnsi="Times New Roman" w:cs="Times New Roman"/>
          <w:sz w:val="24"/>
          <w:szCs w:val="24"/>
        </w:rPr>
        <w:t>-enabled</w:t>
      </w:r>
      <w:r w:rsidR="00497C70" w:rsidRPr="000E19A4">
        <w:rPr>
          <w:rFonts w:ascii="Times New Roman" w:hAnsi="Times New Roman" w:cs="Times New Roman"/>
          <w:sz w:val="24"/>
          <w:szCs w:val="24"/>
        </w:rPr>
        <w:t xml:space="preserve"> corporate payments at </w:t>
      </w:r>
      <w:r w:rsidRPr="000E19A4">
        <w:rPr>
          <w:rFonts w:ascii="Times New Roman" w:hAnsi="Times New Roman" w:cs="Times New Roman"/>
          <w:sz w:val="24"/>
          <w:szCs w:val="24"/>
        </w:rPr>
        <w:t xml:space="preserve">the </w:t>
      </w:r>
      <w:r w:rsidR="00497C70" w:rsidRPr="000E19A4">
        <w:rPr>
          <w:rFonts w:ascii="Times New Roman" w:hAnsi="Times New Roman" w:cs="Times New Roman"/>
          <w:sz w:val="24"/>
          <w:szCs w:val="24"/>
        </w:rPr>
        <w:t>wholesale level</w:t>
      </w:r>
      <w:r w:rsidR="00925A2E">
        <w:rPr>
          <w:rFonts w:ascii="Times New Roman" w:hAnsi="Times New Roman" w:cs="Times New Roman"/>
          <w:sz w:val="24"/>
          <w:szCs w:val="24"/>
        </w:rPr>
        <w:t>,</w:t>
      </w:r>
      <w:r w:rsidRPr="000E19A4">
        <w:rPr>
          <w:rFonts w:ascii="Times New Roman" w:hAnsi="Times New Roman" w:cs="Times New Roman"/>
          <w:sz w:val="24"/>
          <w:szCs w:val="24"/>
        </w:rPr>
        <w:t xml:space="preserve"> in addition to</w:t>
      </w:r>
      <w:r w:rsidR="00497C70" w:rsidRPr="000E19A4">
        <w:rPr>
          <w:rFonts w:ascii="Times New Roman" w:hAnsi="Times New Roman" w:cs="Times New Roman"/>
          <w:sz w:val="24"/>
          <w:szCs w:val="24"/>
        </w:rPr>
        <w:t xml:space="preserve"> domestic inter-bank payments and </w:t>
      </w:r>
      <w:r w:rsidRPr="000E19A4">
        <w:rPr>
          <w:rFonts w:ascii="Times New Roman" w:hAnsi="Times New Roman" w:cs="Times New Roman"/>
          <w:sz w:val="24"/>
          <w:szCs w:val="24"/>
        </w:rPr>
        <w:t xml:space="preserve">the settlement of </w:t>
      </w:r>
      <w:r w:rsidR="00497C70" w:rsidRPr="000E19A4">
        <w:rPr>
          <w:rFonts w:ascii="Times New Roman" w:hAnsi="Times New Roman" w:cs="Times New Roman"/>
          <w:sz w:val="24"/>
          <w:szCs w:val="24"/>
        </w:rPr>
        <w:t>delivery-versus-payment of debt securities.</w:t>
      </w:r>
      <w:r w:rsidRPr="000E19A4">
        <w:rPr>
          <w:rFonts w:ascii="Times New Roman" w:hAnsi="Times New Roman" w:cs="Times New Roman"/>
          <w:sz w:val="24"/>
          <w:szCs w:val="24"/>
        </w:rPr>
        <w:t xml:space="preserve"> </w:t>
      </w:r>
      <w:r w:rsidR="00497C70" w:rsidRPr="000E19A4">
        <w:rPr>
          <w:rFonts w:ascii="Times New Roman" w:hAnsi="Times New Roman" w:cs="Times New Roman"/>
          <w:sz w:val="24"/>
          <w:szCs w:val="24"/>
        </w:rPr>
        <w:t xml:space="preserve">However, </w:t>
      </w:r>
      <w:r w:rsidR="00753936" w:rsidRPr="000E19A4">
        <w:rPr>
          <w:rFonts w:ascii="Times New Roman" w:hAnsi="Times New Roman" w:cs="Times New Roman"/>
          <w:sz w:val="24"/>
          <w:szCs w:val="24"/>
        </w:rPr>
        <w:t xml:space="preserve">this expanded </w:t>
      </w:r>
      <w:r w:rsidR="00497C70" w:rsidRPr="000E19A4">
        <w:rPr>
          <w:rFonts w:ascii="Times New Roman" w:hAnsi="Times New Roman" w:cs="Times New Roman"/>
          <w:sz w:val="24"/>
          <w:szCs w:val="24"/>
        </w:rPr>
        <w:t xml:space="preserve">access would </w:t>
      </w:r>
      <w:r w:rsidR="00753936" w:rsidRPr="000E19A4">
        <w:rPr>
          <w:rFonts w:ascii="Times New Roman" w:hAnsi="Times New Roman" w:cs="Times New Roman"/>
          <w:sz w:val="24"/>
          <w:szCs w:val="24"/>
        </w:rPr>
        <w:t xml:space="preserve">require </w:t>
      </w:r>
      <w:r w:rsidR="00497C70" w:rsidRPr="000E19A4">
        <w:rPr>
          <w:rFonts w:ascii="Times New Roman" w:hAnsi="Times New Roman" w:cs="Times New Roman"/>
          <w:sz w:val="24"/>
          <w:szCs w:val="24"/>
        </w:rPr>
        <w:t>multiple policy changes such as</w:t>
      </w:r>
      <w:r w:rsidR="00753936" w:rsidRPr="000E19A4">
        <w:rPr>
          <w:rFonts w:ascii="Times New Roman" w:hAnsi="Times New Roman" w:cs="Times New Roman"/>
          <w:sz w:val="24"/>
          <w:szCs w:val="24"/>
        </w:rPr>
        <w:t xml:space="preserve"> the </w:t>
      </w:r>
      <w:r w:rsidR="00497C70" w:rsidRPr="000E19A4">
        <w:rPr>
          <w:rFonts w:ascii="Times New Roman" w:hAnsi="Times New Roman" w:cs="Times New Roman"/>
          <w:sz w:val="24"/>
          <w:szCs w:val="24"/>
        </w:rPr>
        <w:t xml:space="preserve">new licensing regime of Bank of England under which non-bank fintech firms are allowed to participate in central bank payment systems directly. </w:t>
      </w:r>
      <w:r w:rsidR="00753936" w:rsidRPr="000E19A4">
        <w:rPr>
          <w:rFonts w:ascii="Times New Roman" w:hAnsi="Times New Roman" w:cs="Times New Roman"/>
          <w:sz w:val="24"/>
          <w:szCs w:val="24"/>
        </w:rPr>
        <w:t>Operational efficiency gains introduced by</w:t>
      </w:r>
      <w:r w:rsidR="00497C70" w:rsidRPr="000E19A4">
        <w:rPr>
          <w:rFonts w:ascii="Times New Roman" w:hAnsi="Times New Roman" w:cs="Times New Roman"/>
          <w:sz w:val="24"/>
          <w:szCs w:val="24"/>
        </w:rPr>
        <w:t xml:space="preserve"> matured DLT systems, would allow the wholesale </w:t>
      </w:r>
      <w:r w:rsidR="00753936" w:rsidRPr="000E19A4">
        <w:rPr>
          <w:rFonts w:ascii="Times New Roman" w:hAnsi="Times New Roman" w:cs="Times New Roman"/>
          <w:sz w:val="24"/>
          <w:szCs w:val="24"/>
        </w:rPr>
        <w:t xml:space="preserve">CBDC </w:t>
      </w:r>
      <w:r w:rsidR="00497C70" w:rsidRPr="000E19A4">
        <w:rPr>
          <w:rFonts w:ascii="Times New Roman" w:hAnsi="Times New Roman" w:cs="Times New Roman"/>
          <w:sz w:val="24"/>
          <w:szCs w:val="24"/>
        </w:rPr>
        <w:t xml:space="preserve">system to </w:t>
      </w:r>
      <w:r w:rsidR="00753936" w:rsidRPr="000E19A4">
        <w:rPr>
          <w:rFonts w:ascii="Times New Roman" w:hAnsi="Times New Roman" w:cs="Times New Roman"/>
          <w:sz w:val="24"/>
          <w:szCs w:val="24"/>
        </w:rPr>
        <w:t xml:space="preserve">allow wider access to the networks </w:t>
      </w:r>
      <w:r w:rsidR="00497C70" w:rsidRPr="000E19A4">
        <w:rPr>
          <w:rFonts w:ascii="Times New Roman" w:hAnsi="Times New Roman" w:cs="Times New Roman"/>
          <w:sz w:val="24"/>
          <w:szCs w:val="24"/>
        </w:rPr>
        <w:t>without expanding the processing capacity of the payment system (</w:t>
      </w:r>
      <w:r w:rsidR="00497C70" w:rsidRPr="000E19A4">
        <w:rPr>
          <w:rFonts w:ascii="Times New Roman" w:hAnsi="Times New Roman" w:cs="Times New Roman"/>
          <w:b/>
          <w:i/>
          <w:color w:val="1F497D" w:themeColor="text2"/>
          <w:sz w:val="24"/>
          <w:szCs w:val="24"/>
        </w:rPr>
        <w:t>IBM 2018</w:t>
      </w:r>
      <w:r w:rsidR="00497C70" w:rsidRPr="000E19A4">
        <w:rPr>
          <w:rFonts w:ascii="Times New Roman" w:hAnsi="Times New Roman" w:cs="Times New Roman"/>
          <w:sz w:val="24"/>
          <w:szCs w:val="24"/>
        </w:rPr>
        <w:t xml:space="preserve">). </w:t>
      </w:r>
    </w:p>
    <w:p w14:paraId="43EC6183" w14:textId="77777777" w:rsidR="00497C70" w:rsidRPr="000E19A4" w:rsidRDefault="00616CA6" w:rsidP="00DD71F4">
      <w:pPr>
        <w:pStyle w:val="BodyText"/>
        <w:spacing w:line="264" w:lineRule="auto"/>
        <w:jc w:val="both"/>
        <w:rPr>
          <w:rFonts w:ascii="Times New Roman" w:hAnsi="Times New Roman" w:cs="Times New Roman"/>
          <w:b/>
          <w:i/>
          <w:color w:val="1F497D" w:themeColor="text2"/>
          <w:sz w:val="24"/>
          <w:szCs w:val="24"/>
        </w:rPr>
      </w:pPr>
      <w:r w:rsidRPr="000E19A4">
        <w:rPr>
          <w:rFonts w:ascii="Times New Roman" w:hAnsi="Times New Roman" w:cs="Times New Roman"/>
          <w:b/>
          <w:color w:val="1F497D" w:themeColor="text2"/>
          <w:sz w:val="24"/>
          <w:szCs w:val="24"/>
        </w:rPr>
        <w:t>E</w:t>
      </w:r>
      <w:r w:rsidR="00497C70" w:rsidRPr="000E19A4">
        <w:rPr>
          <w:rFonts w:ascii="Times New Roman" w:hAnsi="Times New Roman" w:cs="Times New Roman"/>
          <w:b/>
          <w:color w:val="1F497D" w:themeColor="text2"/>
          <w:sz w:val="24"/>
          <w:szCs w:val="24"/>
        </w:rPr>
        <w:t>nsure acceptable trade-offs between various design considerations:</w:t>
      </w:r>
      <w:r w:rsidR="00497C70" w:rsidRPr="000E19A4">
        <w:rPr>
          <w:rFonts w:ascii="Times New Roman" w:hAnsi="Times New Roman" w:cs="Times New Roman"/>
          <w:b/>
          <w:i/>
          <w:color w:val="1F497D" w:themeColor="text2"/>
          <w:sz w:val="24"/>
          <w:szCs w:val="24"/>
        </w:rPr>
        <w:t xml:space="preserve"> </w:t>
      </w:r>
      <w:r w:rsidRPr="000E19A4">
        <w:rPr>
          <w:rFonts w:ascii="Times New Roman" w:hAnsi="Times New Roman" w:cs="Times New Roman"/>
          <w:sz w:val="24"/>
          <w:szCs w:val="24"/>
        </w:rPr>
        <w:t>Central banks should consider the individual design considerations holistically and not in isolation. The d</w:t>
      </w:r>
      <w:r w:rsidR="00497C70" w:rsidRPr="000E19A4">
        <w:rPr>
          <w:rFonts w:ascii="Times New Roman" w:hAnsi="Times New Roman" w:cs="Times New Roman"/>
          <w:sz w:val="24"/>
          <w:szCs w:val="24"/>
        </w:rPr>
        <w:t xml:space="preserve">esign considerations typically involve trade-offs </w:t>
      </w:r>
      <w:r w:rsidRPr="000E19A4">
        <w:rPr>
          <w:rFonts w:ascii="Times New Roman" w:hAnsi="Times New Roman" w:cs="Times New Roman"/>
          <w:sz w:val="24"/>
          <w:szCs w:val="24"/>
        </w:rPr>
        <w:t xml:space="preserve">in payment system </w:t>
      </w:r>
      <w:r w:rsidR="00497C70" w:rsidRPr="000E19A4">
        <w:rPr>
          <w:rFonts w:ascii="Times New Roman" w:hAnsi="Times New Roman" w:cs="Times New Roman"/>
          <w:sz w:val="24"/>
          <w:szCs w:val="24"/>
        </w:rPr>
        <w:t xml:space="preserve">requirements. </w:t>
      </w:r>
      <w:r w:rsidRPr="000E19A4">
        <w:rPr>
          <w:rFonts w:ascii="Times New Roman" w:hAnsi="Times New Roman" w:cs="Times New Roman"/>
          <w:sz w:val="24"/>
          <w:szCs w:val="24"/>
        </w:rPr>
        <w:t>C</w:t>
      </w:r>
      <w:r w:rsidR="00497C70" w:rsidRPr="000E19A4">
        <w:rPr>
          <w:rFonts w:ascii="Times New Roman" w:hAnsi="Times New Roman" w:cs="Times New Roman"/>
          <w:sz w:val="24"/>
          <w:szCs w:val="24"/>
        </w:rPr>
        <w:t>entral bank</w:t>
      </w:r>
      <w:r w:rsidRPr="000E19A4">
        <w:rPr>
          <w:rFonts w:ascii="Times New Roman" w:hAnsi="Times New Roman" w:cs="Times New Roman"/>
          <w:sz w:val="24"/>
          <w:szCs w:val="24"/>
        </w:rPr>
        <w:t xml:space="preserve"> experiments</w:t>
      </w:r>
      <w:r w:rsidR="00497C70" w:rsidRPr="000E19A4">
        <w:rPr>
          <w:rFonts w:ascii="Times New Roman" w:hAnsi="Times New Roman" w:cs="Times New Roman"/>
          <w:sz w:val="24"/>
          <w:szCs w:val="24"/>
        </w:rPr>
        <w:t xml:space="preserve"> (such as Project Jasper Phase 2) </w:t>
      </w:r>
      <w:r w:rsidRPr="000E19A4">
        <w:rPr>
          <w:rFonts w:ascii="Times New Roman" w:hAnsi="Times New Roman" w:cs="Times New Roman"/>
          <w:sz w:val="24"/>
          <w:szCs w:val="24"/>
        </w:rPr>
        <w:t xml:space="preserve">point to resilience related </w:t>
      </w:r>
      <w:r w:rsidR="00497C70" w:rsidRPr="000E19A4">
        <w:rPr>
          <w:rFonts w:ascii="Times New Roman" w:hAnsi="Times New Roman" w:cs="Times New Roman"/>
          <w:sz w:val="24"/>
          <w:szCs w:val="24"/>
        </w:rPr>
        <w:t>challenges</w:t>
      </w:r>
      <w:r w:rsidRPr="000E19A4">
        <w:rPr>
          <w:rFonts w:ascii="Times New Roman" w:hAnsi="Times New Roman" w:cs="Times New Roman"/>
          <w:sz w:val="24"/>
          <w:szCs w:val="24"/>
        </w:rPr>
        <w:t xml:space="preserve">, </w:t>
      </w:r>
      <w:r w:rsidR="00497C70" w:rsidRPr="000E19A4">
        <w:rPr>
          <w:rFonts w:ascii="Times New Roman" w:hAnsi="Times New Roman" w:cs="Times New Roman"/>
          <w:sz w:val="24"/>
          <w:szCs w:val="24"/>
        </w:rPr>
        <w:t xml:space="preserve">while demonstrating </w:t>
      </w:r>
      <w:r w:rsidRPr="000E19A4">
        <w:rPr>
          <w:rFonts w:ascii="Times New Roman" w:hAnsi="Times New Roman" w:cs="Times New Roman"/>
          <w:sz w:val="24"/>
          <w:szCs w:val="24"/>
        </w:rPr>
        <w:t xml:space="preserve">robust </w:t>
      </w:r>
      <w:r w:rsidR="00497C70" w:rsidRPr="000E19A4">
        <w:rPr>
          <w:rFonts w:ascii="Times New Roman" w:hAnsi="Times New Roman" w:cs="Times New Roman"/>
          <w:sz w:val="24"/>
          <w:szCs w:val="24"/>
        </w:rPr>
        <w:t xml:space="preserve">privacy and </w:t>
      </w:r>
      <w:r w:rsidRPr="000E19A4">
        <w:rPr>
          <w:rFonts w:ascii="Times New Roman" w:hAnsi="Times New Roman" w:cs="Times New Roman"/>
          <w:sz w:val="24"/>
          <w:szCs w:val="24"/>
        </w:rPr>
        <w:t xml:space="preserve">acceptable </w:t>
      </w:r>
      <w:r w:rsidR="00497C70" w:rsidRPr="000E19A4">
        <w:rPr>
          <w:rFonts w:ascii="Times New Roman" w:hAnsi="Times New Roman" w:cs="Times New Roman"/>
          <w:sz w:val="24"/>
          <w:szCs w:val="24"/>
        </w:rPr>
        <w:t xml:space="preserve">transaction speed. </w:t>
      </w:r>
      <w:r w:rsidR="00E54C26" w:rsidRPr="000E19A4">
        <w:rPr>
          <w:rFonts w:ascii="Times New Roman" w:hAnsi="Times New Roman" w:cs="Times New Roman"/>
          <w:sz w:val="24"/>
          <w:szCs w:val="24"/>
        </w:rPr>
        <w:t>Although the existing trade-offs are inevitable currently, technological</w:t>
      </w:r>
      <w:r w:rsidR="00497C70" w:rsidRPr="000E19A4">
        <w:rPr>
          <w:rFonts w:ascii="Times New Roman" w:hAnsi="Times New Roman" w:cs="Times New Roman"/>
          <w:sz w:val="24"/>
          <w:szCs w:val="24"/>
        </w:rPr>
        <w:t xml:space="preserve"> development efforts </w:t>
      </w:r>
      <w:r w:rsidR="00E54C26" w:rsidRPr="000E19A4">
        <w:rPr>
          <w:rFonts w:ascii="Times New Roman" w:hAnsi="Times New Roman" w:cs="Times New Roman"/>
          <w:sz w:val="24"/>
          <w:szCs w:val="24"/>
        </w:rPr>
        <w:t xml:space="preserve">will aspire to </w:t>
      </w:r>
      <w:r w:rsidR="00497C70" w:rsidRPr="000E19A4">
        <w:rPr>
          <w:rFonts w:ascii="Times New Roman" w:hAnsi="Times New Roman" w:cs="Times New Roman"/>
          <w:sz w:val="24"/>
          <w:szCs w:val="24"/>
        </w:rPr>
        <w:t>address these issues</w:t>
      </w:r>
      <w:r w:rsidR="00E54C26" w:rsidRPr="000E19A4">
        <w:rPr>
          <w:rFonts w:ascii="Times New Roman" w:hAnsi="Times New Roman" w:cs="Times New Roman"/>
          <w:sz w:val="24"/>
          <w:szCs w:val="24"/>
        </w:rPr>
        <w:t xml:space="preserve"> in the near future</w:t>
      </w:r>
      <w:r w:rsidR="00497C70" w:rsidRPr="000E19A4">
        <w:rPr>
          <w:rFonts w:ascii="Times New Roman" w:hAnsi="Times New Roman" w:cs="Times New Roman"/>
          <w:sz w:val="24"/>
          <w:szCs w:val="24"/>
        </w:rPr>
        <w:t xml:space="preserve">. For instance, settlement finality (identified as a potential design issue during early central bank experiments) </w:t>
      </w:r>
      <w:r w:rsidR="005503C5" w:rsidRPr="000E19A4">
        <w:rPr>
          <w:rFonts w:ascii="Times New Roman" w:hAnsi="Times New Roman" w:cs="Times New Roman"/>
          <w:sz w:val="24"/>
          <w:szCs w:val="24"/>
        </w:rPr>
        <w:t>has been resolved</w:t>
      </w:r>
      <w:r w:rsidR="00497C70" w:rsidRPr="000E19A4">
        <w:rPr>
          <w:rFonts w:ascii="Times New Roman" w:hAnsi="Times New Roman" w:cs="Times New Roman"/>
          <w:sz w:val="24"/>
          <w:szCs w:val="24"/>
        </w:rPr>
        <w:t xml:space="preserve"> </w:t>
      </w:r>
      <w:r w:rsidR="000060C8" w:rsidRPr="000E19A4">
        <w:rPr>
          <w:rFonts w:ascii="Times New Roman" w:hAnsi="Times New Roman" w:cs="Times New Roman"/>
          <w:sz w:val="24"/>
          <w:szCs w:val="24"/>
        </w:rPr>
        <w:t>as</w:t>
      </w:r>
      <w:r w:rsidR="00497C70" w:rsidRPr="000E19A4">
        <w:rPr>
          <w:rFonts w:ascii="Times New Roman" w:hAnsi="Times New Roman" w:cs="Times New Roman"/>
          <w:sz w:val="24"/>
          <w:szCs w:val="24"/>
        </w:rPr>
        <w:t xml:space="preserve"> </w:t>
      </w:r>
      <w:r w:rsidR="000060C8" w:rsidRPr="000E19A4">
        <w:rPr>
          <w:rFonts w:ascii="Times New Roman" w:hAnsi="Times New Roman" w:cs="Times New Roman"/>
          <w:sz w:val="24"/>
          <w:szCs w:val="24"/>
        </w:rPr>
        <w:t xml:space="preserve">a </w:t>
      </w:r>
      <w:r w:rsidR="00497C70" w:rsidRPr="000E19A4">
        <w:rPr>
          <w:rFonts w:ascii="Times New Roman" w:hAnsi="Times New Roman" w:cs="Times New Roman"/>
          <w:sz w:val="24"/>
          <w:szCs w:val="24"/>
        </w:rPr>
        <w:t xml:space="preserve">number of alternative consensus mechanisms </w:t>
      </w:r>
      <w:r w:rsidR="000060C8" w:rsidRPr="000E19A4">
        <w:rPr>
          <w:rFonts w:ascii="Times New Roman" w:hAnsi="Times New Roman" w:cs="Times New Roman"/>
          <w:sz w:val="24"/>
          <w:szCs w:val="24"/>
        </w:rPr>
        <w:t>have emerged</w:t>
      </w:r>
      <w:r w:rsidR="00BF4BB2" w:rsidRPr="000E19A4">
        <w:rPr>
          <w:rStyle w:val="FootnoteReference"/>
          <w:rFonts w:ascii="Times New Roman" w:eastAsia="Batang" w:hAnsi="Times New Roman" w:cs="Times New Roman"/>
          <w:sz w:val="24"/>
          <w:szCs w:val="24"/>
        </w:rPr>
        <w:footnoteReference w:id="11"/>
      </w:r>
      <w:r w:rsidR="00497C70" w:rsidRPr="000E19A4">
        <w:rPr>
          <w:rFonts w:ascii="Times New Roman" w:hAnsi="Times New Roman" w:cs="Times New Roman"/>
          <w:sz w:val="24"/>
          <w:szCs w:val="24"/>
        </w:rPr>
        <w:t>.</w:t>
      </w:r>
    </w:p>
    <w:p w14:paraId="5E65C05F" w14:textId="77777777" w:rsidR="00497C70" w:rsidRDefault="00497C70" w:rsidP="00DD71F4">
      <w:pPr>
        <w:tabs>
          <w:tab w:val="left" w:pos="794"/>
          <w:tab w:val="left" w:pos="1191"/>
          <w:tab w:val="left" w:pos="1588"/>
          <w:tab w:val="left" w:pos="1985"/>
        </w:tabs>
        <w:spacing w:before="0"/>
        <w:ind w:left="360"/>
        <w:jc w:val="both"/>
      </w:pPr>
    </w:p>
    <w:tbl>
      <w:tblPr>
        <w:tblStyle w:val="TableGrid"/>
        <w:tblW w:w="0" w:type="auto"/>
        <w:tblLook w:val="04A0" w:firstRow="1" w:lastRow="0" w:firstColumn="1" w:lastColumn="0" w:noHBand="0" w:noVBand="1"/>
      </w:tblPr>
      <w:tblGrid>
        <w:gridCol w:w="9629"/>
      </w:tblGrid>
      <w:tr w:rsidR="00497C70" w:rsidRPr="00EC0662" w14:paraId="2E82FB3F" w14:textId="77777777" w:rsidTr="00497C70">
        <w:tc>
          <w:tcPr>
            <w:tcW w:w="9629" w:type="dxa"/>
            <w:shd w:val="clear" w:color="auto" w:fill="244061" w:themeFill="accent1" w:themeFillShade="80"/>
          </w:tcPr>
          <w:p w14:paraId="761569A6" w14:textId="22FE0289" w:rsidR="00497C70" w:rsidRPr="000E19A4" w:rsidRDefault="008E617C" w:rsidP="00DD71F4">
            <w:pPr>
              <w:tabs>
                <w:tab w:val="left" w:pos="794"/>
                <w:tab w:val="left" w:pos="1191"/>
                <w:tab w:val="left" w:pos="1588"/>
                <w:tab w:val="left" w:pos="1985"/>
              </w:tabs>
              <w:spacing w:before="0" w:after="120"/>
              <w:jc w:val="both"/>
              <w:rPr>
                <w:rFonts w:eastAsia="Batang"/>
                <w:b/>
                <w:i/>
                <w:color w:val="FFFFFF" w:themeColor="background1"/>
              </w:rPr>
            </w:pPr>
            <w:r>
              <w:rPr>
                <w:rFonts w:eastAsia="Batang"/>
                <w:b/>
                <w:i/>
                <w:color w:val="FFFFFF" w:themeColor="background1"/>
              </w:rPr>
              <w:t xml:space="preserve">Box 2: </w:t>
            </w:r>
            <w:r w:rsidR="00BE5953">
              <w:rPr>
                <w:rFonts w:eastAsia="Batang"/>
                <w:b/>
                <w:i/>
                <w:color w:val="FFFFFF" w:themeColor="background1"/>
              </w:rPr>
              <w:t xml:space="preserve">Trade-offs between Design Requirements </w:t>
            </w:r>
          </w:p>
        </w:tc>
      </w:tr>
      <w:tr w:rsidR="00497C70" w14:paraId="11CC7CDA" w14:textId="77777777" w:rsidTr="00497C70">
        <w:tc>
          <w:tcPr>
            <w:tcW w:w="9629" w:type="dxa"/>
          </w:tcPr>
          <w:p w14:paraId="71ED5B27" w14:textId="77777777" w:rsidR="00497C70" w:rsidRDefault="00497C70" w:rsidP="00DD71F4">
            <w:pPr>
              <w:pStyle w:val="ListParagraph"/>
              <w:numPr>
                <w:ilvl w:val="0"/>
                <w:numId w:val="14"/>
              </w:numPr>
              <w:tabs>
                <w:tab w:val="left" w:pos="794"/>
                <w:tab w:val="left" w:pos="1191"/>
                <w:tab w:val="left" w:pos="1588"/>
                <w:tab w:val="left" w:pos="1985"/>
              </w:tabs>
              <w:overflowPunct w:val="0"/>
              <w:autoSpaceDE w:val="0"/>
              <w:autoSpaceDN w:val="0"/>
              <w:adjustRightInd w:val="0"/>
              <w:spacing w:after="120" w:line="264" w:lineRule="auto"/>
              <w:textAlignment w:val="baseline"/>
              <w:rPr>
                <w:rFonts w:ascii="Times New Roman" w:eastAsia="Batang" w:hAnsi="Times New Roman" w:cs="Times New Roman"/>
                <w:sz w:val="24"/>
                <w:szCs w:val="24"/>
              </w:rPr>
            </w:pPr>
            <w:r w:rsidRPr="008E617C">
              <w:rPr>
                <w:rFonts w:ascii="Times New Roman" w:eastAsia="Batang" w:hAnsi="Times New Roman" w:cs="Times New Roman"/>
                <w:b/>
                <w:i/>
                <w:color w:val="244061" w:themeColor="accent1" w:themeShade="80"/>
                <w:sz w:val="24"/>
                <w:szCs w:val="24"/>
              </w:rPr>
              <w:t xml:space="preserve">Project Jasper Phase 1&amp; 2 (Bank of Canada): </w:t>
            </w:r>
            <w:r w:rsidRPr="008E617C">
              <w:rPr>
                <w:rFonts w:ascii="Times New Roman" w:eastAsia="Batang" w:hAnsi="Times New Roman" w:cs="Times New Roman"/>
                <w:sz w:val="24"/>
                <w:szCs w:val="24"/>
              </w:rPr>
              <w:t>Project Jasper is a collaborative research initiative by Payments Canada, the Bank of Canada, R3 and a number of Canadian financial institutions</w:t>
            </w:r>
            <w:r w:rsidR="00C42AC1">
              <w:rPr>
                <w:rFonts w:ascii="Times New Roman" w:eastAsia="Batang" w:hAnsi="Times New Roman" w:cs="Times New Roman"/>
                <w:sz w:val="24"/>
                <w:szCs w:val="24"/>
              </w:rPr>
              <w:t>. The project aims</w:t>
            </w:r>
            <w:r w:rsidRPr="008E617C">
              <w:rPr>
                <w:rFonts w:ascii="Times New Roman" w:eastAsia="Batang" w:hAnsi="Times New Roman" w:cs="Times New Roman"/>
                <w:sz w:val="24"/>
                <w:szCs w:val="24"/>
              </w:rPr>
              <w:t xml:space="preserve"> to understand how DLT could transform the future of payments in Canada</w:t>
            </w:r>
            <w:r w:rsidR="00C42AC1">
              <w:rPr>
                <w:rFonts w:ascii="Times New Roman" w:eastAsia="Batang" w:hAnsi="Times New Roman" w:cs="Times New Roman"/>
                <w:sz w:val="24"/>
                <w:szCs w:val="24"/>
              </w:rPr>
              <w:t xml:space="preserve"> through the </w:t>
            </w:r>
            <w:r w:rsidRPr="008E617C">
              <w:rPr>
                <w:rFonts w:ascii="Times New Roman" w:eastAsia="Batang" w:hAnsi="Times New Roman" w:cs="Times New Roman"/>
                <w:sz w:val="24"/>
                <w:szCs w:val="24"/>
              </w:rPr>
              <w:t>explor</w:t>
            </w:r>
            <w:r w:rsidR="00C42AC1">
              <w:rPr>
                <w:rFonts w:ascii="Times New Roman" w:eastAsia="Batang" w:hAnsi="Times New Roman" w:cs="Times New Roman"/>
                <w:sz w:val="24"/>
                <w:szCs w:val="24"/>
              </w:rPr>
              <w:t>ation</w:t>
            </w:r>
            <w:r w:rsidRPr="008E617C">
              <w:rPr>
                <w:rFonts w:ascii="Times New Roman" w:eastAsia="Batang" w:hAnsi="Times New Roman" w:cs="Times New Roman"/>
                <w:sz w:val="24"/>
                <w:szCs w:val="24"/>
              </w:rPr>
              <w:t xml:space="preserve"> and compar</w:t>
            </w:r>
            <w:r w:rsidR="00C42AC1">
              <w:rPr>
                <w:rFonts w:ascii="Times New Roman" w:eastAsia="Batang" w:hAnsi="Times New Roman" w:cs="Times New Roman"/>
                <w:sz w:val="24"/>
                <w:szCs w:val="24"/>
              </w:rPr>
              <w:t xml:space="preserve">ison of </w:t>
            </w:r>
            <w:r w:rsidRPr="008E617C">
              <w:rPr>
                <w:rFonts w:ascii="Times New Roman" w:eastAsia="Batang" w:hAnsi="Times New Roman" w:cs="Times New Roman"/>
                <w:sz w:val="24"/>
                <w:szCs w:val="24"/>
              </w:rPr>
              <w:t>two distinct DLT platforms</w:t>
            </w:r>
            <w:r w:rsidR="00C42AC1">
              <w:rPr>
                <w:rFonts w:ascii="Times New Roman" w:eastAsia="Batang" w:hAnsi="Times New Roman" w:cs="Times New Roman"/>
                <w:sz w:val="24"/>
                <w:szCs w:val="24"/>
              </w:rPr>
              <w:t xml:space="preserve">, </w:t>
            </w:r>
            <w:r w:rsidRPr="008E617C">
              <w:rPr>
                <w:rFonts w:ascii="Times New Roman" w:eastAsia="Batang" w:hAnsi="Times New Roman" w:cs="Times New Roman"/>
                <w:sz w:val="24"/>
                <w:szCs w:val="24"/>
              </w:rPr>
              <w:t>while also building some of the key functionalit</w:t>
            </w:r>
            <w:r w:rsidR="00C42AC1">
              <w:rPr>
                <w:rFonts w:ascii="Times New Roman" w:eastAsia="Batang" w:hAnsi="Times New Roman" w:cs="Times New Roman"/>
                <w:sz w:val="24"/>
                <w:szCs w:val="24"/>
              </w:rPr>
              <w:t>ies</w:t>
            </w:r>
            <w:r w:rsidRPr="008E617C">
              <w:rPr>
                <w:rFonts w:ascii="Times New Roman" w:eastAsia="Batang" w:hAnsi="Times New Roman" w:cs="Times New Roman"/>
                <w:sz w:val="24"/>
                <w:szCs w:val="24"/>
              </w:rPr>
              <w:t xml:space="preserve"> </w:t>
            </w:r>
            <w:r w:rsidR="00C42AC1">
              <w:rPr>
                <w:rFonts w:ascii="Times New Roman" w:eastAsia="Batang" w:hAnsi="Times New Roman" w:cs="Times New Roman"/>
                <w:sz w:val="24"/>
                <w:szCs w:val="24"/>
              </w:rPr>
              <w:t xml:space="preserve">of the existing </w:t>
            </w:r>
            <w:r w:rsidRPr="008E617C">
              <w:rPr>
                <w:rFonts w:ascii="Times New Roman" w:eastAsia="Batang" w:hAnsi="Times New Roman" w:cs="Times New Roman"/>
                <w:sz w:val="24"/>
                <w:szCs w:val="24"/>
              </w:rPr>
              <w:t>wholesale interbank settlement syste</w:t>
            </w:r>
            <w:r w:rsidR="00C42AC1">
              <w:rPr>
                <w:rFonts w:ascii="Times New Roman" w:eastAsia="Batang" w:hAnsi="Times New Roman" w:cs="Times New Roman"/>
                <w:sz w:val="24"/>
                <w:szCs w:val="24"/>
              </w:rPr>
              <w:t>m</w:t>
            </w:r>
            <w:r w:rsidRPr="008E617C">
              <w:rPr>
                <w:rFonts w:ascii="Times New Roman" w:eastAsia="Batang" w:hAnsi="Times New Roman" w:cs="Times New Roman"/>
                <w:sz w:val="24"/>
                <w:szCs w:val="24"/>
              </w:rPr>
              <w:t>. The findings indicate that DLT platforms that employ a proof-of-work consensus protocol, as was built in Phase 1, did not deliver the necessary settlement finality and low operational risk required of core settlement systems. However, Phase 2 built a distributed ledger platform that employed an alternative consensus model using a “notary node”</w:t>
            </w:r>
            <w:r w:rsidR="00BE5953">
              <w:rPr>
                <w:rFonts w:ascii="Times New Roman" w:eastAsia="Batang" w:hAnsi="Times New Roman" w:cs="Times New Roman"/>
                <w:sz w:val="24"/>
                <w:szCs w:val="24"/>
              </w:rPr>
              <w:t xml:space="preserve">, which </w:t>
            </w:r>
            <w:r w:rsidRPr="008E617C">
              <w:rPr>
                <w:rFonts w:ascii="Times New Roman" w:eastAsia="Batang" w:hAnsi="Times New Roman" w:cs="Times New Roman"/>
                <w:sz w:val="24"/>
                <w:szCs w:val="24"/>
              </w:rPr>
              <w:t>deliver</w:t>
            </w:r>
            <w:r w:rsidR="00BE5953">
              <w:rPr>
                <w:rFonts w:ascii="Times New Roman" w:eastAsia="Batang" w:hAnsi="Times New Roman" w:cs="Times New Roman"/>
                <w:sz w:val="24"/>
                <w:szCs w:val="24"/>
              </w:rPr>
              <w:t>ed</w:t>
            </w:r>
            <w:r w:rsidRPr="008E617C">
              <w:rPr>
                <w:rFonts w:ascii="Times New Roman" w:eastAsia="Batang" w:hAnsi="Times New Roman" w:cs="Times New Roman"/>
                <w:sz w:val="24"/>
                <w:szCs w:val="24"/>
              </w:rPr>
              <w:t xml:space="preserve"> improvements in settlement finality scalability and privacy</w:t>
            </w:r>
            <w:r w:rsidR="00336221">
              <w:rPr>
                <w:rFonts w:ascii="Times New Roman" w:eastAsia="Batang" w:hAnsi="Times New Roman" w:cs="Times New Roman"/>
                <w:sz w:val="24"/>
                <w:szCs w:val="24"/>
              </w:rPr>
              <w:t>. However</w:t>
            </w:r>
            <w:r w:rsidR="00BE5953">
              <w:rPr>
                <w:rFonts w:ascii="Times New Roman" w:eastAsia="Batang" w:hAnsi="Times New Roman" w:cs="Times New Roman"/>
                <w:sz w:val="24"/>
                <w:szCs w:val="24"/>
              </w:rPr>
              <w:t>,</w:t>
            </w:r>
            <w:r w:rsidR="00336221">
              <w:rPr>
                <w:rFonts w:ascii="Times New Roman" w:eastAsia="Batang" w:hAnsi="Times New Roman" w:cs="Times New Roman"/>
                <w:sz w:val="24"/>
                <w:szCs w:val="24"/>
              </w:rPr>
              <w:t xml:space="preserve"> the</w:t>
            </w:r>
            <w:r w:rsidR="00BF4BB2">
              <w:rPr>
                <w:rFonts w:ascii="Times New Roman" w:eastAsia="Batang" w:hAnsi="Times New Roman" w:cs="Times New Roman"/>
                <w:sz w:val="24"/>
                <w:szCs w:val="24"/>
              </w:rPr>
              <w:t xml:space="preserve"> architecture</w:t>
            </w:r>
            <w:r w:rsidRPr="008E617C">
              <w:rPr>
                <w:rFonts w:ascii="Times New Roman" w:eastAsia="Batang" w:hAnsi="Times New Roman" w:cs="Times New Roman"/>
                <w:sz w:val="24"/>
                <w:szCs w:val="24"/>
              </w:rPr>
              <w:t xml:space="preserve"> </w:t>
            </w:r>
            <w:r w:rsidR="005F7466">
              <w:rPr>
                <w:rFonts w:ascii="Times New Roman" w:eastAsia="Batang" w:hAnsi="Times New Roman" w:cs="Times New Roman"/>
                <w:sz w:val="24"/>
                <w:szCs w:val="24"/>
              </w:rPr>
              <w:t xml:space="preserve">did </w:t>
            </w:r>
            <w:r w:rsidRPr="008E617C">
              <w:rPr>
                <w:rFonts w:ascii="Times New Roman" w:eastAsia="Batang" w:hAnsi="Times New Roman" w:cs="Times New Roman"/>
                <w:sz w:val="24"/>
                <w:szCs w:val="24"/>
              </w:rPr>
              <w:t xml:space="preserve">not adequately address operational risk requirements. </w:t>
            </w:r>
            <w:r w:rsidR="00BE5953">
              <w:rPr>
                <w:rFonts w:ascii="Times New Roman" w:eastAsia="Batang" w:hAnsi="Times New Roman" w:cs="Times New Roman"/>
                <w:sz w:val="24"/>
                <w:szCs w:val="24"/>
              </w:rPr>
              <w:t>Thus, t</w:t>
            </w:r>
            <w:r w:rsidRPr="008E617C">
              <w:rPr>
                <w:rFonts w:ascii="Times New Roman" w:eastAsia="Batang" w:hAnsi="Times New Roman" w:cs="Times New Roman"/>
                <w:sz w:val="24"/>
                <w:szCs w:val="24"/>
              </w:rPr>
              <w:t xml:space="preserve">he </w:t>
            </w:r>
            <w:r w:rsidR="00BE5953">
              <w:rPr>
                <w:rFonts w:ascii="Times New Roman" w:eastAsia="Batang" w:hAnsi="Times New Roman" w:cs="Times New Roman"/>
                <w:sz w:val="24"/>
                <w:szCs w:val="24"/>
              </w:rPr>
              <w:t>p</w:t>
            </w:r>
            <w:r w:rsidRPr="008E617C">
              <w:rPr>
                <w:rFonts w:ascii="Times New Roman" w:eastAsia="Batang" w:hAnsi="Times New Roman" w:cs="Times New Roman"/>
                <w:sz w:val="24"/>
                <w:szCs w:val="24"/>
              </w:rPr>
              <w:t xml:space="preserve">roject concluded that further </w:t>
            </w:r>
            <w:r w:rsidR="00BE5953">
              <w:rPr>
                <w:rFonts w:ascii="Times New Roman" w:eastAsia="Batang" w:hAnsi="Times New Roman" w:cs="Times New Roman"/>
                <w:sz w:val="24"/>
                <w:szCs w:val="24"/>
              </w:rPr>
              <w:t xml:space="preserve">technological </w:t>
            </w:r>
            <w:r w:rsidRPr="008E617C">
              <w:rPr>
                <w:rFonts w:ascii="Times New Roman" w:eastAsia="Batang" w:hAnsi="Times New Roman" w:cs="Times New Roman"/>
                <w:sz w:val="24"/>
                <w:szCs w:val="24"/>
              </w:rPr>
              <w:t xml:space="preserve">enhancements </w:t>
            </w:r>
            <w:r w:rsidR="00BE5953">
              <w:rPr>
                <w:rFonts w:ascii="Times New Roman" w:eastAsia="Batang" w:hAnsi="Times New Roman" w:cs="Times New Roman"/>
                <w:sz w:val="24"/>
                <w:szCs w:val="24"/>
              </w:rPr>
              <w:t xml:space="preserve">are required </w:t>
            </w:r>
            <w:r w:rsidRPr="008E617C">
              <w:rPr>
                <w:rFonts w:ascii="Times New Roman" w:eastAsia="Batang" w:hAnsi="Times New Roman" w:cs="Times New Roman"/>
                <w:sz w:val="24"/>
                <w:szCs w:val="24"/>
              </w:rPr>
              <w:t xml:space="preserve">to satisfy the PFMIs </w:t>
            </w:r>
            <w:r w:rsidR="003D2C94">
              <w:rPr>
                <w:rFonts w:ascii="Times New Roman" w:eastAsia="Batang" w:hAnsi="Times New Roman" w:cs="Times New Roman"/>
                <w:sz w:val="24"/>
                <w:szCs w:val="24"/>
              </w:rPr>
              <w:t xml:space="preserve">required for any </w:t>
            </w:r>
            <w:r w:rsidRPr="008E617C">
              <w:rPr>
                <w:rFonts w:ascii="Times New Roman" w:eastAsia="Batang" w:hAnsi="Times New Roman" w:cs="Times New Roman"/>
                <w:sz w:val="24"/>
                <w:szCs w:val="24"/>
              </w:rPr>
              <w:t>wholesale interbank payments settlement system.</w:t>
            </w:r>
          </w:p>
          <w:p w14:paraId="4FB4AEAC" w14:textId="5C311545" w:rsidR="00497C70" w:rsidRPr="000E19A4" w:rsidRDefault="00497C70" w:rsidP="00DD71F4">
            <w:pPr>
              <w:pStyle w:val="ListParagraph"/>
              <w:numPr>
                <w:ilvl w:val="0"/>
                <w:numId w:val="14"/>
              </w:numPr>
              <w:tabs>
                <w:tab w:val="left" w:pos="794"/>
                <w:tab w:val="left" w:pos="1191"/>
                <w:tab w:val="left" w:pos="1588"/>
                <w:tab w:val="left" w:pos="1985"/>
              </w:tabs>
              <w:overflowPunct w:val="0"/>
              <w:autoSpaceDE w:val="0"/>
              <w:autoSpaceDN w:val="0"/>
              <w:adjustRightInd w:val="0"/>
              <w:spacing w:after="120" w:line="264" w:lineRule="auto"/>
              <w:textAlignment w:val="baseline"/>
              <w:rPr>
                <w:rFonts w:ascii="Times New Roman" w:eastAsia="Batang" w:hAnsi="Times New Roman" w:cs="Times New Roman"/>
                <w:sz w:val="24"/>
                <w:szCs w:val="24"/>
              </w:rPr>
            </w:pPr>
            <w:r w:rsidRPr="000E19A4">
              <w:rPr>
                <w:rFonts w:ascii="Times New Roman" w:eastAsia="Batang" w:hAnsi="Times New Roman" w:cs="Times New Roman"/>
                <w:b/>
                <w:i/>
                <w:color w:val="244061" w:themeColor="accent1" w:themeShade="80"/>
                <w:sz w:val="24"/>
                <w:szCs w:val="24"/>
              </w:rPr>
              <w:t>Project Stella (Joint DLT Project of the E</w:t>
            </w:r>
            <w:r w:rsidR="003D2C94" w:rsidRPr="000E19A4">
              <w:rPr>
                <w:rFonts w:ascii="Times New Roman" w:eastAsia="Batang" w:hAnsi="Times New Roman" w:cs="Times New Roman"/>
                <w:b/>
                <w:i/>
                <w:color w:val="244061" w:themeColor="accent1" w:themeShade="80"/>
                <w:sz w:val="24"/>
                <w:szCs w:val="24"/>
              </w:rPr>
              <w:t>CB</w:t>
            </w:r>
            <w:r w:rsidRPr="000E19A4">
              <w:rPr>
                <w:rFonts w:ascii="Times New Roman" w:eastAsia="Batang" w:hAnsi="Times New Roman" w:cs="Times New Roman"/>
                <w:b/>
                <w:i/>
                <w:color w:val="244061" w:themeColor="accent1" w:themeShade="80"/>
                <w:sz w:val="24"/>
                <w:szCs w:val="24"/>
              </w:rPr>
              <w:t xml:space="preserve"> and the Bank of Japan):</w:t>
            </w:r>
            <w:r w:rsidRPr="000E19A4">
              <w:rPr>
                <w:rFonts w:ascii="Times New Roman" w:eastAsia="Batang" w:hAnsi="Times New Roman" w:cs="Times New Roman"/>
                <w:sz w:val="24"/>
                <w:szCs w:val="24"/>
              </w:rPr>
              <w:t xml:space="preserve"> The </w:t>
            </w:r>
            <w:r w:rsidR="003D2C94" w:rsidRPr="000E19A4">
              <w:rPr>
                <w:rFonts w:ascii="Times New Roman" w:eastAsia="Batang" w:hAnsi="Times New Roman" w:cs="Times New Roman"/>
                <w:sz w:val="24"/>
                <w:szCs w:val="24"/>
              </w:rPr>
              <w:t>p</w:t>
            </w:r>
            <w:r w:rsidRPr="000E19A4">
              <w:rPr>
                <w:rFonts w:ascii="Times New Roman" w:eastAsia="Batang" w:hAnsi="Times New Roman" w:cs="Times New Roman"/>
                <w:sz w:val="24"/>
                <w:szCs w:val="24"/>
              </w:rPr>
              <w:t xml:space="preserve">roject conducted in-depth experiments to determine whether </w:t>
            </w:r>
            <w:r w:rsidR="003D2C94" w:rsidRPr="000E19A4">
              <w:rPr>
                <w:rFonts w:ascii="Times New Roman" w:eastAsia="Batang" w:hAnsi="Times New Roman" w:cs="Times New Roman"/>
                <w:sz w:val="24"/>
                <w:szCs w:val="24"/>
              </w:rPr>
              <w:t>certain</w:t>
            </w:r>
            <w:r w:rsidRPr="000E19A4">
              <w:rPr>
                <w:rFonts w:ascii="Times New Roman" w:eastAsia="Batang" w:hAnsi="Times New Roman" w:cs="Times New Roman"/>
                <w:sz w:val="24"/>
                <w:szCs w:val="24"/>
              </w:rPr>
              <w:t xml:space="preserve"> functionalities of their respective payment systems could run </w:t>
            </w:r>
            <w:r w:rsidR="00B90715" w:rsidRPr="000E19A4">
              <w:rPr>
                <w:rFonts w:ascii="Times New Roman" w:eastAsia="Batang" w:hAnsi="Times New Roman" w:cs="Times New Roman"/>
                <w:sz w:val="24"/>
                <w:szCs w:val="24"/>
              </w:rPr>
              <w:t xml:space="preserve">on </w:t>
            </w:r>
            <w:r w:rsidRPr="000E19A4">
              <w:rPr>
                <w:rFonts w:ascii="Times New Roman" w:eastAsia="Batang" w:hAnsi="Times New Roman" w:cs="Times New Roman"/>
                <w:sz w:val="24"/>
                <w:szCs w:val="24"/>
              </w:rPr>
              <w:t xml:space="preserve">DLT. </w:t>
            </w:r>
            <w:r w:rsidR="00B90715" w:rsidRPr="000E19A4">
              <w:rPr>
                <w:rFonts w:ascii="Times New Roman" w:eastAsia="Batang" w:hAnsi="Times New Roman" w:cs="Times New Roman"/>
                <w:sz w:val="24"/>
                <w:szCs w:val="24"/>
              </w:rPr>
              <w:t xml:space="preserve">The project finds that a </w:t>
            </w:r>
            <w:r w:rsidRPr="000E19A4">
              <w:rPr>
                <w:rFonts w:ascii="Times New Roman" w:eastAsia="Batang" w:hAnsi="Times New Roman" w:cs="Times New Roman"/>
                <w:sz w:val="24"/>
                <w:szCs w:val="24"/>
              </w:rPr>
              <w:t>DLT-</w:t>
            </w:r>
            <w:r w:rsidR="00B90715" w:rsidRPr="000E19A4">
              <w:rPr>
                <w:rFonts w:ascii="Times New Roman" w:eastAsia="Batang" w:hAnsi="Times New Roman" w:cs="Times New Roman"/>
                <w:sz w:val="24"/>
                <w:szCs w:val="24"/>
              </w:rPr>
              <w:t>enabled</w:t>
            </w:r>
            <w:r w:rsidRPr="000E19A4">
              <w:rPr>
                <w:rFonts w:ascii="Times New Roman" w:eastAsia="Batang" w:hAnsi="Times New Roman" w:cs="Times New Roman"/>
                <w:sz w:val="24"/>
                <w:szCs w:val="24"/>
              </w:rPr>
              <w:t xml:space="preserve"> solution could meet the performance needs of current large value payment systems. The project also confirmed the well-known trade-off between network size</w:t>
            </w:r>
            <w:r w:rsidR="00B90715" w:rsidRPr="000E19A4">
              <w:rPr>
                <w:rFonts w:ascii="Times New Roman" w:eastAsia="Batang" w:hAnsi="Times New Roman" w:cs="Times New Roman"/>
                <w:sz w:val="24"/>
                <w:szCs w:val="24"/>
              </w:rPr>
              <w:t xml:space="preserve"> and node distance on one side</w:t>
            </w:r>
            <w:r w:rsidRPr="000E19A4">
              <w:rPr>
                <w:rFonts w:ascii="Times New Roman" w:eastAsia="Batang" w:hAnsi="Times New Roman" w:cs="Times New Roman"/>
                <w:sz w:val="24"/>
                <w:szCs w:val="24"/>
              </w:rPr>
              <w:t xml:space="preserve"> and performance</w:t>
            </w:r>
            <w:r w:rsidR="00B90715" w:rsidRPr="000E19A4">
              <w:rPr>
                <w:rFonts w:ascii="Times New Roman" w:eastAsia="Batang" w:hAnsi="Times New Roman" w:cs="Times New Roman"/>
                <w:sz w:val="24"/>
                <w:szCs w:val="24"/>
              </w:rPr>
              <w:t xml:space="preserve"> on the other side</w:t>
            </w:r>
            <w:r w:rsidR="00B90715" w:rsidRPr="000E19A4">
              <w:rPr>
                <w:rStyle w:val="FootnoteReference"/>
                <w:rFonts w:ascii="Times New Roman" w:eastAsia="Batang" w:hAnsi="Times New Roman" w:cs="Times New Roman"/>
                <w:sz w:val="24"/>
                <w:szCs w:val="24"/>
              </w:rPr>
              <w:footnoteReference w:id="12"/>
            </w:r>
            <w:r w:rsidR="00B90715" w:rsidRPr="000E19A4">
              <w:rPr>
                <w:rFonts w:ascii="Times New Roman" w:eastAsia="Batang" w:hAnsi="Times New Roman" w:cs="Times New Roman"/>
                <w:sz w:val="24"/>
                <w:szCs w:val="24"/>
              </w:rPr>
              <w:t xml:space="preserve">. </w:t>
            </w:r>
            <w:r w:rsidRPr="000E19A4">
              <w:rPr>
                <w:rFonts w:ascii="Times New Roman" w:eastAsia="Batang" w:hAnsi="Times New Roman" w:cs="Times New Roman"/>
                <w:sz w:val="24"/>
                <w:szCs w:val="24"/>
              </w:rPr>
              <w:t>In terms of resilience and reliability, highlight</w:t>
            </w:r>
            <w:r w:rsidR="00B90715" w:rsidRPr="000E19A4">
              <w:rPr>
                <w:rFonts w:ascii="Times New Roman" w:eastAsia="Batang" w:hAnsi="Times New Roman" w:cs="Times New Roman"/>
                <w:sz w:val="24"/>
                <w:szCs w:val="24"/>
              </w:rPr>
              <w:t>ed</w:t>
            </w:r>
            <w:r w:rsidRPr="000E19A4">
              <w:rPr>
                <w:rFonts w:ascii="Times New Roman" w:eastAsia="Batang" w:hAnsi="Times New Roman" w:cs="Times New Roman"/>
                <w:sz w:val="24"/>
                <w:szCs w:val="24"/>
              </w:rPr>
              <w:t xml:space="preserve"> DLT’s potential to withstand issues such as (i) validating node failures and (ii) incorrect data formats. As for the node failures, the test results confirmed that a validating node could recover in a relatively short period of time irrespective of downtime. The results also showed that transactions were rejected whenever the certificate authority was not available, which could possibly constitute a single point of failure (processing restarted without any other system intervention once the certificate authority became available again).</w:t>
            </w:r>
          </w:p>
          <w:p w14:paraId="7FA41AC7" w14:textId="177B0E93" w:rsidR="00497C70" w:rsidRPr="000E19A4" w:rsidRDefault="00497C70" w:rsidP="00DD71F4">
            <w:pPr>
              <w:pStyle w:val="ListParagraph"/>
              <w:numPr>
                <w:ilvl w:val="0"/>
                <w:numId w:val="14"/>
              </w:numPr>
              <w:tabs>
                <w:tab w:val="left" w:pos="794"/>
                <w:tab w:val="left" w:pos="1191"/>
                <w:tab w:val="left" w:pos="1588"/>
                <w:tab w:val="left" w:pos="1985"/>
              </w:tabs>
              <w:overflowPunct w:val="0"/>
              <w:autoSpaceDE w:val="0"/>
              <w:autoSpaceDN w:val="0"/>
              <w:adjustRightInd w:val="0"/>
              <w:spacing w:after="120" w:line="264" w:lineRule="auto"/>
              <w:textAlignment w:val="baseline"/>
              <w:rPr>
                <w:rFonts w:ascii="Times New Roman" w:eastAsia="Batang" w:hAnsi="Times New Roman" w:cs="Times New Roman"/>
                <w:sz w:val="24"/>
                <w:szCs w:val="24"/>
              </w:rPr>
            </w:pPr>
            <w:r w:rsidRPr="008E617C">
              <w:rPr>
                <w:rFonts w:ascii="Times New Roman" w:eastAsia="Batang" w:hAnsi="Times New Roman" w:cs="Times New Roman"/>
                <w:b/>
                <w:i/>
                <w:color w:val="244061" w:themeColor="accent1" w:themeShade="80"/>
                <w:sz w:val="24"/>
                <w:szCs w:val="24"/>
              </w:rPr>
              <w:t>Project Khokha (South African Reserve Bank):</w:t>
            </w:r>
            <w:r w:rsidRPr="008E617C">
              <w:rPr>
                <w:rFonts w:ascii="Times New Roman" w:eastAsia="Batang" w:hAnsi="Times New Roman" w:cs="Times New Roman"/>
                <w:sz w:val="24"/>
                <w:szCs w:val="24"/>
              </w:rPr>
              <w:t xml:space="preserve"> The goal of the Project was to build a proof-of-concept wholesale payment system for interbank settlement using a tokenised South African rand on a DLT platform. The Project represented a central bank experiment which for the first time used the Istanbul Byzantine Fault Tolerance consensus mechanism and Pedersen commitments for confidentiality. Furthermore, the DLT nodes were operated under a variety of deployment models (on-premise, on-premise virtual machine, and cloud) and across distributed sites while processing the current South African real-time gross settlement system’s high-value payments transaction volumes within a two-hour window. </w:t>
            </w:r>
          </w:p>
          <w:p w14:paraId="18BC7B22" w14:textId="0C548EFC" w:rsidR="00497C70" w:rsidRPr="000E19A4" w:rsidRDefault="00497C70" w:rsidP="00DD71F4">
            <w:pPr>
              <w:tabs>
                <w:tab w:val="left" w:pos="794"/>
                <w:tab w:val="left" w:pos="1191"/>
                <w:tab w:val="left" w:pos="1588"/>
                <w:tab w:val="left" w:pos="1985"/>
              </w:tabs>
              <w:spacing w:before="0" w:after="120" w:line="264" w:lineRule="auto"/>
              <w:ind w:left="360"/>
              <w:jc w:val="both"/>
              <w:rPr>
                <w:rFonts w:eastAsia="Batang"/>
                <w:szCs w:val="24"/>
              </w:rPr>
            </w:pPr>
            <w:r w:rsidRPr="008E617C">
              <w:rPr>
                <w:rFonts w:eastAsia="Batang"/>
                <w:szCs w:val="24"/>
              </w:rPr>
              <w:t>The findings of the Project demonstrated an ability of the DLT system to process transactions within two seconds across a geographically distributed network of nodes using a range of cloud and internal implementations of the technology. The findings further indicated that while adopting DLT would bring about several benefits, the technology is not viable for some use cases unless adequate levels of privacy are achieved. Furthermore, the team concluded that, currently, such levels are not fully supported for the four explored deployment models with true decentralization, i.e., without relying on a trusted node or party.</w:t>
            </w:r>
          </w:p>
        </w:tc>
      </w:tr>
    </w:tbl>
    <w:p w14:paraId="6CDE8531" w14:textId="77777777" w:rsidR="00497C70" w:rsidRDefault="00497C70" w:rsidP="00DD71F4">
      <w:pPr>
        <w:pStyle w:val="Headingb"/>
        <w:spacing w:before="0"/>
        <w:jc w:val="both"/>
        <w:rPr>
          <w:rFonts w:eastAsia="Batang"/>
          <w:color w:val="1F497D" w:themeColor="text2"/>
        </w:rPr>
      </w:pPr>
    </w:p>
    <w:p w14:paraId="2FA8AC60" w14:textId="77777777" w:rsidR="00497C70" w:rsidRPr="00E23162" w:rsidRDefault="00CF28E8" w:rsidP="00DD71F4">
      <w:pPr>
        <w:pStyle w:val="Heading2"/>
        <w:tabs>
          <w:tab w:val="clear" w:pos="3978"/>
          <w:tab w:val="num" w:pos="284"/>
        </w:tabs>
        <w:spacing w:before="0" w:after="120" w:line="264" w:lineRule="auto"/>
        <w:ind w:left="426" w:hanging="426"/>
        <w:jc w:val="both"/>
      </w:pPr>
      <w:bookmarkStart w:id="24" w:name="_Toc14190267"/>
      <w:r>
        <w:t>A</w:t>
      </w:r>
      <w:r w:rsidR="00497C70" w:rsidRPr="00E23162">
        <w:t xml:space="preserve">dditional </w:t>
      </w:r>
      <w:r>
        <w:t>F</w:t>
      </w:r>
      <w:r w:rsidR="00497C70" w:rsidRPr="00E23162">
        <w:t xml:space="preserve">unctionalities for </w:t>
      </w:r>
      <w:r>
        <w:t>W</w:t>
      </w:r>
      <w:r w:rsidR="00497C70" w:rsidRPr="00E23162">
        <w:t xml:space="preserve">holesale </w:t>
      </w:r>
      <w:r>
        <w:t>P</w:t>
      </w:r>
      <w:r w:rsidR="00497C70" w:rsidRPr="00E23162">
        <w:t xml:space="preserve">ayment </w:t>
      </w:r>
      <w:r>
        <w:t>S</w:t>
      </w:r>
      <w:r w:rsidR="00497C70" w:rsidRPr="00E23162">
        <w:t>ystems</w:t>
      </w:r>
      <w:bookmarkEnd w:id="24"/>
    </w:p>
    <w:p w14:paraId="74E9B736" w14:textId="77777777" w:rsidR="00497C70" w:rsidRPr="00C55ACB" w:rsidRDefault="00497C70" w:rsidP="00DD71F4">
      <w:pPr>
        <w:pStyle w:val="BodyText"/>
        <w:spacing w:line="264" w:lineRule="auto"/>
        <w:jc w:val="both"/>
        <w:rPr>
          <w:rFonts w:cs="Times New Roman"/>
          <w:b/>
          <w:bCs/>
          <w:szCs w:val="24"/>
        </w:rPr>
      </w:pPr>
      <w:bookmarkStart w:id="25" w:name="_Toc9951001"/>
      <w:r w:rsidRPr="000E19A4">
        <w:rPr>
          <w:rFonts w:ascii="Times New Roman" w:hAnsi="Times New Roman" w:cs="Times New Roman"/>
          <w:b/>
          <w:iCs/>
          <w:color w:val="244061" w:themeColor="accent1" w:themeShade="80"/>
          <w:sz w:val="24"/>
          <w:szCs w:val="24"/>
        </w:rPr>
        <w:t>Initial pilot studies of central banks focused on building simple proofs-of-concept of wholesale payment systems using DLT, and gradually expanded their scope in subsequent phases to investigate the interconnected issues of scalability, resilience, confidentiality and finality.</w:t>
      </w:r>
      <w:r w:rsidRPr="00C55ACB">
        <w:rPr>
          <w:rFonts w:ascii="Times New Roman" w:hAnsi="Times New Roman" w:cs="Times New Roman"/>
          <w:sz w:val="24"/>
          <w:szCs w:val="24"/>
        </w:rPr>
        <w:t xml:space="preserve"> Emerging pilot studies of central banks are taking this experimentation further forward with central banks moving beyond the replication of existing systems and looking at how DLT can enable new models</w:t>
      </w:r>
      <w:r w:rsidR="00FF0C25" w:rsidRPr="00C55ACB">
        <w:rPr>
          <w:rFonts w:ascii="Times New Roman" w:hAnsi="Times New Roman" w:cs="Times New Roman"/>
          <w:sz w:val="24"/>
          <w:szCs w:val="24"/>
        </w:rPr>
        <w:t xml:space="preserve"> as outlined in the following paragraphs. </w:t>
      </w:r>
      <w:bookmarkEnd w:id="25"/>
    </w:p>
    <w:p w14:paraId="452698BD" w14:textId="77777777" w:rsidR="00E23162" w:rsidRPr="00C55ACB" w:rsidRDefault="00497C70" w:rsidP="00DD71F4">
      <w:pPr>
        <w:pStyle w:val="BodyText"/>
        <w:spacing w:line="264" w:lineRule="auto"/>
        <w:jc w:val="both"/>
        <w:rPr>
          <w:rFonts w:cs="Times New Roman"/>
          <w:b/>
          <w:bCs/>
          <w:szCs w:val="24"/>
        </w:rPr>
      </w:pPr>
      <w:bookmarkStart w:id="26" w:name="_Toc9951002"/>
      <w:r w:rsidRPr="000E19A4">
        <w:rPr>
          <w:rFonts w:ascii="Times New Roman" w:hAnsi="Times New Roman" w:cs="Times New Roman"/>
          <w:b/>
          <w:iCs/>
          <w:color w:val="244061" w:themeColor="accent1" w:themeShade="80"/>
          <w:sz w:val="24"/>
          <w:szCs w:val="24"/>
        </w:rPr>
        <w:t>Based on the results of these emerging pilot studies, the reference architecture of wholesale DFC could facilitate additional functionalities of payment systems leveraging the new technology tools</w:t>
      </w:r>
      <w:r w:rsidRPr="000E19A4">
        <w:rPr>
          <w:rFonts w:ascii="Times New Roman" w:hAnsi="Times New Roman" w:cs="Times New Roman"/>
          <w:b/>
          <w:color w:val="244061" w:themeColor="accent1" w:themeShade="80"/>
          <w:sz w:val="24"/>
          <w:szCs w:val="24"/>
        </w:rPr>
        <w:t xml:space="preserve">. </w:t>
      </w:r>
      <w:r w:rsidRPr="00C55ACB">
        <w:rPr>
          <w:rFonts w:ascii="Times New Roman" w:hAnsi="Times New Roman" w:cs="Times New Roman"/>
          <w:sz w:val="24"/>
          <w:szCs w:val="24"/>
        </w:rPr>
        <w:t>In particular, payment systems deploying wholesale DFC architecture could facilitate additional functional possibilities of payment systems such as facilitating inter-operability of ledgers and promoting capabilities for atomic transaction execution. This could in turn allow smart contracting choices to market players</w:t>
      </w:r>
      <w:r w:rsidR="00FF0C25" w:rsidRPr="00C55ACB">
        <w:rPr>
          <w:rFonts w:ascii="Times New Roman" w:hAnsi="Times New Roman" w:cs="Times New Roman"/>
          <w:sz w:val="24"/>
          <w:szCs w:val="24"/>
        </w:rPr>
        <w:t xml:space="preserve">. </w:t>
      </w:r>
      <w:bookmarkEnd w:id="26"/>
    </w:p>
    <w:p w14:paraId="74BE69E4" w14:textId="785E2E20" w:rsidR="00497C70" w:rsidRPr="00C55ACB" w:rsidRDefault="00497C70" w:rsidP="00DD71F4">
      <w:pPr>
        <w:pStyle w:val="BodyText"/>
        <w:spacing w:line="264" w:lineRule="auto"/>
        <w:jc w:val="both"/>
        <w:rPr>
          <w:rFonts w:cs="Times New Roman"/>
          <w:b/>
          <w:bCs/>
          <w:szCs w:val="24"/>
        </w:rPr>
      </w:pPr>
      <w:bookmarkStart w:id="27" w:name="_Toc9951003"/>
      <w:r w:rsidRPr="0060119B">
        <w:rPr>
          <w:rFonts w:ascii="Times New Roman" w:hAnsi="Times New Roman" w:cs="Times New Roman"/>
          <w:b/>
          <w:color w:val="1F497D" w:themeColor="text2"/>
          <w:sz w:val="24"/>
          <w:szCs w:val="24"/>
        </w:rPr>
        <w:t xml:space="preserve">Traditional settlement of transactions in financial markets </w:t>
      </w:r>
      <w:r w:rsidR="003252D5">
        <w:rPr>
          <w:rFonts w:ascii="Times New Roman" w:hAnsi="Times New Roman" w:cs="Times New Roman"/>
          <w:b/>
          <w:color w:val="1F497D" w:themeColor="text2"/>
          <w:sz w:val="24"/>
          <w:szCs w:val="24"/>
        </w:rPr>
        <w:t>involving</w:t>
      </w:r>
      <w:r w:rsidR="003252D5" w:rsidRPr="0060119B">
        <w:rPr>
          <w:rFonts w:ascii="Times New Roman" w:hAnsi="Times New Roman" w:cs="Times New Roman"/>
          <w:b/>
          <w:color w:val="1F497D" w:themeColor="text2"/>
          <w:sz w:val="24"/>
          <w:szCs w:val="24"/>
        </w:rPr>
        <w:t xml:space="preserve"> </w:t>
      </w:r>
      <w:r w:rsidRPr="0060119B">
        <w:rPr>
          <w:rFonts w:ascii="Times New Roman" w:hAnsi="Times New Roman" w:cs="Times New Roman"/>
          <w:b/>
          <w:color w:val="1F497D" w:themeColor="text2"/>
          <w:sz w:val="24"/>
          <w:szCs w:val="24"/>
        </w:rPr>
        <w:t>wholesale payment system</w:t>
      </w:r>
      <w:r w:rsidR="003252D5">
        <w:rPr>
          <w:rFonts w:ascii="Times New Roman" w:hAnsi="Times New Roman" w:cs="Times New Roman"/>
          <w:b/>
          <w:color w:val="1F497D" w:themeColor="text2"/>
          <w:sz w:val="24"/>
          <w:szCs w:val="24"/>
        </w:rPr>
        <w:t>s</w:t>
      </w:r>
      <w:r w:rsidRPr="0060119B">
        <w:rPr>
          <w:rFonts w:ascii="Times New Roman" w:hAnsi="Times New Roman" w:cs="Times New Roman"/>
          <w:b/>
          <w:color w:val="1F497D" w:themeColor="text2"/>
          <w:sz w:val="24"/>
          <w:szCs w:val="24"/>
        </w:rPr>
        <w:t xml:space="preserve"> operate under the concept of delivery v. payment (DvP)</w:t>
      </w:r>
      <w:r w:rsidRPr="0060119B">
        <w:rPr>
          <w:rFonts w:ascii="Times New Roman" w:hAnsi="Times New Roman" w:cs="Times New Roman"/>
          <w:color w:val="1F497D" w:themeColor="text2"/>
          <w:sz w:val="24"/>
          <w:szCs w:val="24"/>
        </w:rPr>
        <w:t xml:space="preserve"> </w:t>
      </w:r>
      <w:r w:rsidRPr="00C55ACB">
        <w:rPr>
          <w:rFonts w:ascii="Times New Roman" w:hAnsi="Times New Roman" w:cs="Times New Roman"/>
          <w:sz w:val="24"/>
          <w:szCs w:val="24"/>
        </w:rPr>
        <w:t>– where one asset changes hands only if the other asset changes hands (and both these ledgers for payment and asset flows are separate from each other). DvP Settlement mechanisms achieve this by linking the transfer of two assets in such a way as to ensure that the transfer of one asset occurs if and only if the transfer of the other asset also occurs. The outcome of such settlement is either both parties successfully exchanging those assets, or no transfer taking place. Such a condition is also often referred to as "atomicity" in computer science. (Note: The word, "atomic", comes from Greek meaning indivisibility or irreducibility. Atomic operations cannot be divided into smaller operations; either (i) all operations are fully performed or (ii) they are not performed at all).</w:t>
      </w:r>
      <w:bookmarkEnd w:id="27"/>
    </w:p>
    <w:p w14:paraId="47F14ADC" w14:textId="786C3DEF" w:rsidR="00497C70" w:rsidRPr="00C55ACB" w:rsidRDefault="00497C70" w:rsidP="00DD71F4">
      <w:pPr>
        <w:pStyle w:val="BodyText"/>
        <w:spacing w:line="264" w:lineRule="auto"/>
        <w:jc w:val="both"/>
        <w:rPr>
          <w:rFonts w:cs="Times New Roman"/>
          <w:b/>
          <w:bCs/>
          <w:szCs w:val="24"/>
        </w:rPr>
      </w:pPr>
      <w:bookmarkStart w:id="28" w:name="_Toc9951004"/>
      <w:r w:rsidRPr="0060119B">
        <w:rPr>
          <w:rFonts w:ascii="Times New Roman" w:hAnsi="Times New Roman" w:cs="Times New Roman"/>
          <w:b/>
          <w:color w:val="1F497D" w:themeColor="text2"/>
          <w:sz w:val="24"/>
          <w:szCs w:val="24"/>
        </w:rPr>
        <w:t>Recent central bank pilot studies indicate that DLT based systems provide for possibilities of tokenization of both cash and equities on a single shared ledger resulting in better asset interactions during DVP settlement relative to current settlement mechanisms</w:t>
      </w:r>
      <w:r w:rsidR="00D71F15">
        <w:rPr>
          <w:rFonts w:ascii="Times New Roman" w:hAnsi="Times New Roman" w:cs="Times New Roman"/>
          <w:b/>
          <w:color w:val="1F497D" w:themeColor="text2"/>
          <w:sz w:val="24"/>
          <w:szCs w:val="24"/>
        </w:rPr>
        <w:t xml:space="preserve"> (Box 3)</w:t>
      </w:r>
      <w:r w:rsidRPr="00C55ACB">
        <w:rPr>
          <w:rFonts w:ascii="Times New Roman" w:hAnsi="Times New Roman" w:cs="Times New Roman"/>
          <w:sz w:val="24"/>
          <w:szCs w:val="24"/>
        </w:rPr>
        <w:t>. Transactions recorded on DLT using such DFC payment systems thus could be cheaper in aggregate than transactions recorded across multiple siloed accounts increasing the utility of the wholesale payments system. This technical feasibility (whereby any participant or function can directly interact with the assets on-ledger) and the possibilities of associated efficiency gains may oﬀer opportunities to streamline the implementation of various DVP models beyond traditional technologies. These opportunities could be in the form of smart contracting choices between participant financial institutions, without necessarily requiring connections and institutional arrangements between them.</w:t>
      </w:r>
      <w:bookmarkEnd w:id="28"/>
      <w:r w:rsidRPr="00C55ACB">
        <w:rPr>
          <w:rFonts w:ascii="Times New Roman" w:hAnsi="Times New Roman" w:cs="Times New Roman"/>
          <w:sz w:val="24"/>
          <w:szCs w:val="24"/>
        </w:rPr>
        <w:t xml:space="preserve"> </w:t>
      </w:r>
    </w:p>
    <w:p w14:paraId="0ED1BDA8" w14:textId="77777777" w:rsidR="00497C70" w:rsidRPr="00C55ACB" w:rsidRDefault="00497C70" w:rsidP="00DD71F4">
      <w:pPr>
        <w:pStyle w:val="BodyText"/>
        <w:spacing w:line="264" w:lineRule="auto"/>
        <w:jc w:val="both"/>
        <w:rPr>
          <w:rFonts w:cs="Times New Roman"/>
          <w:b/>
          <w:bCs/>
          <w:szCs w:val="24"/>
        </w:rPr>
      </w:pPr>
      <w:bookmarkStart w:id="29" w:name="_Toc9951005"/>
      <w:r w:rsidRPr="000E19A4">
        <w:rPr>
          <w:rFonts w:ascii="Times New Roman" w:hAnsi="Times New Roman" w:cs="Times New Roman"/>
          <w:b/>
          <w:iCs/>
          <w:color w:val="244061" w:themeColor="accent1" w:themeShade="80"/>
          <w:sz w:val="24"/>
          <w:szCs w:val="24"/>
        </w:rPr>
        <w:t>The design of reference architecture to unleash this opportunity could therefore merit further exploration.</w:t>
      </w:r>
      <w:r w:rsidRPr="00C55ACB">
        <w:rPr>
          <w:rFonts w:ascii="Times New Roman" w:hAnsi="Times New Roman" w:cs="Times New Roman"/>
          <w:sz w:val="24"/>
          <w:szCs w:val="24"/>
        </w:rPr>
        <w:t xml:space="preserve"> Reference architecture for DFC could involve considerations of interoperability, providing central banks flexibility in determining forms in which the tokenisation of assets should take place, variables in the payment and settlement of smart contracts, and the logic / characteristics / behavioural features of smart contracts to render them immutable. DFC deployed on that architecture could be part of an atomic transaction, enabling the full and final settlement of money coupled with the movement of, or change to, the asset.</w:t>
      </w:r>
      <w:bookmarkEnd w:id="29"/>
      <w:r w:rsidRPr="00C55ACB">
        <w:rPr>
          <w:rFonts w:ascii="Times New Roman" w:hAnsi="Times New Roman" w:cs="Times New Roman"/>
          <w:sz w:val="24"/>
          <w:szCs w:val="24"/>
        </w:rPr>
        <w:t xml:space="preserve"> </w:t>
      </w:r>
    </w:p>
    <w:p w14:paraId="1F658071" w14:textId="027B46E4" w:rsidR="00E23162" w:rsidRPr="00C55ACB" w:rsidRDefault="00497C70" w:rsidP="00DD71F4">
      <w:pPr>
        <w:pStyle w:val="BodyText"/>
        <w:spacing w:line="264" w:lineRule="auto"/>
        <w:jc w:val="both"/>
        <w:rPr>
          <w:rFonts w:cs="Times New Roman"/>
          <w:b/>
          <w:bCs/>
          <w:szCs w:val="24"/>
        </w:rPr>
      </w:pPr>
      <w:bookmarkStart w:id="30" w:name="_Toc9951006"/>
      <w:r w:rsidRPr="000E19A4">
        <w:rPr>
          <w:rFonts w:ascii="Times New Roman" w:hAnsi="Times New Roman" w:cs="Times New Roman"/>
          <w:b/>
          <w:iCs/>
          <w:color w:val="244061" w:themeColor="accent1" w:themeShade="80"/>
          <w:sz w:val="24"/>
          <w:szCs w:val="24"/>
        </w:rPr>
        <w:t>Another operational case in point for such smart contracts include DLT-based liquidity management facilities, which would enable bilateral transaction netting</w:t>
      </w:r>
      <w:r w:rsidRPr="000E19A4">
        <w:rPr>
          <w:rFonts w:ascii="Times New Roman" w:hAnsi="Times New Roman" w:cs="Times New Roman"/>
          <w:b/>
          <w:color w:val="244061" w:themeColor="accent1" w:themeShade="80"/>
          <w:sz w:val="24"/>
          <w:szCs w:val="24"/>
        </w:rPr>
        <w:t>.</w:t>
      </w:r>
      <w:r w:rsidRPr="00C55ACB">
        <w:rPr>
          <w:rFonts w:ascii="Times New Roman" w:hAnsi="Times New Roman" w:cs="Times New Roman"/>
          <w:color w:val="244061" w:themeColor="accent1" w:themeShade="80"/>
          <w:sz w:val="24"/>
          <w:szCs w:val="24"/>
        </w:rPr>
        <w:t xml:space="preserve"> </w:t>
      </w:r>
      <w:r w:rsidRPr="00C55ACB">
        <w:rPr>
          <w:rFonts w:ascii="Times New Roman" w:hAnsi="Times New Roman" w:cs="Times New Roman"/>
          <w:sz w:val="24"/>
          <w:szCs w:val="24"/>
        </w:rPr>
        <w:t>It is theoretically argued that central operators cannot make entirely accurate assessments or set system parameters as they have no way of assessing the importance of payments beyond the coarse priority categorizations the systems currently allow. Neither can they assess an individual bank’s cost of liquidity provision, which varies across banks and throughout the day. A decentralized approach is therefore argued to allow individual participants to make netting proposals that reflect, in real time, their own current conditions (</w:t>
      </w:r>
      <w:r w:rsidR="007C68CB" w:rsidRPr="00C55ACB">
        <w:rPr>
          <w:rFonts w:ascii="Times New Roman" w:hAnsi="Times New Roman" w:cs="Times New Roman"/>
          <w:sz w:val="24"/>
          <w:szCs w:val="24"/>
        </w:rPr>
        <w:t xml:space="preserve">Furgal </w:t>
      </w:r>
      <w:r w:rsidRPr="00C55ACB">
        <w:rPr>
          <w:rFonts w:ascii="Times New Roman" w:hAnsi="Times New Roman" w:cs="Times New Roman"/>
          <w:sz w:val="24"/>
          <w:szCs w:val="24"/>
        </w:rPr>
        <w:t>et al 2018).</w:t>
      </w:r>
      <w:bookmarkEnd w:id="30"/>
      <w:r w:rsidRPr="00C55ACB">
        <w:rPr>
          <w:rFonts w:ascii="Times New Roman" w:hAnsi="Times New Roman" w:cs="Times New Roman"/>
          <w:sz w:val="24"/>
          <w:szCs w:val="24"/>
        </w:rPr>
        <w:t xml:space="preserve"> </w:t>
      </w:r>
      <w:r w:rsidR="00346BBC">
        <w:rPr>
          <w:rFonts w:ascii="Times New Roman" w:hAnsi="Times New Roman" w:cs="Times New Roman"/>
          <w:sz w:val="24"/>
          <w:szCs w:val="24"/>
        </w:rPr>
        <w:t>However</w:t>
      </w:r>
      <w:r w:rsidR="00C249BF">
        <w:rPr>
          <w:rFonts w:ascii="Times New Roman" w:hAnsi="Times New Roman" w:cs="Times New Roman"/>
          <w:sz w:val="24"/>
          <w:szCs w:val="24"/>
        </w:rPr>
        <w:t>,</w:t>
      </w:r>
      <w:r w:rsidR="00346BBC">
        <w:rPr>
          <w:rFonts w:ascii="Times New Roman" w:hAnsi="Times New Roman" w:cs="Times New Roman"/>
          <w:sz w:val="24"/>
          <w:szCs w:val="24"/>
        </w:rPr>
        <w:t xml:space="preserve"> the legality of such a mechanism is unclear.</w:t>
      </w:r>
    </w:p>
    <w:p w14:paraId="13FD418D" w14:textId="77777777" w:rsidR="00497C70" w:rsidRPr="00C55ACB" w:rsidRDefault="00497C70" w:rsidP="00DD71F4">
      <w:pPr>
        <w:pStyle w:val="BodyText"/>
        <w:spacing w:line="264" w:lineRule="auto"/>
        <w:jc w:val="both"/>
        <w:rPr>
          <w:rFonts w:cs="Times New Roman"/>
          <w:b/>
          <w:bCs/>
          <w:szCs w:val="24"/>
        </w:rPr>
      </w:pPr>
      <w:bookmarkStart w:id="31" w:name="_Toc9951007"/>
      <w:r w:rsidRPr="000E19A4">
        <w:rPr>
          <w:rFonts w:ascii="Times New Roman" w:hAnsi="Times New Roman" w:cs="Times New Roman"/>
          <w:b/>
          <w:color w:val="1F497D" w:themeColor="text2"/>
          <w:sz w:val="24"/>
          <w:szCs w:val="24"/>
        </w:rPr>
        <w:t>Banks with existing unsettled payment obligations would announce these obligations to their respective obligees</w:t>
      </w:r>
      <w:r w:rsidRPr="00C55ACB">
        <w:rPr>
          <w:rFonts w:ascii="Times New Roman" w:hAnsi="Times New Roman" w:cs="Times New Roman"/>
          <w:sz w:val="24"/>
          <w:szCs w:val="24"/>
        </w:rPr>
        <w:t>. System participants would collect information about netting opportunities through a recursive scanning algorithm, and competitive proposals from each bank would reflect market conditions. This structure would allow for continuous net settlement, allowing real-time netting of positions between counterparties. In essence, liquidity management can operate through a market solution facilitated through DLT, rather through the planner’s solution.</w:t>
      </w:r>
      <w:bookmarkEnd w:id="31"/>
    </w:p>
    <w:p w14:paraId="75C8712C" w14:textId="77777777" w:rsidR="00497C70" w:rsidRPr="00C55ACB" w:rsidRDefault="00497C70" w:rsidP="00DD71F4">
      <w:pPr>
        <w:pStyle w:val="BodyText"/>
        <w:spacing w:line="264" w:lineRule="auto"/>
        <w:jc w:val="both"/>
        <w:rPr>
          <w:rFonts w:cs="Times New Roman"/>
          <w:b/>
          <w:bCs/>
          <w:szCs w:val="24"/>
        </w:rPr>
      </w:pPr>
      <w:bookmarkStart w:id="32" w:name="_Toc9951008"/>
      <w:r w:rsidRPr="000E19A4">
        <w:rPr>
          <w:rFonts w:ascii="Times New Roman" w:hAnsi="Times New Roman" w:cs="Times New Roman"/>
          <w:b/>
          <w:color w:val="1F497D" w:themeColor="text2"/>
          <w:sz w:val="24"/>
          <w:szCs w:val="24"/>
        </w:rPr>
        <w:t>The practical implementation of this, however, remains an open question considering the degree of complexity involved in determining netting solutions, quantum of information to process and proposing cost allocations</w:t>
      </w:r>
      <w:r w:rsidRPr="00C55ACB">
        <w:rPr>
          <w:rFonts w:ascii="Times New Roman" w:hAnsi="Times New Roman" w:cs="Times New Roman"/>
          <w:sz w:val="24"/>
          <w:szCs w:val="24"/>
        </w:rPr>
        <w:t xml:space="preserve">. These complex situations </w:t>
      </w:r>
      <w:r w:rsidR="00934AC9" w:rsidRPr="00C55ACB">
        <w:rPr>
          <w:rFonts w:ascii="Times New Roman" w:hAnsi="Times New Roman" w:cs="Times New Roman"/>
          <w:sz w:val="24"/>
          <w:szCs w:val="24"/>
        </w:rPr>
        <w:t xml:space="preserve">sometimes </w:t>
      </w:r>
      <w:r w:rsidRPr="00C55ACB">
        <w:rPr>
          <w:rFonts w:ascii="Times New Roman" w:hAnsi="Times New Roman" w:cs="Times New Roman"/>
          <w:sz w:val="24"/>
          <w:szCs w:val="24"/>
        </w:rPr>
        <w:t>result in a gridlock situation, whereby outgoing payments cannot be fulfilled unless an incoming payment is received or a gridlock resolution is triggered. Other practical considerations also include the manner in which as a decentralized liquidity saving mechanism might perform under extreme stress scenarios. Recent experiments of central banks are therefore exploring this operational case weighing down the necessary costs and benefits involved in using DLT for liquidity management.</w:t>
      </w:r>
      <w:bookmarkEnd w:id="32"/>
      <w:r w:rsidRPr="00C55ACB">
        <w:rPr>
          <w:rFonts w:ascii="Times New Roman" w:hAnsi="Times New Roman" w:cs="Times New Roman"/>
          <w:sz w:val="24"/>
          <w:szCs w:val="24"/>
        </w:rPr>
        <w:t xml:space="preserve"> </w:t>
      </w:r>
    </w:p>
    <w:p w14:paraId="25AA929B" w14:textId="77777777" w:rsidR="00E23162" w:rsidRPr="000E19A4" w:rsidRDefault="00497C70" w:rsidP="00DD71F4">
      <w:pPr>
        <w:pStyle w:val="BodyText"/>
        <w:spacing w:line="264" w:lineRule="auto"/>
        <w:jc w:val="both"/>
        <w:rPr>
          <w:rFonts w:ascii="Times New Roman" w:hAnsi="Times New Roman" w:cs="Times New Roman"/>
          <w:sz w:val="24"/>
          <w:szCs w:val="24"/>
        </w:rPr>
      </w:pPr>
      <w:bookmarkStart w:id="33" w:name="_Toc9951009"/>
      <w:r w:rsidRPr="000E19A4">
        <w:rPr>
          <w:rFonts w:ascii="Times New Roman" w:hAnsi="Times New Roman" w:cs="Times New Roman"/>
          <w:b/>
          <w:iCs/>
          <w:color w:val="1F497D" w:themeColor="text2"/>
          <w:sz w:val="24"/>
          <w:szCs w:val="24"/>
        </w:rPr>
        <w:t>DLT systems focusing on additional capabilities for payment systems should also be mindful of the safety, efficiency and wider market implications such architecture could expose the payment systems to.</w:t>
      </w:r>
      <w:r w:rsidRPr="000E19A4">
        <w:rPr>
          <w:rFonts w:ascii="Times New Roman" w:hAnsi="Times New Roman" w:cs="Times New Roman"/>
          <w:b/>
          <w:color w:val="1F497D" w:themeColor="text2"/>
          <w:sz w:val="24"/>
          <w:szCs w:val="24"/>
        </w:rPr>
        <w:t xml:space="preserve"> </w:t>
      </w:r>
      <w:r w:rsidRPr="000E19A4">
        <w:rPr>
          <w:rFonts w:ascii="Times New Roman" w:hAnsi="Times New Roman" w:cs="Times New Roman"/>
          <w:sz w:val="24"/>
          <w:szCs w:val="24"/>
        </w:rPr>
        <w:t>In this context, reference is drawn to the work of the Committee on Payments and Market Infrastructures of the BIS on the DLT in payment, clearing and settlement systems (BIS 2017).</w:t>
      </w:r>
      <w:bookmarkEnd w:id="33"/>
      <w:r w:rsidRPr="000E19A4">
        <w:rPr>
          <w:rFonts w:ascii="Times New Roman" w:hAnsi="Times New Roman" w:cs="Times New Roman"/>
          <w:sz w:val="24"/>
          <w:szCs w:val="24"/>
        </w:rPr>
        <w:t xml:space="preserve"> </w:t>
      </w:r>
    </w:p>
    <w:p w14:paraId="1BC71442" w14:textId="77777777" w:rsidR="00497C70" w:rsidRPr="00916FE7" w:rsidRDefault="00497C70" w:rsidP="00DD71F4">
      <w:pPr>
        <w:tabs>
          <w:tab w:val="left" w:pos="794"/>
          <w:tab w:val="left" w:pos="1191"/>
          <w:tab w:val="left" w:pos="1588"/>
          <w:tab w:val="left" w:pos="1985"/>
        </w:tabs>
        <w:spacing w:before="0"/>
        <w:jc w:val="both"/>
        <w:rPr>
          <w:rFonts w:eastAsia="Batang"/>
        </w:rPr>
      </w:pPr>
    </w:p>
    <w:tbl>
      <w:tblPr>
        <w:tblStyle w:val="TableGrid"/>
        <w:tblW w:w="0" w:type="auto"/>
        <w:tblLook w:val="04A0" w:firstRow="1" w:lastRow="0" w:firstColumn="1" w:lastColumn="0" w:noHBand="0" w:noVBand="1"/>
      </w:tblPr>
      <w:tblGrid>
        <w:gridCol w:w="9629"/>
      </w:tblGrid>
      <w:tr w:rsidR="00497C70" w:rsidRPr="00EC0662" w14:paraId="5E972793" w14:textId="77777777" w:rsidTr="00497C70">
        <w:tc>
          <w:tcPr>
            <w:tcW w:w="9629" w:type="dxa"/>
            <w:shd w:val="clear" w:color="auto" w:fill="244061" w:themeFill="accent1" w:themeFillShade="80"/>
          </w:tcPr>
          <w:p w14:paraId="3F60FA8C" w14:textId="660AEF1C" w:rsidR="00497C70" w:rsidRPr="00E72FD7" w:rsidRDefault="00E23162" w:rsidP="00DD71F4">
            <w:pPr>
              <w:tabs>
                <w:tab w:val="left" w:pos="794"/>
                <w:tab w:val="left" w:pos="1191"/>
                <w:tab w:val="left" w:pos="1588"/>
                <w:tab w:val="left" w:pos="1985"/>
              </w:tabs>
              <w:spacing w:before="0"/>
              <w:jc w:val="both"/>
              <w:rPr>
                <w:rFonts w:eastAsia="Batang"/>
                <w:b/>
                <w:i/>
                <w:color w:val="FFFFFF" w:themeColor="background1"/>
              </w:rPr>
            </w:pPr>
            <w:r>
              <w:rPr>
                <w:rFonts w:eastAsia="Batang"/>
                <w:b/>
                <w:i/>
                <w:color w:val="FFFFFF" w:themeColor="background1"/>
              </w:rPr>
              <w:t xml:space="preserve">Box 3: </w:t>
            </w:r>
            <w:r w:rsidR="00497C70" w:rsidRPr="00E72FD7">
              <w:rPr>
                <w:rFonts w:eastAsia="Batang"/>
                <w:b/>
                <w:i/>
                <w:color w:val="FFFFFF" w:themeColor="background1"/>
              </w:rPr>
              <w:t xml:space="preserve">Select Central Bank </w:t>
            </w:r>
            <w:r w:rsidR="00EA241C">
              <w:rPr>
                <w:rFonts w:eastAsia="Batang"/>
                <w:b/>
                <w:i/>
                <w:color w:val="FFFFFF" w:themeColor="background1"/>
              </w:rPr>
              <w:t xml:space="preserve">DVP Settlement </w:t>
            </w:r>
            <w:r w:rsidR="00497C70" w:rsidRPr="00E72FD7">
              <w:rPr>
                <w:rFonts w:eastAsia="Batang"/>
                <w:b/>
                <w:i/>
                <w:color w:val="FFFFFF" w:themeColor="background1"/>
              </w:rPr>
              <w:t>Case Studies</w:t>
            </w:r>
          </w:p>
          <w:p w14:paraId="0678AD25" w14:textId="77777777" w:rsidR="00497C70" w:rsidRPr="00EC0662" w:rsidRDefault="00497C70" w:rsidP="00DD71F4">
            <w:pPr>
              <w:tabs>
                <w:tab w:val="left" w:pos="794"/>
                <w:tab w:val="left" w:pos="1191"/>
                <w:tab w:val="left" w:pos="1588"/>
                <w:tab w:val="left" w:pos="1985"/>
              </w:tabs>
              <w:spacing w:before="0"/>
              <w:jc w:val="both"/>
              <w:rPr>
                <w:rFonts w:eastAsia="Batang"/>
                <w:b/>
                <w:i/>
              </w:rPr>
            </w:pPr>
          </w:p>
        </w:tc>
      </w:tr>
      <w:tr w:rsidR="00497C70" w14:paraId="12245B5E" w14:textId="77777777" w:rsidTr="00497C70">
        <w:tc>
          <w:tcPr>
            <w:tcW w:w="9629" w:type="dxa"/>
          </w:tcPr>
          <w:p w14:paraId="1DF04689" w14:textId="2980C871" w:rsidR="00497C70" w:rsidRPr="000E19A4" w:rsidRDefault="00497C70" w:rsidP="00DD71F4">
            <w:pPr>
              <w:pStyle w:val="ListParagraph"/>
              <w:numPr>
                <w:ilvl w:val="0"/>
                <w:numId w:val="12"/>
              </w:numPr>
              <w:tabs>
                <w:tab w:val="left" w:pos="794"/>
                <w:tab w:val="left" w:pos="1191"/>
                <w:tab w:val="left" w:pos="1588"/>
                <w:tab w:val="left" w:pos="1985"/>
              </w:tabs>
              <w:overflowPunct w:val="0"/>
              <w:autoSpaceDE w:val="0"/>
              <w:autoSpaceDN w:val="0"/>
              <w:adjustRightInd w:val="0"/>
              <w:spacing w:after="120" w:line="264" w:lineRule="auto"/>
              <w:contextualSpacing w:val="0"/>
              <w:textAlignment w:val="baseline"/>
              <w:rPr>
                <w:rFonts w:ascii="Times New Roman" w:eastAsia="Batang" w:hAnsi="Times New Roman" w:cs="Times New Roman"/>
                <w:sz w:val="24"/>
                <w:szCs w:val="24"/>
              </w:rPr>
            </w:pPr>
            <w:r w:rsidRPr="00E23162">
              <w:rPr>
                <w:rFonts w:ascii="Times New Roman" w:eastAsia="Batang" w:hAnsi="Times New Roman" w:cs="Times New Roman"/>
                <w:b/>
                <w:i/>
                <w:color w:val="244061" w:themeColor="accent1" w:themeShade="80"/>
                <w:sz w:val="24"/>
                <w:szCs w:val="24"/>
              </w:rPr>
              <w:t xml:space="preserve">Project Stella (the ECB and BOJ): </w:t>
            </w:r>
            <w:r w:rsidRPr="00E23162">
              <w:rPr>
                <w:rFonts w:ascii="Times New Roman" w:eastAsia="Batang" w:hAnsi="Times New Roman" w:cs="Times New Roman"/>
                <w:sz w:val="24"/>
                <w:szCs w:val="24"/>
              </w:rPr>
              <w:t>Phase 2 of Project Stella marked the beginning of extension of central bank pilot studies for considering how DLT can enable new DvP models of settlement mechanisms. DvP could be conceptually and technically designed in a DLT environment with cash and securities on the same ledger (single-ledger DvP) or on separate ones (cross-ledger DvP). Conceptual analysis and conducted experiments in Phase 2 have proven that cross-ledger DvP could function even without any connection between individual ledgers, a novelty which does not exist in current DvP settlement mechanisms. It was further observed that functionalities such as "cross-chain atomic swaps" have the potential to help ensure interoperability between ledgers (of either the same or different DLT platforms) without necessarily requiring connection and institutional arrangements between them. The key elements to achieving cross-chain atomic swaps are the use of digital signatures and "Hashed Time Lock Contracts" (HTLC)</w:t>
            </w:r>
            <w:r w:rsidRPr="00E23162">
              <w:rPr>
                <w:rStyle w:val="FootnoteReference"/>
                <w:rFonts w:ascii="Times New Roman" w:eastAsia="Batang" w:hAnsi="Times New Roman" w:cs="Times New Roman"/>
                <w:sz w:val="24"/>
                <w:szCs w:val="24"/>
              </w:rPr>
              <w:footnoteReference w:id="13"/>
            </w:r>
            <w:r w:rsidRPr="00E23162">
              <w:rPr>
                <w:rFonts w:ascii="Times New Roman" w:eastAsia="Batang" w:hAnsi="Times New Roman" w:cs="Times New Roman"/>
                <w:sz w:val="24"/>
                <w:szCs w:val="24"/>
              </w:rPr>
              <w:t xml:space="preserve"> to support the atomicity in transferring two assets across two separate ledgers.</w:t>
            </w:r>
          </w:p>
          <w:p w14:paraId="087E36AD" w14:textId="522DAB57" w:rsidR="00497C70" w:rsidRPr="000E19A4" w:rsidRDefault="00497C70" w:rsidP="00DD71F4">
            <w:pPr>
              <w:pStyle w:val="ListParagraph"/>
              <w:tabs>
                <w:tab w:val="left" w:pos="794"/>
                <w:tab w:val="left" w:pos="1191"/>
                <w:tab w:val="left" w:pos="1588"/>
                <w:tab w:val="left" w:pos="1985"/>
              </w:tabs>
              <w:spacing w:after="120" w:line="264" w:lineRule="auto"/>
              <w:ind w:left="360"/>
              <w:contextualSpacing w:val="0"/>
              <w:rPr>
                <w:rFonts w:ascii="Times New Roman" w:eastAsia="Batang" w:hAnsi="Times New Roman" w:cs="Times New Roman"/>
                <w:sz w:val="24"/>
                <w:szCs w:val="24"/>
              </w:rPr>
            </w:pPr>
            <w:r w:rsidRPr="00E23162">
              <w:rPr>
                <w:rFonts w:ascii="Times New Roman" w:eastAsia="Batang" w:hAnsi="Times New Roman" w:cs="Times New Roman"/>
                <w:sz w:val="24"/>
                <w:szCs w:val="24"/>
              </w:rPr>
              <w:t>The findings however also indicated that the concrete design of DvP depends on the characteristics of the DLT platforms (e.g. range of information shared among participants, data structure and locking of delivered assets). In addition, depending on the use case, the design of DvP can be influenced by a number of factors including the interaction of the DvP arrangement with other post-trade infrastructures. The Phase 2 findings thus further indicated that depending on their concrete design, cross-ledger DvP arrangements on DLT may entail certain complexity and could give rise to additional challenges which would need to be addressed.</w:t>
            </w:r>
          </w:p>
          <w:p w14:paraId="590B2E7A" w14:textId="42E03E58" w:rsidR="00497C70" w:rsidRPr="000E19A4" w:rsidRDefault="00497C70" w:rsidP="00DD71F4">
            <w:pPr>
              <w:pStyle w:val="ListParagraph"/>
              <w:numPr>
                <w:ilvl w:val="0"/>
                <w:numId w:val="12"/>
              </w:numPr>
              <w:tabs>
                <w:tab w:val="left" w:pos="794"/>
                <w:tab w:val="left" w:pos="1191"/>
                <w:tab w:val="left" w:pos="1588"/>
                <w:tab w:val="left" w:pos="1985"/>
              </w:tabs>
              <w:overflowPunct w:val="0"/>
              <w:autoSpaceDE w:val="0"/>
              <w:autoSpaceDN w:val="0"/>
              <w:adjustRightInd w:val="0"/>
              <w:spacing w:after="120" w:line="264" w:lineRule="auto"/>
              <w:contextualSpacing w:val="0"/>
              <w:textAlignment w:val="baseline"/>
              <w:rPr>
                <w:rFonts w:ascii="Times New Roman" w:eastAsia="Batang" w:hAnsi="Times New Roman" w:cs="Times New Roman"/>
                <w:sz w:val="24"/>
                <w:szCs w:val="24"/>
              </w:rPr>
            </w:pPr>
            <w:r w:rsidRPr="00E23162">
              <w:rPr>
                <w:rFonts w:ascii="Times New Roman" w:eastAsia="Batang" w:hAnsi="Times New Roman" w:cs="Times New Roman"/>
                <w:b/>
                <w:i/>
                <w:color w:val="244061" w:themeColor="accent1" w:themeShade="80"/>
                <w:sz w:val="24"/>
                <w:szCs w:val="24"/>
              </w:rPr>
              <w:t>Project Jasper (Phase III), Bank of Canada:</w:t>
            </w:r>
            <w:r w:rsidRPr="00E23162">
              <w:rPr>
                <w:rFonts w:ascii="Times New Roman" w:eastAsia="Batang" w:hAnsi="Times New Roman" w:cs="Times New Roman"/>
                <w:color w:val="244061" w:themeColor="accent1" w:themeShade="80"/>
                <w:sz w:val="24"/>
                <w:szCs w:val="24"/>
              </w:rPr>
              <w:t xml:space="preserve"> </w:t>
            </w:r>
            <w:r w:rsidRPr="00E23162">
              <w:rPr>
                <w:rFonts w:ascii="Times New Roman" w:eastAsia="Batang" w:hAnsi="Times New Roman" w:cs="Times New Roman"/>
                <w:sz w:val="24"/>
                <w:szCs w:val="24"/>
              </w:rPr>
              <w:t>Jasper Phase III explored DLT-based interactions between the wholesale interbank payment infrastructure and the Canadian securities settlement infrastructure. Jasper Phase III enabled the parties to explore and correlate some of the specific opportunities and challenges in building out a DLT-based FMI platform. The main output was the creation of a shared ledger for token interactions with cash and equities over a single distributed network. It is observed during the pilot study that the DLT platform enables loose coupling of the components controlling cash, equities, and positions in the ecosystem. This simplifies integration with the di</w:t>
            </w:r>
            <w:r w:rsidRPr="00E23162">
              <w:rPr>
                <w:rFonts w:ascii="Cambria Math" w:eastAsia="Batang" w:hAnsi="Cambria Math" w:cs="Cambria Math"/>
                <w:sz w:val="24"/>
                <w:szCs w:val="24"/>
              </w:rPr>
              <w:t>ﬀ</w:t>
            </w:r>
            <w:r w:rsidRPr="00E23162">
              <w:rPr>
                <w:rFonts w:ascii="Times New Roman" w:eastAsia="Batang" w:hAnsi="Times New Roman" w:cs="Times New Roman"/>
                <w:sz w:val="24"/>
                <w:szCs w:val="24"/>
              </w:rPr>
              <w:t>erent participants’ existing systems and is expected to ease extension to additional asset and transaction types. This loose integration framework left the two authorities involved — the Bank of Canada for cash and CDS for equities — in full control of their respective instruments or tokens. The Project finally concluded with a recommendation of a more ambitious re-imagining of clearing and settlement in a decentralized form, guided by market pain points in the settlement life cycle, to arrive at a more informed premise for benefits assessment</w:t>
            </w:r>
            <w:r w:rsidR="000E19A4">
              <w:rPr>
                <w:rFonts w:ascii="Times New Roman" w:eastAsia="Batang" w:hAnsi="Times New Roman" w:cs="Times New Roman"/>
                <w:sz w:val="24"/>
                <w:szCs w:val="24"/>
              </w:rPr>
              <w:t>.</w:t>
            </w:r>
          </w:p>
          <w:p w14:paraId="10CF72B5" w14:textId="3C2B568C" w:rsidR="00E23162" w:rsidRPr="000E19A4" w:rsidRDefault="00497C70" w:rsidP="00DD71F4">
            <w:pPr>
              <w:pStyle w:val="ListParagraph"/>
              <w:numPr>
                <w:ilvl w:val="0"/>
                <w:numId w:val="12"/>
              </w:numPr>
              <w:tabs>
                <w:tab w:val="left" w:pos="794"/>
                <w:tab w:val="left" w:pos="1191"/>
                <w:tab w:val="left" w:pos="1588"/>
                <w:tab w:val="left" w:pos="1985"/>
              </w:tabs>
              <w:overflowPunct w:val="0"/>
              <w:autoSpaceDE w:val="0"/>
              <w:autoSpaceDN w:val="0"/>
              <w:adjustRightInd w:val="0"/>
              <w:spacing w:after="120" w:line="264" w:lineRule="auto"/>
              <w:textAlignment w:val="baseline"/>
              <w:rPr>
                <w:rFonts w:ascii="Times New Roman" w:eastAsia="Batang" w:hAnsi="Times New Roman" w:cs="Times New Roman"/>
                <w:sz w:val="24"/>
                <w:szCs w:val="24"/>
              </w:rPr>
            </w:pPr>
            <w:r w:rsidRPr="00E23162">
              <w:rPr>
                <w:rFonts w:ascii="Times New Roman" w:eastAsia="Batang" w:hAnsi="Times New Roman" w:cs="Times New Roman"/>
                <w:b/>
                <w:i/>
                <w:color w:val="244061" w:themeColor="accent1" w:themeShade="80"/>
                <w:sz w:val="24"/>
                <w:szCs w:val="24"/>
              </w:rPr>
              <w:t>Project Ubin</w:t>
            </w:r>
            <w:r w:rsidR="00832708">
              <w:rPr>
                <w:rFonts w:ascii="Times New Roman" w:eastAsia="Batang" w:hAnsi="Times New Roman" w:cs="Times New Roman"/>
                <w:b/>
                <w:i/>
                <w:color w:val="244061" w:themeColor="accent1" w:themeShade="80"/>
                <w:sz w:val="24"/>
                <w:szCs w:val="24"/>
              </w:rPr>
              <w:t xml:space="preserve"> (Monetary Authority of Singapore)</w:t>
            </w:r>
            <w:r w:rsidRPr="00E23162">
              <w:rPr>
                <w:rFonts w:ascii="Times New Roman" w:eastAsia="Batang" w:hAnsi="Times New Roman" w:cs="Times New Roman"/>
                <w:b/>
                <w:i/>
                <w:color w:val="244061" w:themeColor="accent1" w:themeShade="80"/>
                <w:sz w:val="24"/>
                <w:szCs w:val="24"/>
              </w:rPr>
              <w:t>:</w:t>
            </w:r>
            <w:r w:rsidRPr="00E23162">
              <w:rPr>
                <w:rFonts w:ascii="Times New Roman" w:eastAsia="Batang" w:hAnsi="Times New Roman" w:cs="Times New Roman"/>
                <w:b/>
                <w:color w:val="244061" w:themeColor="accent1" w:themeShade="80"/>
                <w:sz w:val="24"/>
                <w:szCs w:val="24"/>
              </w:rPr>
              <w:t xml:space="preserve"> </w:t>
            </w:r>
            <w:r w:rsidRPr="00E23162">
              <w:rPr>
                <w:rFonts w:ascii="Times New Roman" w:eastAsia="Batang" w:hAnsi="Times New Roman" w:cs="Times New Roman"/>
                <w:sz w:val="24"/>
                <w:szCs w:val="24"/>
              </w:rPr>
              <w:t>The DvP-on-DLT project is an extension of Project Ubin. This project sought to examine possible DvP settlement models and inter-ledger interoperability while achieving settlement finality on separate DLTs. Prototypes of di</w:t>
            </w:r>
            <w:r w:rsidRPr="00E23162">
              <w:rPr>
                <w:rFonts w:ascii="Cambria Math" w:eastAsia="Batang" w:hAnsi="Cambria Math" w:cs="Cambria Math"/>
                <w:sz w:val="24"/>
                <w:szCs w:val="24"/>
              </w:rPr>
              <w:t>ﬀ</w:t>
            </w:r>
            <w:r w:rsidRPr="00E23162">
              <w:rPr>
                <w:rFonts w:ascii="Times New Roman" w:eastAsia="Batang" w:hAnsi="Times New Roman" w:cs="Times New Roman"/>
                <w:sz w:val="24"/>
                <w:szCs w:val="24"/>
              </w:rPr>
              <w:t xml:space="preserve">erent DLTs with varied capabilities and features were developed which allowed the transfer of tokenised assets such as SGS and CDRs on a trade-by-trade basis. It was observed that this setup provides the ﬂexibility to compress settlement cycles, simplify post-trade settlement processes, and thereby reduces underlying risk exposures. The project findings encourage the possibility of DLT to potentially act as an enabler for smart contracting choices for DvP with consistent and coherent implementation of rights and obligations that will increase investor confidence and reduce compliance costs in the market. </w:t>
            </w:r>
          </w:p>
          <w:p w14:paraId="4C5C75E9" w14:textId="2483389A" w:rsidR="00497C70" w:rsidRPr="004F7D09" w:rsidRDefault="00497C70" w:rsidP="00DD71F4">
            <w:pPr>
              <w:spacing w:before="0" w:after="120" w:line="264" w:lineRule="auto"/>
              <w:ind w:left="360"/>
              <w:jc w:val="both"/>
              <w:rPr>
                <w:rFonts w:eastAsia="Batang"/>
              </w:rPr>
            </w:pPr>
            <w:r w:rsidRPr="00D26276">
              <w:rPr>
                <w:rFonts w:eastAsia="Batang"/>
              </w:rPr>
              <w:t>Phase 2 of Project Ubin</w:t>
            </w:r>
            <w:r>
              <w:rPr>
                <w:rFonts w:eastAsia="Batang"/>
              </w:rPr>
              <w:t xml:space="preserve"> further explored</w:t>
            </w:r>
            <w:r w:rsidRPr="00D26276">
              <w:rPr>
                <w:rFonts w:eastAsia="Batang"/>
              </w:rPr>
              <w:t xml:space="preserve"> the use of D</w:t>
            </w:r>
            <w:r>
              <w:rPr>
                <w:rFonts w:eastAsia="Batang"/>
              </w:rPr>
              <w:t>LT f</w:t>
            </w:r>
            <w:r w:rsidRPr="00D26276">
              <w:rPr>
                <w:rFonts w:eastAsia="Batang"/>
              </w:rPr>
              <w:t>or specific RTGS functionalities.</w:t>
            </w:r>
            <w:r>
              <w:rPr>
                <w:rFonts w:eastAsia="Batang"/>
              </w:rPr>
              <w:t xml:space="preserve"> </w:t>
            </w:r>
            <w:r w:rsidRPr="00D26276">
              <w:rPr>
                <w:rFonts w:eastAsia="Batang"/>
              </w:rPr>
              <w:t>Particularly, it focuses on the feasibility</w:t>
            </w:r>
            <w:r>
              <w:rPr>
                <w:rFonts w:eastAsia="Batang"/>
              </w:rPr>
              <w:t xml:space="preserve"> </w:t>
            </w:r>
            <w:r w:rsidRPr="00D26276">
              <w:rPr>
                <w:rFonts w:eastAsia="Batang"/>
              </w:rPr>
              <w:t>of decentralising Liquidity Saving</w:t>
            </w:r>
            <w:r>
              <w:rPr>
                <w:rFonts w:eastAsia="Batang"/>
              </w:rPr>
              <w:t xml:space="preserve"> Mechanisms, </w:t>
            </w:r>
            <w:r w:rsidRPr="00D26276">
              <w:rPr>
                <w:rFonts w:eastAsia="Batang"/>
              </w:rPr>
              <w:t>while maintaining</w:t>
            </w:r>
            <w:r>
              <w:rPr>
                <w:rFonts w:eastAsia="Batang"/>
              </w:rPr>
              <w:t xml:space="preserve"> </w:t>
            </w:r>
            <w:r w:rsidRPr="00D26276">
              <w:rPr>
                <w:rFonts w:eastAsia="Batang"/>
              </w:rPr>
              <w:t>privacy of banking transactions.</w:t>
            </w:r>
            <w:r>
              <w:rPr>
                <w:rFonts w:eastAsia="Batang"/>
              </w:rPr>
              <w:t xml:space="preserve"> The Project</w:t>
            </w:r>
            <w:r w:rsidRPr="00DB5CE3">
              <w:rPr>
                <w:rFonts w:eastAsia="Batang"/>
              </w:rPr>
              <w:t xml:space="preserve"> prototypes</w:t>
            </w:r>
            <w:r>
              <w:rPr>
                <w:rFonts w:eastAsia="Batang"/>
              </w:rPr>
              <w:t xml:space="preserve"> </w:t>
            </w:r>
            <w:r w:rsidRPr="00DB5CE3">
              <w:rPr>
                <w:rFonts w:eastAsia="Batang"/>
              </w:rPr>
              <w:t>demonstrate that there are different</w:t>
            </w:r>
            <w:r>
              <w:rPr>
                <w:rFonts w:eastAsia="Batang"/>
              </w:rPr>
              <w:t xml:space="preserve"> </w:t>
            </w:r>
            <w:r w:rsidRPr="00DB5CE3">
              <w:rPr>
                <w:rFonts w:eastAsia="Batang"/>
              </w:rPr>
              <w:t>methods to initiate gridlock resolution in a</w:t>
            </w:r>
            <w:r>
              <w:rPr>
                <w:rFonts w:eastAsia="Batang"/>
              </w:rPr>
              <w:t xml:space="preserve"> </w:t>
            </w:r>
            <w:r w:rsidRPr="00DB5CE3">
              <w:rPr>
                <w:rFonts w:eastAsia="Batang"/>
              </w:rPr>
              <w:t>decentralised system (and also detect and</w:t>
            </w:r>
            <w:r>
              <w:rPr>
                <w:rFonts w:eastAsia="Batang"/>
              </w:rPr>
              <w:t xml:space="preserve"> </w:t>
            </w:r>
            <w:r w:rsidRPr="00DB5CE3">
              <w:rPr>
                <w:rFonts w:eastAsia="Batang"/>
              </w:rPr>
              <w:t>avoid simultaneous gridlock resolution).</w:t>
            </w:r>
            <w:r>
              <w:rPr>
                <w:rFonts w:eastAsia="Batang"/>
              </w:rPr>
              <w:t xml:space="preserve"> </w:t>
            </w:r>
            <w:r w:rsidRPr="00DB5CE3">
              <w:rPr>
                <w:rFonts w:eastAsia="Batang"/>
              </w:rPr>
              <w:t>In other words, there is flexibility to select</w:t>
            </w:r>
            <w:r>
              <w:rPr>
                <w:rFonts w:eastAsia="Batang"/>
              </w:rPr>
              <w:t xml:space="preserve"> </w:t>
            </w:r>
            <w:r w:rsidRPr="00DB5CE3">
              <w:rPr>
                <w:rFonts w:eastAsia="Batang"/>
              </w:rPr>
              <w:t>how and which node initiates gridlock</w:t>
            </w:r>
            <w:r>
              <w:rPr>
                <w:rFonts w:eastAsia="Batang"/>
              </w:rPr>
              <w:t xml:space="preserve"> </w:t>
            </w:r>
            <w:r w:rsidRPr="00DB5CE3">
              <w:rPr>
                <w:rFonts w:eastAsia="Batang"/>
              </w:rPr>
              <w:t>resolution, be it scheduled, user-triggered</w:t>
            </w:r>
            <w:r>
              <w:rPr>
                <w:rFonts w:eastAsia="Batang"/>
              </w:rPr>
              <w:t xml:space="preserve"> </w:t>
            </w:r>
            <w:r w:rsidRPr="00DB5CE3">
              <w:rPr>
                <w:rFonts w:eastAsia="Batang"/>
              </w:rPr>
              <w:t>or based on a predefined state or event.</w:t>
            </w:r>
            <w:r>
              <w:rPr>
                <w:rFonts w:eastAsia="Batang"/>
              </w:rPr>
              <w:t xml:space="preserve"> </w:t>
            </w:r>
            <w:r w:rsidRPr="00DB5CE3">
              <w:rPr>
                <w:rFonts w:eastAsia="Batang"/>
              </w:rPr>
              <w:t>However, the mechanism of initiating</w:t>
            </w:r>
            <w:r>
              <w:rPr>
                <w:rFonts w:eastAsia="Batang"/>
              </w:rPr>
              <w:t xml:space="preserve"> </w:t>
            </w:r>
            <w:r w:rsidRPr="00DB5CE3">
              <w:rPr>
                <w:rFonts w:eastAsia="Batang"/>
              </w:rPr>
              <w:t>gridlock resolution may lead to unintended</w:t>
            </w:r>
            <w:r>
              <w:rPr>
                <w:rFonts w:eastAsia="Batang"/>
              </w:rPr>
              <w:t xml:space="preserve"> </w:t>
            </w:r>
            <w:r w:rsidRPr="00DB5CE3">
              <w:rPr>
                <w:rFonts w:eastAsia="Batang"/>
              </w:rPr>
              <w:t>consequences and inequality among</w:t>
            </w:r>
            <w:r>
              <w:rPr>
                <w:rFonts w:eastAsia="Batang"/>
              </w:rPr>
              <w:t xml:space="preserve"> </w:t>
            </w:r>
            <w:r w:rsidRPr="00DB5CE3">
              <w:rPr>
                <w:rFonts w:eastAsia="Batang"/>
              </w:rPr>
              <w:t>participants in the network.</w:t>
            </w:r>
            <w:r>
              <w:rPr>
                <w:rFonts w:eastAsia="Batang"/>
              </w:rPr>
              <w:t xml:space="preserve"> In </w:t>
            </w:r>
            <w:r w:rsidRPr="00DB5CE3">
              <w:rPr>
                <w:rFonts w:eastAsia="Batang"/>
              </w:rPr>
              <w:t>addition, LSM processing may take a</w:t>
            </w:r>
            <w:r>
              <w:rPr>
                <w:rFonts w:eastAsia="Batang"/>
              </w:rPr>
              <w:t xml:space="preserve"> longer time in a large network, </w:t>
            </w:r>
            <w:r w:rsidRPr="00DB5CE3">
              <w:rPr>
                <w:rFonts w:eastAsia="Batang"/>
              </w:rPr>
              <w:t>which may</w:t>
            </w:r>
            <w:r>
              <w:rPr>
                <w:rFonts w:eastAsia="Batang"/>
              </w:rPr>
              <w:t xml:space="preserve"> </w:t>
            </w:r>
            <w:r w:rsidRPr="00DB5CE3">
              <w:rPr>
                <w:rFonts w:eastAsia="Batang"/>
              </w:rPr>
              <w:t>result in delay to the settlement.</w:t>
            </w:r>
          </w:p>
        </w:tc>
      </w:tr>
    </w:tbl>
    <w:p w14:paraId="17D1DD6C" w14:textId="77777777" w:rsidR="00497C70" w:rsidRDefault="00497C70" w:rsidP="00DD71F4">
      <w:pPr>
        <w:pStyle w:val="Headingb"/>
        <w:spacing w:before="0"/>
        <w:jc w:val="both"/>
        <w:rPr>
          <w:color w:val="1F497D" w:themeColor="text2"/>
        </w:rPr>
      </w:pPr>
    </w:p>
    <w:p w14:paraId="69283B85" w14:textId="77777777" w:rsidR="00497C70" w:rsidRPr="00E23162" w:rsidRDefault="00E20185" w:rsidP="00DD71F4">
      <w:pPr>
        <w:pStyle w:val="Heading2"/>
        <w:tabs>
          <w:tab w:val="clear" w:pos="3978"/>
          <w:tab w:val="num" w:pos="284"/>
        </w:tabs>
        <w:ind w:left="426" w:hanging="426"/>
        <w:jc w:val="both"/>
      </w:pPr>
      <w:bookmarkStart w:id="34" w:name="_Toc14190268"/>
      <w:r>
        <w:t xml:space="preserve">Market </w:t>
      </w:r>
      <w:r w:rsidR="00CF28E8">
        <w:t>E</w:t>
      </w:r>
      <w:r>
        <w:t xml:space="preserve">nvironment and </w:t>
      </w:r>
      <w:r w:rsidR="00CF28E8">
        <w:t>E</w:t>
      </w:r>
      <w:r>
        <w:t xml:space="preserve">co-system </w:t>
      </w:r>
      <w:r w:rsidR="00CF28E8">
        <w:t>C</w:t>
      </w:r>
      <w:r w:rsidR="00497C70" w:rsidRPr="00E23162">
        <w:t>onsiderations</w:t>
      </w:r>
      <w:bookmarkEnd w:id="34"/>
    </w:p>
    <w:p w14:paraId="4FA339C1" w14:textId="77F289CB" w:rsidR="00497C70" w:rsidRPr="00C55ACB" w:rsidRDefault="00497C70" w:rsidP="00DD71F4">
      <w:pPr>
        <w:pStyle w:val="BodyText"/>
        <w:jc w:val="both"/>
        <w:rPr>
          <w:szCs w:val="24"/>
        </w:rPr>
      </w:pPr>
      <w:bookmarkStart w:id="35" w:name="_Toc9951011"/>
      <w:r w:rsidRPr="00C106AC">
        <w:rPr>
          <w:rFonts w:ascii="Times New Roman" w:hAnsi="Times New Roman" w:cs="Times New Roman"/>
          <w:b/>
          <w:bCs/>
          <w:color w:val="1F497D" w:themeColor="text2"/>
          <w:sz w:val="24"/>
          <w:szCs w:val="24"/>
        </w:rPr>
        <w:t>DLT platforms could make possible to create a unique shared view of a large variety of information fed and replicated across institutions.</w:t>
      </w:r>
      <w:r w:rsidRPr="00C55ACB">
        <w:rPr>
          <w:rFonts w:ascii="Times New Roman" w:hAnsi="Times New Roman" w:cs="Times New Roman"/>
          <w:bCs/>
          <w:sz w:val="24"/>
          <w:szCs w:val="24"/>
        </w:rPr>
        <w:t xml:space="preserve"> In order to achieve this possibility, the development of </w:t>
      </w:r>
      <w:r w:rsidR="00E23162" w:rsidRPr="00C55ACB">
        <w:rPr>
          <w:rFonts w:ascii="Times New Roman" w:hAnsi="Times New Roman" w:cs="Times New Roman"/>
          <w:bCs/>
          <w:sz w:val="24"/>
          <w:szCs w:val="24"/>
        </w:rPr>
        <w:t>reference architecture of whole</w:t>
      </w:r>
      <w:r w:rsidRPr="00C55ACB">
        <w:rPr>
          <w:rFonts w:ascii="Times New Roman" w:hAnsi="Times New Roman" w:cs="Times New Roman"/>
          <w:bCs/>
          <w:sz w:val="24"/>
          <w:szCs w:val="24"/>
        </w:rPr>
        <w:t>sale DFC should be undertaken by central banks</w:t>
      </w:r>
      <w:r w:rsidR="00773C39">
        <w:rPr>
          <w:rFonts w:ascii="Times New Roman" w:hAnsi="Times New Roman" w:cs="Times New Roman"/>
          <w:sz w:val="24"/>
          <w:szCs w:val="24"/>
        </w:rPr>
        <w:t xml:space="preserve"> w</w:t>
      </w:r>
      <w:bookmarkEnd w:id="35"/>
      <w:r w:rsidRPr="0078601C">
        <w:rPr>
          <w:rFonts w:ascii="Times New Roman" w:hAnsi="Times New Roman" w:cs="Times New Roman"/>
          <w:sz w:val="24"/>
          <w:szCs w:val="24"/>
        </w:rPr>
        <w:t>ith the participation of private sector participants right from inception</w:t>
      </w:r>
      <w:r w:rsidR="00773C39">
        <w:rPr>
          <w:rFonts w:ascii="Times New Roman" w:hAnsi="Times New Roman" w:cs="Times New Roman"/>
          <w:sz w:val="24"/>
          <w:szCs w:val="24"/>
        </w:rPr>
        <w:t>, and w</w:t>
      </w:r>
      <w:r w:rsidRPr="0078601C">
        <w:rPr>
          <w:rFonts w:ascii="Times New Roman" w:hAnsi="Times New Roman" w:cs="Times New Roman"/>
          <w:sz w:val="24"/>
          <w:szCs w:val="24"/>
        </w:rPr>
        <w:t>ith due considerations to national eco-systems for embracing new technologies</w:t>
      </w:r>
      <w:r w:rsidR="00773C39">
        <w:rPr>
          <w:szCs w:val="24"/>
        </w:rPr>
        <w:t>.</w:t>
      </w:r>
    </w:p>
    <w:p w14:paraId="43EB8DAF" w14:textId="2E9D2D21" w:rsidR="00497C70" w:rsidRPr="00C55ACB" w:rsidRDefault="00497C70" w:rsidP="00DD71F4">
      <w:pPr>
        <w:pStyle w:val="BodyText"/>
        <w:jc w:val="both"/>
        <w:rPr>
          <w:rFonts w:cs="Times New Roman"/>
          <w:szCs w:val="24"/>
        </w:rPr>
      </w:pPr>
      <w:bookmarkStart w:id="36" w:name="_Toc9951012"/>
      <w:r w:rsidRPr="0060119B">
        <w:rPr>
          <w:rFonts w:ascii="Times New Roman" w:hAnsi="Times New Roman" w:cs="Times New Roman"/>
          <w:b/>
          <w:bCs/>
          <w:color w:val="1F497D" w:themeColor="text2"/>
          <w:sz w:val="24"/>
          <w:szCs w:val="24"/>
        </w:rPr>
        <w:t>DFC architecture should be developed in partnership with private sector (including technology providers)</w:t>
      </w:r>
      <w:r w:rsidR="00773C39" w:rsidRPr="0060119B">
        <w:rPr>
          <w:rFonts w:ascii="Times New Roman" w:hAnsi="Times New Roman" w:cs="Times New Roman"/>
          <w:b/>
          <w:bCs/>
          <w:color w:val="1F497D" w:themeColor="text2"/>
          <w:sz w:val="24"/>
          <w:szCs w:val="24"/>
        </w:rPr>
        <w:t>.</w:t>
      </w:r>
      <w:r w:rsidRPr="00773C39">
        <w:rPr>
          <w:rFonts w:ascii="Times New Roman" w:hAnsi="Times New Roman" w:cs="Times New Roman"/>
          <w:bCs/>
          <w:i/>
          <w:color w:val="1F497D" w:themeColor="text2"/>
          <w:sz w:val="24"/>
          <w:szCs w:val="24"/>
        </w:rPr>
        <w:t xml:space="preserve"> </w:t>
      </w:r>
      <w:r w:rsidRPr="00C55ACB">
        <w:rPr>
          <w:rFonts w:ascii="Times New Roman" w:hAnsi="Times New Roman" w:cs="Times New Roman"/>
          <w:bCs/>
          <w:sz w:val="24"/>
          <w:szCs w:val="24"/>
        </w:rPr>
        <w:t>DFC should be designed in partnership with the private sector as it is necessary to engage stakeholders from the start, rather than impose new technology on participants. The design considerations with respect to message flows (either directly to central bank or via a processor, in a centralised architecture) and mechanisms for validation of transactions (pre-defined audit tools and ongoing monitoring criteria for defining invalid transactions in unambiguous terms, together with rights of parties in case of such invalidations later by central banks – all in case of a decentralised architecture) are better implemented with the involvement of private sector players right at the inception stage in developing the right DFC architecture.</w:t>
      </w:r>
      <w:bookmarkEnd w:id="36"/>
      <w:r w:rsidRPr="00C55ACB">
        <w:rPr>
          <w:rFonts w:ascii="Times New Roman" w:hAnsi="Times New Roman" w:cs="Times New Roman"/>
          <w:bCs/>
          <w:sz w:val="24"/>
          <w:szCs w:val="24"/>
        </w:rPr>
        <w:t xml:space="preserve"> </w:t>
      </w:r>
    </w:p>
    <w:p w14:paraId="3EA753FB" w14:textId="16853C68" w:rsidR="00497C70" w:rsidRPr="00C55ACB" w:rsidRDefault="00497C70" w:rsidP="00DD71F4">
      <w:pPr>
        <w:pStyle w:val="BodyText"/>
        <w:jc w:val="both"/>
        <w:rPr>
          <w:rFonts w:cs="Times New Roman"/>
          <w:szCs w:val="24"/>
        </w:rPr>
      </w:pPr>
      <w:bookmarkStart w:id="37" w:name="_Toc9951013"/>
      <w:r w:rsidRPr="0060119B">
        <w:rPr>
          <w:rFonts w:ascii="Times New Roman" w:hAnsi="Times New Roman" w:cs="Times New Roman"/>
          <w:b/>
          <w:bCs/>
          <w:color w:val="1F497D" w:themeColor="text2"/>
          <w:sz w:val="24"/>
          <w:szCs w:val="24"/>
        </w:rPr>
        <w:t>Experiments by Central Bank of Brazil, for instance, indicated that the value of DLT platforms is intimately tied to the network effect</w:t>
      </w:r>
      <w:r w:rsidRPr="00C55ACB">
        <w:rPr>
          <w:rFonts w:ascii="Times New Roman" w:hAnsi="Times New Roman" w:cs="Times New Roman"/>
          <w:bCs/>
          <w:sz w:val="24"/>
          <w:szCs w:val="24"/>
        </w:rPr>
        <w:t>. Partnerships with another government agencies and private enterprises are therefore considered very important for exploring the emerging new possibilities, when it comes to share information between agencies, with large foreseeable benefits to society.</w:t>
      </w:r>
      <w:bookmarkEnd w:id="37"/>
      <w:r w:rsidRPr="00C55ACB">
        <w:rPr>
          <w:rFonts w:ascii="Times New Roman" w:hAnsi="Times New Roman" w:cs="Times New Roman"/>
          <w:bCs/>
          <w:sz w:val="24"/>
          <w:szCs w:val="24"/>
        </w:rPr>
        <w:t xml:space="preserve"> </w:t>
      </w:r>
    </w:p>
    <w:p w14:paraId="344DA31E" w14:textId="53247D64" w:rsidR="00497C70" w:rsidRPr="00C55ACB" w:rsidRDefault="00497C70" w:rsidP="00DD71F4">
      <w:pPr>
        <w:pStyle w:val="BodyText"/>
        <w:jc w:val="both"/>
        <w:rPr>
          <w:rFonts w:cs="Times New Roman"/>
          <w:szCs w:val="24"/>
        </w:rPr>
      </w:pPr>
      <w:bookmarkStart w:id="38" w:name="_Toc9951017"/>
      <w:r w:rsidRPr="0060119B">
        <w:rPr>
          <w:rFonts w:ascii="Times New Roman" w:hAnsi="Times New Roman" w:cs="Times New Roman"/>
          <w:b/>
          <w:bCs/>
          <w:color w:val="1F497D" w:themeColor="text2"/>
          <w:sz w:val="24"/>
          <w:szCs w:val="24"/>
        </w:rPr>
        <w:t>At this juncture, it should be further noted that such experiments should also be mindful of the safety, efficiency and wider market implications such architecture could expose the payment systems to</w:t>
      </w:r>
      <w:r w:rsidRPr="00C55ACB">
        <w:rPr>
          <w:rFonts w:ascii="Times New Roman" w:hAnsi="Times New Roman" w:cs="Times New Roman"/>
          <w:bCs/>
          <w:sz w:val="24"/>
          <w:szCs w:val="24"/>
        </w:rPr>
        <w:t>.</w:t>
      </w:r>
      <w:bookmarkEnd w:id="38"/>
    </w:p>
    <w:p w14:paraId="039E2E27" w14:textId="799DEEDD" w:rsidR="00DE6DB6" w:rsidRPr="00773C39" w:rsidRDefault="00497C70" w:rsidP="00DD71F4">
      <w:pPr>
        <w:pStyle w:val="BodyText"/>
        <w:spacing w:line="264" w:lineRule="auto"/>
        <w:jc w:val="both"/>
        <w:rPr>
          <w:rFonts w:ascii="Times New Roman" w:hAnsi="Times New Roman" w:cs="Times New Roman"/>
          <w:sz w:val="24"/>
          <w:szCs w:val="24"/>
        </w:rPr>
      </w:pPr>
      <w:bookmarkStart w:id="39" w:name="_Toc9951018"/>
      <w:r w:rsidRPr="00773C39">
        <w:rPr>
          <w:rFonts w:ascii="Times New Roman" w:hAnsi="Times New Roman" w:cs="Times New Roman"/>
          <w:b/>
          <w:bCs/>
          <w:color w:val="1F497D" w:themeColor="text2"/>
          <w:sz w:val="24"/>
          <w:szCs w:val="24"/>
        </w:rPr>
        <w:t>DFC using DLT architecture will be as much successful as the maturity of the ecosystem that is ready to embrace its fully potential.</w:t>
      </w:r>
      <w:r w:rsidRPr="00773C39">
        <w:rPr>
          <w:rFonts w:ascii="Times New Roman" w:hAnsi="Times New Roman" w:cs="Times New Roman"/>
          <w:bCs/>
          <w:color w:val="1F497D" w:themeColor="text2"/>
          <w:sz w:val="24"/>
          <w:szCs w:val="24"/>
        </w:rPr>
        <w:t xml:space="preserve"> </w:t>
      </w:r>
      <w:r w:rsidRPr="00773C39">
        <w:rPr>
          <w:rFonts w:ascii="Times New Roman" w:hAnsi="Times New Roman" w:cs="Times New Roman"/>
          <w:bCs/>
          <w:sz w:val="24"/>
          <w:szCs w:val="24"/>
        </w:rPr>
        <w:t>This maturity is attained only if the whole ecosystem involving market participants are convinced that the technology that runs this system is inviolable and absolutely correct under all circumstances. This would mean that the participants should collectively agree that there is no opportunity for any form of malicious behaviour to upset the logic of the system once set in place. This requires trust in the hardware, network, DLT and application layers – all facilitated through legal and institutional pre-requisites for addressing the unforeseen eventualities.</w:t>
      </w:r>
      <w:bookmarkEnd w:id="39"/>
    </w:p>
    <w:p w14:paraId="665D4F81" w14:textId="77777777" w:rsidR="00497C70" w:rsidRDefault="00DE6DB6" w:rsidP="00DD71F4">
      <w:pPr>
        <w:pStyle w:val="Heading1"/>
        <w:spacing w:before="0" w:after="120" w:line="264" w:lineRule="auto"/>
        <w:jc w:val="both"/>
        <w:rPr>
          <w:rFonts w:eastAsia="Batang"/>
        </w:rPr>
      </w:pPr>
      <w:bookmarkStart w:id="40" w:name="_Toc14190269"/>
      <w:r>
        <w:rPr>
          <w:rFonts w:eastAsia="Batang"/>
        </w:rPr>
        <w:t>Retail CBDC</w:t>
      </w:r>
      <w:bookmarkEnd w:id="40"/>
    </w:p>
    <w:p w14:paraId="24BFF0B1" w14:textId="7843B257" w:rsidR="00FB736A" w:rsidRPr="00CE743F" w:rsidRDefault="00AF5D5D" w:rsidP="00DD71F4">
      <w:pPr>
        <w:spacing w:before="0" w:after="120" w:line="264" w:lineRule="auto"/>
        <w:jc w:val="both"/>
        <w:rPr>
          <w:b/>
          <w:color w:val="1F497D" w:themeColor="text2"/>
          <w:lang w:val="en-US" w:eastAsia="ja-JP"/>
        </w:rPr>
      </w:pPr>
      <w:r w:rsidRPr="00CE743F">
        <w:rPr>
          <w:b/>
          <w:color w:val="1F497D" w:themeColor="text2"/>
          <w:lang w:val="en-US" w:eastAsia="ja-JP"/>
        </w:rPr>
        <w:t xml:space="preserve">A retail CBDC as a widely accessible digital representation of a sovereign currency that is issued by, and a liability of, a </w:t>
      </w:r>
      <w:r w:rsidR="006C16C7" w:rsidRPr="00CE743F">
        <w:rPr>
          <w:b/>
          <w:color w:val="1F497D" w:themeColor="text2"/>
          <w:lang w:val="en-US" w:eastAsia="ja-JP"/>
        </w:rPr>
        <w:t>jurisdiction</w:t>
      </w:r>
      <w:r w:rsidRPr="00CE743F">
        <w:rPr>
          <w:b/>
          <w:color w:val="1F497D" w:themeColor="text2"/>
          <w:lang w:val="en-US" w:eastAsia="ja-JP"/>
        </w:rPr>
        <w:t xml:space="preserve">’s </w:t>
      </w:r>
      <w:r w:rsidR="006C16C7" w:rsidRPr="00CE743F">
        <w:rPr>
          <w:b/>
          <w:color w:val="1F497D" w:themeColor="text2"/>
          <w:lang w:val="en-US" w:eastAsia="ja-JP"/>
        </w:rPr>
        <w:t xml:space="preserve">central bank or </w:t>
      </w:r>
      <w:r w:rsidRPr="00CE743F">
        <w:rPr>
          <w:b/>
          <w:color w:val="1F497D" w:themeColor="text2"/>
          <w:lang w:val="en-US" w:eastAsia="ja-JP"/>
        </w:rPr>
        <w:t xml:space="preserve">monetary authority, and </w:t>
      </w:r>
      <w:r w:rsidR="00513629">
        <w:rPr>
          <w:b/>
          <w:color w:val="1F497D" w:themeColor="text2"/>
          <w:lang w:val="en-US" w:eastAsia="ja-JP"/>
        </w:rPr>
        <w:t xml:space="preserve">generally </w:t>
      </w:r>
      <w:r w:rsidRPr="00CE743F">
        <w:rPr>
          <w:b/>
          <w:color w:val="1F497D" w:themeColor="text2"/>
          <w:lang w:val="en-US" w:eastAsia="ja-JP"/>
        </w:rPr>
        <w:t>be legal tender.</w:t>
      </w:r>
      <w:r w:rsidR="006C16C7" w:rsidRPr="00CE743F">
        <w:rPr>
          <w:b/>
          <w:color w:val="1F497D" w:themeColor="text2"/>
          <w:lang w:val="en-US" w:eastAsia="ja-JP"/>
        </w:rPr>
        <w:t xml:space="preserve"> </w:t>
      </w:r>
    </w:p>
    <w:p w14:paraId="72816E32" w14:textId="47DFC1C4" w:rsidR="006C16C7" w:rsidRDefault="00CE743F" w:rsidP="00DD71F4">
      <w:pPr>
        <w:spacing w:before="0" w:after="120" w:line="264" w:lineRule="auto"/>
        <w:jc w:val="both"/>
        <w:rPr>
          <w:lang w:val="en-US" w:eastAsia="ja-JP"/>
        </w:rPr>
      </w:pPr>
      <w:r w:rsidRPr="0060119B">
        <w:rPr>
          <w:b/>
          <w:color w:val="1F497D" w:themeColor="text2"/>
          <w:lang w:val="en-US" w:eastAsia="ja-JP"/>
        </w:rPr>
        <w:t>Motivations for exploring CBDC issuance vary from country to country.</w:t>
      </w:r>
      <w:r w:rsidRPr="0060119B">
        <w:rPr>
          <w:color w:val="1F497D" w:themeColor="text2"/>
          <w:lang w:val="en-US" w:eastAsia="ja-JP"/>
        </w:rPr>
        <w:t xml:space="preserve"> </w:t>
      </w:r>
      <w:r w:rsidR="006C16C7" w:rsidRPr="006C16C7">
        <w:rPr>
          <w:lang w:val="en-US" w:eastAsia="ja-JP"/>
        </w:rPr>
        <w:t xml:space="preserve">The dwindling use of cash in advanced economies such as Sweden catalyzed the </w:t>
      </w:r>
      <w:r w:rsidR="006C16C7">
        <w:rPr>
          <w:lang w:val="en-US" w:eastAsia="ja-JP"/>
        </w:rPr>
        <w:t xml:space="preserve">potential </w:t>
      </w:r>
      <w:r w:rsidR="006C16C7" w:rsidRPr="006C16C7">
        <w:rPr>
          <w:lang w:val="en-US" w:eastAsia="ja-JP"/>
        </w:rPr>
        <w:t xml:space="preserve">role of retail CBDC as an alternative, robust, and convenient payment method. The central banks of Ecuador </w:t>
      </w:r>
      <w:r w:rsidR="006C16C7">
        <w:rPr>
          <w:lang w:val="en-US" w:eastAsia="ja-JP"/>
        </w:rPr>
        <w:t>and</w:t>
      </w:r>
      <w:r w:rsidR="006C16C7" w:rsidRPr="006C16C7">
        <w:rPr>
          <w:lang w:val="en-US" w:eastAsia="ja-JP"/>
        </w:rPr>
        <w:t xml:space="preserve"> Uruguay are exploring </w:t>
      </w:r>
      <w:r w:rsidR="006C16C7">
        <w:rPr>
          <w:lang w:val="en-US" w:eastAsia="ja-JP"/>
        </w:rPr>
        <w:t xml:space="preserve">retail </w:t>
      </w:r>
      <w:r w:rsidR="006C16C7" w:rsidRPr="006C16C7">
        <w:rPr>
          <w:lang w:val="en-US" w:eastAsia="ja-JP"/>
        </w:rPr>
        <w:t xml:space="preserve">CBDC to improve operational and cost efficiency. In countries with underdeveloped financial systems and many unbanked citizens, CBDCs </w:t>
      </w:r>
      <w:r w:rsidR="00FB736A">
        <w:rPr>
          <w:lang w:val="en-US" w:eastAsia="ja-JP"/>
        </w:rPr>
        <w:t xml:space="preserve">may be seen </w:t>
      </w:r>
      <w:r w:rsidR="006C16C7" w:rsidRPr="006C16C7">
        <w:rPr>
          <w:lang w:val="en-US" w:eastAsia="ja-JP"/>
        </w:rPr>
        <w:t xml:space="preserve">as </w:t>
      </w:r>
      <w:r w:rsidR="00FB736A">
        <w:rPr>
          <w:lang w:val="en-US" w:eastAsia="ja-JP"/>
        </w:rPr>
        <w:t xml:space="preserve">a </w:t>
      </w:r>
      <w:r w:rsidR="006C16C7" w:rsidRPr="006C16C7">
        <w:rPr>
          <w:lang w:val="en-US" w:eastAsia="ja-JP"/>
        </w:rPr>
        <w:t>means to improve financial inclusio</w:t>
      </w:r>
      <w:r w:rsidR="00FB736A">
        <w:rPr>
          <w:lang w:val="en-US" w:eastAsia="ja-JP"/>
        </w:rPr>
        <w:t>n</w:t>
      </w:r>
      <w:r w:rsidR="006C16C7" w:rsidRPr="006C16C7">
        <w:rPr>
          <w:lang w:val="en-US" w:eastAsia="ja-JP"/>
        </w:rPr>
        <w:t>. For some central banks in emerging market economies additional motivations relate to supporting digitalization, combatting financial crime, and expanding macro-prudential tools (Barontini and Holden, 2019). CBDC would also help facilitate monitoring illegal activities otherwise resulting from the use of (anonymous) physical cash.</w:t>
      </w:r>
    </w:p>
    <w:p w14:paraId="6E195404" w14:textId="4150DEDF" w:rsidR="00052833" w:rsidRPr="006C16C7" w:rsidRDefault="00052833" w:rsidP="00DD71F4">
      <w:pPr>
        <w:spacing w:before="0" w:after="120" w:line="264" w:lineRule="auto"/>
        <w:jc w:val="both"/>
        <w:rPr>
          <w:lang w:val="en-US" w:eastAsia="ja-JP"/>
        </w:rPr>
      </w:pPr>
      <w:r w:rsidRPr="0060119B">
        <w:rPr>
          <w:b/>
          <w:color w:val="1F497D" w:themeColor="text2"/>
          <w:lang w:val="en-US" w:eastAsia="ja-JP"/>
        </w:rPr>
        <w:t>Retail CBDC may also contribute to optimizing the payment function of fiat money, reducing reliance on payment services provided by the private sector, alleviating the regulatory burdens and pressure on the central bank, and strengthening the authority of fiat money</w:t>
      </w:r>
      <w:r w:rsidRPr="00052833">
        <w:rPr>
          <w:lang w:val="en-US" w:eastAsia="ja-JP"/>
        </w:rPr>
        <w:t xml:space="preserve">. Moreover, CBDC </w:t>
      </w:r>
      <w:r>
        <w:rPr>
          <w:lang w:val="en-US" w:eastAsia="ja-JP"/>
        </w:rPr>
        <w:t xml:space="preserve">may </w:t>
      </w:r>
      <w:r w:rsidRPr="00052833">
        <w:rPr>
          <w:lang w:val="en-US" w:eastAsia="ja-JP"/>
        </w:rPr>
        <w:t>help to address the dilemmas of modern monetary policies, including inefficiencies in policy transmission, difficulties in countercyclical control, flow of currency away from the real economy toward the virtual economy, and inadequate management of policy expectations</w:t>
      </w:r>
      <w:r>
        <w:rPr>
          <w:lang w:val="en-US" w:eastAsia="ja-JP"/>
        </w:rPr>
        <w:t xml:space="preserve"> </w:t>
      </w:r>
      <w:r w:rsidRPr="00EB6E5B">
        <w:rPr>
          <w:lang w:val="en-US" w:eastAsia="ja-JP"/>
        </w:rPr>
        <w:t>(</w:t>
      </w:r>
      <w:r w:rsidRPr="00C106AC">
        <w:rPr>
          <w:lang w:val="en-US" w:eastAsia="ja-JP"/>
        </w:rPr>
        <w:t>Qian, 2018</w:t>
      </w:r>
      <w:r w:rsidRPr="00EB6E5B">
        <w:rPr>
          <w:lang w:val="en-US" w:eastAsia="ja-JP"/>
        </w:rPr>
        <w:t>).</w:t>
      </w:r>
      <w:r w:rsidR="00507D71">
        <w:rPr>
          <w:rStyle w:val="FootnoteReference"/>
          <w:lang w:val="en-US" w:eastAsia="ja-JP"/>
        </w:rPr>
        <w:footnoteReference w:id="14"/>
      </w:r>
      <w:r>
        <w:rPr>
          <w:lang w:val="en-US" w:eastAsia="ja-JP"/>
        </w:rPr>
        <w:t xml:space="preserve"> </w:t>
      </w:r>
      <w:r w:rsidR="00507D71" w:rsidRPr="00507D71" w:rsidDel="00EB6E5B">
        <w:rPr>
          <w:lang w:val="en-US" w:eastAsia="ja-JP"/>
        </w:rPr>
        <w:t xml:space="preserve"> </w:t>
      </w:r>
    </w:p>
    <w:p w14:paraId="6A6D6155" w14:textId="77777777" w:rsidR="00DE6DB6" w:rsidRDefault="00FB736A" w:rsidP="00DD71F4">
      <w:pPr>
        <w:spacing w:before="0" w:after="120" w:line="264" w:lineRule="auto"/>
        <w:jc w:val="both"/>
        <w:rPr>
          <w:lang w:val="en-US" w:eastAsia="ja-JP"/>
        </w:rPr>
      </w:pPr>
      <w:r w:rsidRPr="0060119B">
        <w:rPr>
          <w:b/>
          <w:color w:val="1F497D" w:themeColor="text2"/>
          <w:lang w:val="en-US" w:eastAsia="ja-JP"/>
        </w:rPr>
        <w:t>Specific design features depend on CBDC policy objectives, while key design principles are foundational and independent</w:t>
      </w:r>
      <w:r w:rsidRPr="00FB736A">
        <w:rPr>
          <w:lang w:val="en-US" w:eastAsia="ja-JP"/>
        </w:rPr>
        <w:t>.</w:t>
      </w:r>
      <w:r w:rsidRPr="00FB736A">
        <w:rPr>
          <w:b/>
          <w:lang w:val="en-US" w:eastAsia="ja-JP"/>
        </w:rPr>
        <w:t xml:space="preserve"> </w:t>
      </w:r>
      <w:r w:rsidRPr="00FB736A">
        <w:rPr>
          <w:lang w:val="en-US" w:eastAsia="ja-JP"/>
        </w:rPr>
        <w:t>Key design principles such as security, user-centricity, and flexibility by design form the foundation for and CBDC and guide the design process from the onset of the implementation. Central banks can also leverage specific design principles to develop a business and technology architecture, which best suits their policy objective. These specific design principles are independent of a specific technology choice. Traditional back-end and front-end solutions, distributed ledger technology (DLT), hybrid versions or other technologies can be considered, but only at the final stages of implementation.</w:t>
      </w:r>
    </w:p>
    <w:p w14:paraId="013BECC0" w14:textId="03C1DDD2" w:rsidR="00FB736A" w:rsidRDefault="00FB736A" w:rsidP="00DD71F4">
      <w:pPr>
        <w:spacing w:before="0" w:after="120" w:line="264" w:lineRule="auto"/>
        <w:jc w:val="both"/>
        <w:rPr>
          <w:lang w:val="en-US" w:eastAsia="ja-JP"/>
        </w:rPr>
      </w:pPr>
      <w:r w:rsidRPr="0060119B">
        <w:rPr>
          <w:b/>
          <w:color w:val="1F497D" w:themeColor="text2"/>
          <w:lang w:val="en-US" w:eastAsia="ja-JP"/>
        </w:rPr>
        <w:t>CBDCs can be designed in line with international AML/CFT standards, while allowing for a certain degree of anonymity</w:t>
      </w:r>
      <w:r w:rsidR="00513629">
        <w:rPr>
          <w:b/>
          <w:color w:val="1F497D" w:themeColor="text2"/>
          <w:lang w:val="en-US" w:eastAsia="ja-JP"/>
        </w:rPr>
        <w:t xml:space="preserve"> and privacy</w:t>
      </w:r>
      <w:r w:rsidRPr="0060119B">
        <w:rPr>
          <w:b/>
          <w:color w:val="1F497D" w:themeColor="text2"/>
          <w:lang w:val="en-US" w:eastAsia="ja-JP"/>
        </w:rPr>
        <w:t>.</w:t>
      </w:r>
      <w:r w:rsidRPr="00FB736A">
        <w:rPr>
          <w:lang w:val="en-US" w:eastAsia="ja-JP"/>
        </w:rPr>
        <w:t xml:space="preserve"> The Financial Action Task Force (FATF)</w:t>
      </w:r>
      <w:r w:rsidRPr="00FB736A">
        <w:rPr>
          <w:vertAlign w:val="superscript"/>
          <w:lang w:val="en-US" w:eastAsia="ja-JP"/>
        </w:rPr>
        <w:t xml:space="preserve"> </w:t>
      </w:r>
      <w:r w:rsidRPr="00FB736A">
        <w:rPr>
          <w:vertAlign w:val="superscript"/>
          <w:lang w:val="en-US" w:eastAsia="ja-JP"/>
        </w:rPr>
        <w:footnoteReference w:id="15"/>
      </w:r>
      <w:r w:rsidRPr="00FB736A">
        <w:rPr>
          <w:lang w:val="en-US" w:eastAsia="ja-JP"/>
        </w:rPr>
        <w:t xml:space="preserve"> has issued a set of pertinent AML/CFT standards that intend to guide financial institutions and designated non-financial businesses in implementing customer due diligence and monitoring and reporting of suspicious transactions. A well-designed CBDC will strike the right balance between the need to comply with AML/CFT standards and provide some level of anonymity</w:t>
      </w:r>
      <w:r w:rsidR="00513629">
        <w:rPr>
          <w:lang w:val="en-US" w:eastAsia="ja-JP"/>
        </w:rPr>
        <w:t xml:space="preserve"> and privacy</w:t>
      </w:r>
      <w:r w:rsidRPr="00FB736A">
        <w:rPr>
          <w:lang w:val="en-US" w:eastAsia="ja-JP"/>
        </w:rPr>
        <w:t xml:space="preserve">. A certain level of anonymity is important particularly if the CBDC is designed for use in countries, where large segments of the population lack identification and cash remains the prevalent means of payment. </w:t>
      </w:r>
    </w:p>
    <w:p w14:paraId="72F62051" w14:textId="776A1F83" w:rsidR="00FB736A" w:rsidRDefault="00FB736A" w:rsidP="00DD71F4">
      <w:pPr>
        <w:spacing w:before="0" w:after="120" w:line="264" w:lineRule="auto"/>
        <w:jc w:val="both"/>
        <w:rPr>
          <w:lang w:val="en-US" w:eastAsia="ja-JP"/>
        </w:rPr>
      </w:pPr>
      <w:r w:rsidRPr="0060119B">
        <w:rPr>
          <w:b/>
          <w:color w:val="1F497D" w:themeColor="text2"/>
          <w:lang w:val="en-US" w:eastAsia="ja-JP"/>
        </w:rPr>
        <w:t>On the flip-side, a greater level of anonymity introduces challenges to detecting fraud or for users to prove and claim ownership over lost or stolen CBDC</w:t>
      </w:r>
      <w:r w:rsidRPr="00FB736A">
        <w:rPr>
          <w:lang w:val="en-US" w:eastAsia="ja-JP"/>
        </w:rPr>
        <w:t>. In this case, user identities could be linked to the mobile wallet or device that the CBDC is stored in. In the case of the e-Peso, digital banknotes were assigned a unique series ID that is linked to a specific user wallet. The ePiso require</w:t>
      </w:r>
      <w:r w:rsidR="00D92911">
        <w:rPr>
          <w:lang w:val="en-US" w:eastAsia="ja-JP"/>
        </w:rPr>
        <w:t>d</w:t>
      </w:r>
      <w:r w:rsidRPr="00FB736A">
        <w:rPr>
          <w:lang w:val="en-US" w:eastAsia="ja-JP"/>
        </w:rPr>
        <w:t xml:space="preserve"> identification for amounts that exceed a certain threshold. Even if identity is determined at the device or wallet-level managed by third-party, sensitive user identity data needs to be protected from unauthorized disclosure, misuse or breaches. Adequate regulation and legislation can ensure consumer and data protection, </w:t>
      </w:r>
      <w:r w:rsidR="007A1533">
        <w:rPr>
          <w:lang w:val="en-US" w:eastAsia="ja-JP"/>
        </w:rPr>
        <w:t>as could</w:t>
      </w:r>
      <w:r w:rsidRPr="00FB736A">
        <w:rPr>
          <w:lang w:val="en-US" w:eastAsia="ja-JP"/>
        </w:rPr>
        <w:t xml:space="preserve"> contractual agreements between the central bank and third</w:t>
      </w:r>
      <w:r>
        <w:rPr>
          <w:lang w:val="en-US" w:eastAsia="ja-JP"/>
        </w:rPr>
        <w:t>-</w:t>
      </w:r>
      <w:r w:rsidRPr="00FB736A">
        <w:rPr>
          <w:lang w:val="en-US" w:eastAsia="ja-JP"/>
        </w:rPr>
        <w:t>party wallet or telecommunication providers</w:t>
      </w:r>
      <w:r w:rsidR="00D92911">
        <w:rPr>
          <w:lang w:val="en-US" w:eastAsia="ja-JP"/>
        </w:rPr>
        <w:t>.</w:t>
      </w:r>
    </w:p>
    <w:p w14:paraId="6742C7D3" w14:textId="2BEEE1C1" w:rsidR="00B204B7" w:rsidRDefault="00B204B7" w:rsidP="00DD71F4">
      <w:pPr>
        <w:spacing w:before="0" w:after="120" w:line="264" w:lineRule="auto"/>
        <w:jc w:val="both"/>
        <w:rPr>
          <w:lang w:val="en-US" w:eastAsia="ja-JP"/>
        </w:rPr>
      </w:pPr>
      <w:r w:rsidRPr="0060119B">
        <w:rPr>
          <w:b/>
          <w:color w:val="1F497D" w:themeColor="text2"/>
          <w:lang w:val="en-US" w:eastAsia="ja-JP"/>
        </w:rPr>
        <w:t>CBDC could have offline capabilities to provide the same 24/7 availability as cash</w:t>
      </w:r>
      <w:r w:rsidRPr="00B204B7">
        <w:rPr>
          <w:lang w:val="en-US" w:eastAsia="ja-JP"/>
        </w:rPr>
        <w:t>. This would be useful when temporary electricity or infrastructure breakdowns occur, but no digital currency will be impervious to catastrophic events.</w:t>
      </w:r>
      <w:r w:rsidRPr="00B204B7">
        <w:rPr>
          <w:vertAlign w:val="superscript"/>
          <w:lang w:val="en-US" w:eastAsia="ja-JP"/>
        </w:rPr>
        <w:footnoteReference w:id="16"/>
      </w:r>
      <w:r w:rsidRPr="00B204B7">
        <w:rPr>
          <w:lang w:val="en-US" w:eastAsia="ja-JP"/>
        </w:rPr>
        <w:t xml:space="preserve"> Such designs include recharge cards, quick response (QR) code based prepaid cards and smart chip enabled banknotes.</w:t>
      </w:r>
      <w:r w:rsidRPr="00B204B7">
        <w:rPr>
          <w:vertAlign w:val="superscript"/>
          <w:lang w:val="en-US" w:eastAsia="ja-JP"/>
        </w:rPr>
        <w:footnoteReference w:id="17"/>
      </w:r>
      <w:r w:rsidRPr="00B204B7">
        <w:rPr>
          <w:lang w:val="en-US" w:eastAsia="ja-JP"/>
        </w:rPr>
        <w:t xml:space="preserve"> Sveriges Riksbank (2018) suggests that an account-based CBDC could offer offline functionality with a “regulatory framework that defines how the risks </w:t>
      </w:r>
      <w:r w:rsidR="00513629">
        <w:rPr>
          <w:lang w:val="en-US" w:eastAsia="ja-JP"/>
        </w:rPr>
        <w:t xml:space="preserve">(in particular liquidity risks) </w:t>
      </w:r>
      <w:r w:rsidRPr="00B204B7">
        <w:rPr>
          <w:lang w:val="en-US" w:eastAsia="ja-JP"/>
        </w:rPr>
        <w:t>are divided between different agents, how many payments can be made offline and in what amount.”</w:t>
      </w:r>
    </w:p>
    <w:p w14:paraId="07F8CD89" w14:textId="77777777" w:rsidR="00240683" w:rsidRPr="00240683" w:rsidRDefault="00240683" w:rsidP="00DD71F4">
      <w:pPr>
        <w:spacing w:before="0" w:after="120" w:line="264" w:lineRule="auto"/>
        <w:jc w:val="both"/>
        <w:rPr>
          <w:lang w:val="en-US" w:eastAsia="ja-JP"/>
        </w:rPr>
      </w:pPr>
      <w:r w:rsidRPr="0060119B">
        <w:rPr>
          <w:b/>
          <w:color w:val="1F497D" w:themeColor="text2"/>
          <w:lang w:val="en-US" w:eastAsia="ja-JP"/>
        </w:rPr>
        <w:t>A CBDC could be designed to pay interest to incentive its adoption</w:t>
      </w:r>
      <w:r w:rsidRPr="00240683">
        <w:rPr>
          <w:lang w:val="en-US" w:eastAsia="ja-JP"/>
        </w:rPr>
        <w:t>. Also, an interest-bearing CBDC would eliminate the effective lower bound on interest-rate policy, but only with constraints on cash usage.</w:t>
      </w:r>
      <w:r w:rsidRPr="00240683">
        <w:rPr>
          <w:vertAlign w:val="superscript"/>
          <w:lang w:val="en-US" w:eastAsia="ja-JP"/>
        </w:rPr>
        <w:footnoteReference w:id="18"/>
      </w:r>
      <w:r w:rsidRPr="00240683">
        <w:rPr>
          <w:lang w:val="en-US" w:eastAsia="ja-JP"/>
        </w:rPr>
        <w:t xml:space="preserve"> Paying interest would bring operational challenges to interest calculation and have an adverse impact on the anonymity due to tax reporting requirements. None of the central banks exploring CBDC issuance are considering making them interest-bearing. However, Sweden’s  eKrona, will have the built-in ability to pay interest if the central bank ever opted to introduce this feature. </w:t>
      </w:r>
    </w:p>
    <w:p w14:paraId="6EF1B91D" w14:textId="77777777" w:rsidR="00240683" w:rsidRPr="00240683" w:rsidRDefault="00240683" w:rsidP="00DD71F4">
      <w:pPr>
        <w:spacing w:before="0" w:after="120" w:line="264" w:lineRule="auto"/>
        <w:jc w:val="both"/>
        <w:rPr>
          <w:lang w:val="en-US" w:eastAsia="ja-JP"/>
        </w:rPr>
      </w:pPr>
      <w:r w:rsidRPr="0060119B">
        <w:rPr>
          <w:b/>
          <w:color w:val="1F497D" w:themeColor="text2"/>
          <w:lang w:val="en-US" w:eastAsia="ja-JP"/>
        </w:rPr>
        <w:t>Alternatively, transaction fees could be introduced to supplement financial control and prevent overload or misuse of the whole system</w:t>
      </w:r>
      <w:r w:rsidRPr="00240683">
        <w:rPr>
          <w:lang w:val="en-US" w:eastAsia="ja-JP"/>
        </w:rPr>
        <w:t>. CBDC could potentially expand its usage to the internet of things (IoT) machine-to-machine transactions. A fee structure could mitigate the risk of IoT-enabled  denial-of-service (DoS) attacks shut down the system.</w:t>
      </w:r>
      <w:r w:rsidRPr="00240683">
        <w:rPr>
          <w:vertAlign w:val="superscript"/>
          <w:lang w:val="en-US" w:eastAsia="ja-JP"/>
        </w:rPr>
        <w:t xml:space="preserve"> </w:t>
      </w:r>
      <w:r w:rsidRPr="00240683">
        <w:rPr>
          <w:vertAlign w:val="superscript"/>
          <w:lang w:val="en-US" w:eastAsia="ja-JP"/>
        </w:rPr>
        <w:footnoteReference w:id="19"/>
      </w:r>
      <w:r w:rsidRPr="00240683">
        <w:rPr>
          <w:lang w:val="en-US" w:eastAsia="ja-JP"/>
        </w:rPr>
        <w:t xml:space="preserve"> Transaction fees could be fixed amounts, percentage or volume based and could vary depending on types of transactions or transaction volumes. For example, business-to-business transactions might draw higher fees than person-to-person ones.</w:t>
      </w:r>
    </w:p>
    <w:p w14:paraId="4A577E27" w14:textId="77777777" w:rsidR="00172417" w:rsidRPr="00172417" w:rsidRDefault="00172417" w:rsidP="00DD71F4">
      <w:pPr>
        <w:pStyle w:val="Heading2"/>
        <w:tabs>
          <w:tab w:val="clear" w:pos="3978"/>
        </w:tabs>
        <w:spacing w:before="0" w:after="120" w:line="264" w:lineRule="auto"/>
        <w:ind w:left="630" w:hanging="630"/>
        <w:jc w:val="both"/>
        <w:rPr>
          <w:lang w:val="en-US"/>
        </w:rPr>
      </w:pPr>
      <w:bookmarkStart w:id="41" w:name="_Toc14190270"/>
      <w:r w:rsidRPr="00172417">
        <w:rPr>
          <w:lang w:val="en-US"/>
        </w:rPr>
        <w:t xml:space="preserve">Retail CBDC </w:t>
      </w:r>
      <w:r w:rsidR="00D66F61">
        <w:rPr>
          <w:lang w:val="en-US"/>
        </w:rPr>
        <w:t xml:space="preserve">design </w:t>
      </w:r>
      <w:r w:rsidRPr="00172417">
        <w:rPr>
          <w:lang w:val="en-US"/>
        </w:rPr>
        <w:t>principles and attributes</w:t>
      </w:r>
      <w:bookmarkEnd w:id="41"/>
    </w:p>
    <w:p w14:paraId="198F784F" w14:textId="21C76BB2" w:rsidR="00172417" w:rsidRDefault="00172417" w:rsidP="00DD71F4">
      <w:pPr>
        <w:spacing w:before="0" w:after="120" w:line="264" w:lineRule="auto"/>
        <w:jc w:val="both"/>
        <w:rPr>
          <w:lang w:val="en-US" w:eastAsia="ja-JP"/>
        </w:rPr>
      </w:pPr>
      <w:r w:rsidRPr="00172417">
        <w:rPr>
          <w:lang w:val="en-US" w:eastAsia="ja-JP"/>
        </w:rPr>
        <w:t xml:space="preserve">The table below summarizes the </w:t>
      </w:r>
      <w:r w:rsidR="00A86074">
        <w:rPr>
          <w:lang w:val="en-US" w:eastAsia="ja-JP"/>
        </w:rPr>
        <w:t xml:space="preserve">design </w:t>
      </w:r>
      <w:r w:rsidRPr="00172417">
        <w:rPr>
          <w:lang w:val="en-US" w:eastAsia="ja-JP"/>
        </w:rPr>
        <w:t xml:space="preserve">principles and attributes collated from </w:t>
      </w:r>
      <w:r w:rsidR="00A86074">
        <w:rPr>
          <w:lang w:val="en-US" w:eastAsia="ja-JP"/>
        </w:rPr>
        <w:t xml:space="preserve">various publicly available </w:t>
      </w:r>
      <w:r w:rsidRPr="00172417">
        <w:rPr>
          <w:lang w:val="en-US" w:eastAsia="ja-JP"/>
        </w:rPr>
        <w:t>sources.</w:t>
      </w:r>
    </w:p>
    <w:p w14:paraId="7906723C" w14:textId="0E9B0803" w:rsidR="00A928A0" w:rsidRPr="00172417" w:rsidRDefault="00A928A0" w:rsidP="00DD71F4">
      <w:pPr>
        <w:pStyle w:val="Heading2"/>
        <w:numPr>
          <w:ilvl w:val="0"/>
          <w:numId w:val="0"/>
        </w:numPr>
        <w:spacing w:before="0" w:after="120" w:line="264" w:lineRule="auto"/>
        <w:ind w:left="567"/>
        <w:jc w:val="both"/>
        <w:rPr>
          <w:lang w:val="en-US"/>
        </w:rPr>
      </w:pPr>
      <w:bookmarkStart w:id="42" w:name="_Toc14190271"/>
      <w:r>
        <w:rPr>
          <w:lang w:val="en-US"/>
        </w:rPr>
        <w:t xml:space="preserve">Table 3: Summary of </w:t>
      </w:r>
      <w:r w:rsidRPr="00172417">
        <w:rPr>
          <w:lang w:val="en-US"/>
        </w:rPr>
        <w:t xml:space="preserve">Retail CBDC </w:t>
      </w:r>
      <w:r>
        <w:rPr>
          <w:lang w:val="en-US"/>
        </w:rPr>
        <w:t xml:space="preserve">design </w:t>
      </w:r>
      <w:r w:rsidRPr="00172417">
        <w:rPr>
          <w:lang w:val="en-US"/>
        </w:rPr>
        <w:t>principles and attributes</w:t>
      </w:r>
      <w:bookmarkEnd w:id="42"/>
    </w:p>
    <w:p w14:paraId="300735E2" w14:textId="77777777" w:rsidR="00172417" w:rsidRPr="00172417" w:rsidRDefault="00172417" w:rsidP="00DD71F4">
      <w:pPr>
        <w:jc w:val="both"/>
        <w:rPr>
          <w:lang w:val="en-US" w:eastAsia="ja-JP"/>
        </w:rPr>
      </w:pPr>
    </w:p>
    <w:tbl>
      <w:tblPr>
        <w:tblW w:w="9690" w:type="dxa"/>
        <w:tblCellMar>
          <w:left w:w="0" w:type="dxa"/>
          <w:right w:w="0" w:type="dxa"/>
        </w:tblCellMar>
        <w:tblLook w:val="0600" w:firstRow="0" w:lastRow="0" w:firstColumn="0" w:lastColumn="0" w:noHBand="1" w:noVBand="1"/>
      </w:tblPr>
      <w:tblGrid>
        <w:gridCol w:w="2315"/>
        <w:gridCol w:w="7375"/>
      </w:tblGrid>
      <w:tr w:rsidR="00172417" w:rsidRPr="00172417" w14:paraId="1BC91097" w14:textId="77777777" w:rsidTr="00B31F51">
        <w:trPr>
          <w:trHeight w:val="48"/>
        </w:trPr>
        <w:tc>
          <w:tcPr>
            <w:tcW w:w="2315" w:type="dxa"/>
            <w:tcBorders>
              <w:top w:val="single" w:sz="24" w:space="0" w:color="FFFFFF"/>
              <w:left w:val="single" w:sz="24" w:space="0" w:color="FFFFFF"/>
              <w:bottom w:val="single" w:sz="24" w:space="0" w:color="FFFFFF"/>
              <w:right w:val="nil"/>
            </w:tcBorders>
            <w:shd w:val="clear" w:color="auto" w:fill="D7E4BD"/>
            <w:tcMar>
              <w:top w:w="72" w:type="dxa"/>
              <w:left w:w="144" w:type="dxa"/>
              <w:bottom w:w="72" w:type="dxa"/>
              <w:right w:w="144" w:type="dxa"/>
            </w:tcMar>
            <w:hideMark/>
          </w:tcPr>
          <w:p w14:paraId="1FAAE802" w14:textId="77777777" w:rsidR="00172417" w:rsidRPr="00172417" w:rsidRDefault="00172417" w:rsidP="00DD71F4">
            <w:pPr>
              <w:jc w:val="both"/>
              <w:rPr>
                <w:lang w:val="en-US" w:eastAsia="ja-JP"/>
              </w:rPr>
            </w:pPr>
            <w:r w:rsidRPr="00172417">
              <w:rPr>
                <w:lang w:val="en-US" w:eastAsia="ja-JP"/>
              </w:rPr>
              <w:t>Policy</w:t>
            </w:r>
          </w:p>
        </w:tc>
        <w:tc>
          <w:tcPr>
            <w:tcW w:w="7375" w:type="dxa"/>
            <w:tcBorders>
              <w:top w:val="nil"/>
              <w:left w:val="nil"/>
              <w:bottom w:val="nil"/>
              <w:right w:val="nil"/>
            </w:tcBorders>
            <w:shd w:val="clear" w:color="auto" w:fill="auto"/>
            <w:tcMar>
              <w:top w:w="72" w:type="dxa"/>
              <w:left w:w="144" w:type="dxa"/>
              <w:bottom w:w="72" w:type="dxa"/>
              <w:right w:w="144" w:type="dxa"/>
            </w:tcMar>
            <w:hideMark/>
          </w:tcPr>
          <w:p w14:paraId="7A936472" w14:textId="77777777" w:rsidR="00172417" w:rsidRPr="00B31F51" w:rsidRDefault="008F146E" w:rsidP="00DD71F4">
            <w:pPr>
              <w:numPr>
                <w:ilvl w:val="0"/>
                <w:numId w:val="24"/>
              </w:numPr>
              <w:jc w:val="both"/>
              <w:rPr>
                <w:lang w:val="en-US" w:eastAsia="ja-JP"/>
              </w:rPr>
            </w:pPr>
            <w:r>
              <w:rPr>
                <w:lang w:val="en-HK" w:eastAsia="ja-JP"/>
              </w:rPr>
              <w:t>Designed within the central bank’s monetary policy and financial stability framework.</w:t>
            </w:r>
          </w:p>
          <w:p w14:paraId="038173D0" w14:textId="77777777" w:rsidR="008F146E" w:rsidRPr="00172417" w:rsidRDefault="008F146E" w:rsidP="00DD71F4">
            <w:pPr>
              <w:numPr>
                <w:ilvl w:val="0"/>
                <w:numId w:val="24"/>
              </w:numPr>
              <w:jc w:val="both"/>
              <w:rPr>
                <w:lang w:val="en-US" w:eastAsia="ja-JP"/>
              </w:rPr>
            </w:pPr>
            <w:r>
              <w:rPr>
                <w:lang w:val="en-US" w:eastAsia="ja-JP"/>
              </w:rPr>
              <w:t>Mitigate</w:t>
            </w:r>
            <w:r w:rsidR="00A86074">
              <w:rPr>
                <w:lang w:val="en-US" w:eastAsia="ja-JP"/>
              </w:rPr>
              <w:t>s</w:t>
            </w:r>
            <w:r>
              <w:rPr>
                <w:lang w:val="en-US" w:eastAsia="ja-JP"/>
              </w:rPr>
              <w:t xml:space="preserve"> the risk of </w:t>
            </w:r>
            <w:r w:rsidR="00D0115F">
              <w:rPr>
                <w:lang w:val="en-US" w:eastAsia="ja-JP"/>
              </w:rPr>
              <w:t>financial sector</w:t>
            </w:r>
            <w:r>
              <w:rPr>
                <w:lang w:val="en-US" w:eastAsia="ja-JP"/>
              </w:rPr>
              <w:t xml:space="preserve"> disintermediation, possible by including </w:t>
            </w:r>
            <w:r w:rsidR="00D0115F">
              <w:rPr>
                <w:lang w:val="en-US" w:eastAsia="ja-JP"/>
              </w:rPr>
              <w:t>it</w:t>
            </w:r>
            <w:r>
              <w:rPr>
                <w:lang w:val="en-US" w:eastAsia="ja-JP"/>
              </w:rPr>
              <w:t xml:space="preserve"> in the </w:t>
            </w:r>
            <w:r w:rsidR="00D0115F">
              <w:rPr>
                <w:lang w:val="en-US" w:eastAsia="ja-JP"/>
              </w:rPr>
              <w:t>ecosystem</w:t>
            </w:r>
            <w:r w:rsidR="00A86074">
              <w:rPr>
                <w:lang w:val="en-US" w:eastAsia="ja-JP"/>
              </w:rPr>
              <w:t xml:space="preserve"> (see below)</w:t>
            </w:r>
            <w:r>
              <w:rPr>
                <w:lang w:val="en-US" w:eastAsia="ja-JP"/>
              </w:rPr>
              <w:t>.</w:t>
            </w:r>
          </w:p>
          <w:p w14:paraId="1844928F" w14:textId="77777777" w:rsidR="00172417" w:rsidRPr="00172417" w:rsidRDefault="00A86074" w:rsidP="00DD71F4">
            <w:pPr>
              <w:numPr>
                <w:ilvl w:val="0"/>
                <w:numId w:val="24"/>
              </w:numPr>
              <w:jc w:val="both"/>
              <w:rPr>
                <w:lang w:val="en-US" w:eastAsia="ja-JP"/>
              </w:rPr>
            </w:pPr>
            <w:r>
              <w:rPr>
                <w:lang w:val="en-HK" w:eastAsia="ja-JP"/>
              </w:rPr>
              <w:t xml:space="preserve">Could </w:t>
            </w:r>
            <w:r w:rsidR="00542DF8">
              <w:rPr>
                <w:lang w:val="en-HK" w:eastAsia="ja-JP"/>
              </w:rPr>
              <w:t xml:space="preserve">pay interest or </w:t>
            </w:r>
            <w:r>
              <w:rPr>
                <w:lang w:val="en-HK" w:eastAsia="ja-JP"/>
              </w:rPr>
              <w:t>be i</w:t>
            </w:r>
            <w:r w:rsidR="00172417" w:rsidRPr="00172417">
              <w:rPr>
                <w:lang w:val="en-HK" w:eastAsia="ja-JP"/>
              </w:rPr>
              <w:t>nterest free with a</w:t>
            </w:r>
            <w:r w:rsidR="008F146E">
              <w:rPr>
                <w:lang w:val="en-HK" w:eastAsia="ja-JP"/>
              </w:rPr>
              <w:t>n option to include it at a later date</w:t>
            </w:r>
            <w:r w:rsidR="00542DF8">
              <w:rPr>
                <w:lang w:val="en-HK" w:eastAsia="ja-JP"/>
              </w:rPr>
              <w:t>.</w:t>
            </w:r>
          </w:p>
          <w:p w14:paraId="19B740EF" w14:textId="77777777" w:rsidR="00172417" w:rsidRPr="00172417" w:rsidRDefault="00D0115F" w:rsidP="00DD71F4">
            <w:pPr>
              <w:numPr>
                <w:ilvl w:val="0"/>
                <w:numId w:val="24"/>
              </w:numPr>
              <w:jc w:val="both"/>
              <w:rPr>
                <w:lang w:val="en-US" w:eastAsia="ja-JP"/>
              </w:rPr>
            </w:pPr>
            <w:r>
              <w:rPr>
                <w:lang w:val="en-HK" w:eastAsia="ja-JP"/>
              </w:rPr>
              <w:t>Mimics cash functionality; fast and efficient value transfer</w:t>
            </w:r>
            <w:r w:rsidR="005D49C0">
              <w:rPr>
                <w:lang w:val="en-HK" w:eastAsia="ja-JP"/>
              </w:rPr>
              <w:t xml:space="preserve"> regardless of load</w:t>
            </w:r>
            <w:r>
              <w:rPr>
                <w:lang w:val="en-HK" w:eastAsia="ja-JP"/>
              </w:rPr>
              <w:t>, f</w:t>
            </w:r>
            <w:r w:rsidR="00172417" w:rsidRPr="00172417">
              <w:rPr>
                <w:lang w:val="en-HK" w:eastAsia="ja-JP"/>
              </w:rPr>
              <w:t>ree or low cost to transact</w:t>
            </w:r>
            <w:r>
              <w:rPr>
                <w:lang w:val="en-HK" w:eastAsia="ja-JP"/>
              </w:rPr>
              <w:t>,</w:t>
            </w:r>
            <w:r w:rsidR="00172417" w:rsidRPr="00172417">
              <w:rPr>
                <w:lang w:val="en-HK" w:eastAsia="ja-JP"/>
              </w:rPr>
              <w:t xml:space="preserve"> ubiquitous</w:t>
            </w:r>
            <w:r w:rsidR="00340B8F">
              <w:rPr>
                <w:lang w:val="en-HK" w:eastAsia="ja-JP"/>
              </w:rPr>
              <w:t>, widely available 24/7</w:t>
            </w:r>
            <w:r>
              <w:rPr>
                <w:lang w:val="en-HK" w:eastAsia="ja-JP"/>
              </w:rPr>
              <w:t xml:space="preserve"> with or without connectivity,</w:t>
            </w:r>
            <w:r w:rsidR="00172417" w:rsidRPr="00172417">
              <w:rPr>
                <w:lang w:val="en-HK" w:eastAsia="ja-JP"/>
              </w:rPr>
              <w:t xml:space="preserve"> </w:t>
            </w:r>
            <w:r>
              <w:rPr>
                <w:lang w:val="en-HK" w:eastAsia="ja-JP"/>
              </w:rPr>
              <w:t xml:space="preserve">and </w:t>
            </w:r>
            <w:r w:rsidR="00172417" w:rsidRPr="00172417">
              <w:rPr>
                <w:lang w:val="en-HK" w:eastAsia="ja-JP"/>
              </w:rPr>
              <w:t xml:space="preserve">can be used </w:t>
            </w:r>
            <w:r w:rsidR="00542DF8">
              <w:rPr>
                <w:lang w:val="en-HK" w:eastAsia="ja-JP"/>
              </w:rPr>
              <w:t>by users who do not have</w:t>
            </w:r>
            <w:r w:rsidR="00172417" w:rsidRPr="00172417">
              <w:rPr>
                <w:lang w:val="en-HK" w:eastAsia="ja-JP"/>
              </w:rPr>
              <w:t xml:space="preserve"> bank accounts</w:t>
            </w:r>
            <w:r w:rsidR="00542DF8">
              <w:rPr>
                <w:lang w:val="en-HK" w:eastAsia="ja-JP"/>
              </w:rPr>
              <w:t>.</w:t>
            </w:r>
          </w:p>
          <w:p w14:paraId="2642C128" w14:textId="77777777" w:rsidR="00172417" w:rsidRPr="00B31F51" w:rsidRDefault="00542DF8" w:rsidP="00DD71F4">
            <w:pPr>
              <w:numPr>
                <w:ilvl w:val="0"/>
                <w:numId w:val="24"/>
              </w:numPr>
              <w:jc w:val="both"/>
              <w:rPr>
                <w:lang w:val="en-US" w:eastAsia="ja-JP"/>
              </w:rPr>
            </w:pPr>
            <w:r>
              <w:rPr>
                <w:lang w:val="en-HK" w:eastAsia="ja-JP"/>
              </w:rPr>
              <w:t xml:space="preserve">If there are multiple versions of the CBDC available, they should be interchangeable. </w:t>
            </w:r>
          </w:p>
          <w:p w14:paraId="69F8D513" w14:textId="77777777" w:rsidR="00172417" w:rsidRPr="00A55FFB" w:rsidRDefault="00340B8F" w:rsidP="00DD71F4">
            <w:pPr>
              <w:numPr>
                <w:ilvl w:val="0"/>
                <w:numId w:val="24"/>
              </w:numPr>
              <w:jc w:val="both"/>
              <w:rPr>
                <w:lang w:val="en-US" w:eastAsia="ja-JP"/>
              </w:rPr>
            </w:pPr>
            <w:r>
              <w:rPr>
                <w:lang w:val="en-US" w:eastAsia="ja-JP"/>
              </w:rPr>
              <w:t>Mechanisms for issuance, distribution and payments should be technology agnostic.</w:t>
            </w:r>
          </w:p>
          <w:p w14:paraId="0A1326ED" w14:textId="77777777" w:rsidR="00172417" w:rsidRPr="00172417" w:rsidRDefault="00172417" w:rsidP="00DD71F4">
            <w:pPr>
              <w:jc w:val="both"/>
              <w:rPr>
                <w:lang w:val="en-US" w:eastAsia="ja-JP"/>
              </w:rPr>
            </w:pPr>
          </w:p>
        </w:tc>
      </w:tr>
      <w:tr w:rsidR="00172417" w:rsidRPr="00172417" w14:paraId="66307D57" w14:textId="77777777" w:rsidTr="00B31F51">
        <w:trPr>
          <w:trHeight w:val="531"/>
        </w:trPr>
        <w:tc>
          <w:tcPr>
            <w:tcW w:w="2315" w:type="dxa"/>
            <w:tcBorders>
              <w:top w:val="single" w:sz="24" w:space="0" w:color="FFFFFF"/>
              <w:left w:val="single" w:sz="24" w:space="0" w:color="FFFFFF"/>
              <w:bottom w:val="single" w:sz="24" w:space="0" w:color="FFFFFF"/>
              <w:right w:val="nil"/>
            </w:tcBorders>
            <w:shd w:val="clear" w:color="auto" w:fill="D7E4BD"/>
            <w:tcMar>
              <w:top w:w="72" w:type="dxa"/>
              <w:left w:w="144" w:type="dxa"/>
              <w:bottom w:w="72" w:type="dxa"/>
              <w:right w:w="144" w:type="dxa"/>
            </w:tcMar>
            <w:hideMark/>
          </w:tcPr>
          <w:p w14:paraId="0B8E3711" w14:textId="77777777" w:rsidR="00172417" w:rsidRPr="00172417" w:rsidRDefault="00172417" w:rsidP="00DD71F4">
            <w:pPr>
              <w:jc w:val="both"/>
              <w:rPr>
                <w:lang w:val="en-US" w:eastAsia="ja-JP"/>
              </w:rPr>
            </w:pPr>
            <w:r w:rsidRPr="00172417">
              <w:rPr>
                <w:lang w:val="en-HK" w:eastAsia="ja-JP"/>
              </w:rPr>
              <w:t>Security</w:t>
            </w:r>
          </w:p>
        </w:tc>
        <w:tc>
          <w:tcPr>
            <w:tcW w:w="7375" w:type="dxa"/>
            <w:tcBorders>
              <w:top w:val="nil"/>
              <w:left w:val="nil"/>
              <w:bottom w:val="nil"/>
              <w:right w:val="nil"/>
            </w:tcBorders>
            <w:shd w:val="clear" w:color="auto" w:fill="auto"/>
            <w:tcMar>
              <w:top w:w="72" w:type="dxa"/>
              <w:left w:w="144" w:type="dxa"/>
              <w:bottom w:w="72" w:type="dxa"/>
              <w:right w:w="144" w:type="dxa"/>
            </w:tcMar>
            <w:hideMark/>
          </w:tcPr>
          <w:p w14:paraId="69E34238" w14:textId="77777777" w:rsidR="00172417" w:rsidRPr="00172417" w:rsidRDefault="00172417" w:rsidP="00DD71F4">
            <w:pPr>
              <w:numPr>
                <w:ilvl w:val="0"/>
                <w:numId w:val="25"/>
              </w:numPr>
              <w:jc w:val="both"/>
              <w:rPr>
                <w:lang w:val="en-US" w:eastAsia="ja-JP"/>
              </w:rPr>
            </w:pPr>
            <w:r w:rsidRPr="00172417">
              <w:rPr>
                <w:lang w:val="en-HK" w:eastAsia="ja-JP"/>
              </w:rPr>
              <w:t>Highly secure, trusted modern cryptographic mechanisms; not easily counterfeited</w:t>
            </w:r>
          </w:p>
          <w:p w14:paraId="4E703D47" w14:textId="77777777" w:rsidR="00172417" w:rsidRPr="00172417" w:rsidRDefault="00172417" w:rsidP="00DD71F4">
            <w:pPr>
              <w:numPr>
                <w:ilvl w:val="0"/>
                <w:numId w:val="25"/>
              </w:numPr>
              <w:jc w:val="both"/>
              <w:rPr>
                <w:lang w:val="en-US" w:eastAsia="ja-JP"/>
              </w:rPr>
            </w:pPr>
            <w:r w:rsidRPr="00172417">
              <w:rPr>
                <w:lang w:val="en-HK" w:eastAsia="ja-JP"/>
              </w:rPr>
              <w:t xml:space="preserve">Generated </w:t>
            </w:r>
            <w:r w:rsidR="00340B8F">
              <w:rPr>
                <w:lang w:val="en-HK" w:eastAsia="ja-JP"/>
              </w:rPr>
              <w:t xml:space="preserve">and destroyed </w:t>
            </w:r>
            <w:r w:rsidRPr="00172417">
              <w:rPr>
                <w:lang w:val="en-HK" w:eastAsia="ja-JP"/>
              </w:rPr>
              <w:t>in a secure, supervised activity</w:t>
            </w:r>
          </w:p>
          <w:p w14:paraId="42EBABF4" w14:textId="77777777" w:rsidR="00172417" w:rsidRPr="00542DF8" w:rsidRDefault="00172417" w:rsidP="00DD71F4">
            <w:pPr>
              <w:ind w:left="720"/>
              <w:jc w:val="both"/>
              <w:rPr>
                <w:lang w:val="en-US" w:eastAsia="ja-JP"/>
              </w:rPr>
            </w:pPr>
          </w:p>
        </w:tc>
      </w:tr>
      <w:tr w:rsidR="00172417" w:rsidRPr="00172417" w14:paraId="676BA2EC" w14:textId="77777777" w:rsidTr="00B31F51">
        <w:trPr>
          <w:trHeight w:val="1061"/>
        </w:trPr>
        <w:tc>
          <w:tcPr>
            <w:tcW w:w="2315" w:type="dxa"/>
            <w:tcBorders>
              <w:top w:val="single" w:sz="24" w:space="0" w:color="FFFFFF"/>
              <w:left w:val="single" w:sz="24" w:space="0" w:color="FFFFFF"/>
              <w:bottom w:val="single" w:sz="24" w:space="0" w:color="FFFFFF"/>
              <w:right w:val="nil"/>
            </w:tcBorders>
            <w:shd w:val="clear" w:color="auto" w:fill="D7E4BD"/>
            <w:tcMar>
              <w:top w:w="72" w:type="dxa"/>
              <w:left w:w="144" w:type="dxa"/>
              <w:bottom w:w="72" w:type="dxa"/>
              <w:right w:w="144" w:type="dxa"/>
            </w:tcMar>
            <w:hideMark/>
          </w:tcPr>
          <w:p w14:paraId="6D455A4E" w14:textId="77777777" w:rsidR="00172417" w:rsidRPr="00172417" w:rsidRDefault="00172417" w:rsidP="00DD71F4">
            <w:pPr>
              <w:jc w:val="both"/>
              <w:rPr>
                <w:lang w:val="en-HK" w:eastAsia="ja-JP"/>
              </w:rPr>
            </w:pPr>
            <w:r w:rsidRPr="00172417">
              <w:rPr>
                <w:lang w:val="en-HK" w:eastAsia="ja-JP"/>
              </w:rPr>
              <w:t>Auditability and traceability</w:t>
            </w:r>
          </w:p>
        </w:tc>
        <w:tc>
          <w:tcPr>
            <w:tcW w:w="7375" w:type="dxa"/>
            <w:tcBorders>
              <w:top w:val="nil"/>
              <w:left w:val="nil"/>
              <w:bottom w:val="nil"/>
              <w:right w:val="nil"/>
            </w:tcBorders>
            <w:shd w:val="clear" w:color="auto" w:fill="auto"/>
            <w:tcMar>
              <w:top w:w="72" w:type="dxa"/>
              <w:left w:w="144" w:type="dxa"/>
              <w:bottom w:w="72" w:type="dxa"/>
              <w:right w:w="144" w:type="dxa"/>
            </w:tcMar>
            <w:hideMark/>
          </w:tcPr>
          <w:p w14:paraId="18A64B2A" w14:textId="77777777" w:rsidR="00172417" w:rsidRDefault="00172417" w:rsidP="00DD71F4">
            <w:pPr>
              <w:numPr>
                <w:ilvl w:val="0"/>
                <w:numId w:val="27"/>
              </w:numPr>
              <w:jc w:val="both"/>
              <w:rPr>
                <w:lang w:val="en-HK" w:eastAsia="ja-JP"/>
              </w:rPr>
            </w:pPr>
            <w:r w:rsidRPr="00172417">
              <w:rPr>
                <w:lang w:val="en-HK" w:eastAsia="ja-JP"/>
              </w:rPr>
              <w:t xml:space="preserve">Parameterized to balance between </w:t>
            </w:r>
            <w:r w:rsidR="00304611">
              <w:rPr>
                <w:lang w:val="en-HK" w:eastAsia="ja-JP"/>
              </w:rPr>
              <w:t>privacy</w:t>
            </w:r>
            <w:r w:rsidRPr="00172417">
              <w:rPr>
                <w:lang w:val="en-HK" w:eastAsia="ja-JP"/>
              </w:rPr>
              <w:t xml:space="preserve"> and traceability of transactions and parties</w:t>
            </w:r>
          </w:p>
          <w:p w14:paraId="3E9E423B" w14:textId="77777777" w:rsidR="00172417" w:rsidRPr="00EE39E6" w:rsidRDefault="00304611" w:rsidP="00DD71F4">
            <w:pPr>
              <w:pStyle w:val="ListParagraph"/>
              <w:numPr>
                <w:ilvl w:val="0"/>
                <w:numId w:val="27"/>
              </w:numPr>
              <w:rPr>
                <w:lang w:val="en-HK" w:eastAsia="ja-JP"/>
              </w:rPr>
            </w:pPr>
            <w:r w:rsidRPr="00304611">
              <w:rPr>
                <w:rFonts w:ascii="Times New Roman" w:hAnsi="Times New Roman" w:cs="Times New Roman"/>
                <w:sz w:val="24"/>
                <w:szCs w:val="20"/>
                <w:lang w:val="en-HK" w:eastAsia="ja-JP"/>
              </w:rPr>
              <w:t>Traceable; auditable in terms of proof of issuance and ownership</w:t>
            </w:r>
            <w:r w:rsidR="00EE39E6">
              <w:rPr>
                <w:rFonts w:ascii="Times New Roman" w:hAnsi="Times New Roman" w:cs="Times New Roman"/>
                <w:sz w:val="24"/>
                <w:szCs w:val="20"/>
                <w:lang w:val="en-HK" w:eastAsia="ja-JP"/>
              </w:rPr>
              <w:t>, and transactions for all ecosystem participants within privacy constraints.</w:t>
            </w:r>
          </w:p>
          <w:p w14:paraId="585F9F35" w14:textId="77777777" w:rsidR="00172417" w:rsidRPr="00172417" w:rsidRDefault="00172417" w:rsidP="00DD71F4">
            <w:pPr>
              <w:numPr>
                <w:ilvl w:val="0"/>
                <w:numId w:val="27"/>
              </w:numPr>
              <w:jc w:val="both"/>
              <w:rPr>
                <w:lang w:val="en-HK" w:eastAsia="ja-JP"/>
              </w:rPr>
            </w:pPr>
            <w:r w:rsidRPr="00172417">
              <w:rPr>
                <w:lang w:val="en-HK" w:eastAsia="ja-JP"/>
              </w:rPr>
              <w:t>Recovery of</w:t>
            </w:r>
            <w:r w:rsidR="00304611">
              <w:rPr>
                <w:lang w:val="en-HK" w:eastAsia="ja-JP"/>
              </w:rPr>
              <w:t xml:space="preserve"> funds </w:t>
            </w:r>
            <w:r w:rsidRPr="00172417">
              <w:rPr>
                <w:lang w:val="en-HK" w:eastAsia="ja-JP"/>
              </w:rPr>
              <w:t xml:space="preserve">in case of </w:t>
            </w:r>
            <w:r w:rsidR="00304611">
              <w:rPr>
                <w:lang w:val="en-HK" w:eastAsia="ja-JP"/>
              </w:rPr>
              <w:t xml:space="preserve">system </w:t>
            </w:r>
            <w:r w:rsidRPr="00172417">
              <w:rPr>
                <w:lang w:val="en-HK" w:eastAsia="ja-JP"/>
              </w:rPr>
              <w:t>failure</w:t>
            </w:r>
            <w:r w:rsidR="00304611">
              <w:rPr>
                <w:lang w:val="en-HK" w:eastAsia="ja-JP"/>
              </w:rPr>
              <w:t>, for example, in the event of wallet failure, loss or theft</w:t>
            </w:r>
            <w:r w:rsidR="00EE39E6">
              <w:rPr>
                <w:lang w:val="en-HK" w:eastAsia="ja-JP"/>
              </w:rPr>
              <w:t>, or failure of a service provider.</w:t>
            </w:r>
          </w:p>
        </w:tc>
      </w:tr>
      <w:tr w:rsidR="00172417" w:rsidRPr="00172417" w14:paraId="63A4C936" w14:textId="77777777" w:rsidTr="00B31F51">
        <w:trPr>
          <w:trHeight w:val="1061"/>
        </w:trPr>
        <w:tc>
          <w:tcPr>
            <w:tcW w:w="2315" w:type="dxa"/>
            <w:tcBorders>
              <w:top w:val="single" w:sz="24" w:space="0" w:color="FFFFFF"/>
              <w:left w:val="single" w:sz="24" w:space="0" w:color="FFFFFF"/>
              <w:bottom w:val="single" w:sz="24" w:space="0" w:color="FFFFFF"/>
              <w:right w:val="nil"/>
            </w:tcBorders>
            <w:shd w:val="clear" w:color="auto" w:fill="D7E4BD"/>
            <w:tcMar>
              <w:top w:w="72" w:type="dxa"/>
              <w:left w:w="144" w:type="dxa"/>
              <w:bottom w:w="72" w:type="dxa"/>
              <w:right w:w="144" w:type="dxa"/>
            </w:tcMar>
            <w:hideMark/>
          </w:tcPr>
          <w:p w14:paraId="27561C71" w14:textId="77777777" w:rsidR="00172417" w:rsidRPr="00172417" w:rsidRDefault="005322F1" w:rsidP="00DD71F4">
            <w:pPr>
              <w:jc w:val="both"/>
              <w:rPr>
                <w:lang w:val="en-HK" w:eastAsia="ja-JP"/>
              </w:rPr>
            </w:pPr>
            <w:r>
              <w:rPr>
                <w:lang w:val="en-HK" w:eastAsia="ja-JP"/>
              </w:rPr>
              <w:t>Flexibility</w:t>
            </w:r>
          </w:p>
        </w:tc>
        <w:tc>
          <w:tcPr>
            <w:tcW w:w="7375" w:type="dxa"/>
            <w:tcBorders>
              <w:top w:val="nil"/>
              <w:left w:val="nil"/>
              <w:bottom w:val="nil"/>
              <w:right w:val="nil"/>
            </w:tcBorders>
            <w:shd w:val="clear" w:color="auto" w:fill="auto"/>
            <w:tcMar>
              <w:top w:w="72" w:type="dxa"/>
              <w:left w:w="144" w:type="dxa"/>
              <w:bottom w:w="72" w:type="dxa"/>
              <w:right w:w="144" w:type="dxa"/>
            </w:tcMar>
            <w:hideMark/>
          </w:tcPr>
          <w:p w14:paraId="2D8DD353" w14:textId="77777777" w:rsidR="005322F1" w:rsidRPr="00172417" w:rsidRDefault="005322F1" w:rsidP="00DD71F4">
            <w:pPr>
              <w:numPr>
                <w:ilvl w:val="0"/>
                <w:numId w:val="26"/>
              </w:numPr>
              <w:jc w:val="both"/>
              <w:rPr>
                <w:lang w:val="en-HK" w:eastAsia="ja-JP"/>
              </w:rPr>
            </w:pPr>
            <w:r>
              <w:rPr>
                <w:lang w:val="en-HK" w:eastAsia="ja-JP"/>
              </w:rPr>
              <w:t>The platform is developed on a foundation that can be built on later in stages.</w:t>
            </w:r>
          </w:p>
          <w:p w14:paraId="34F0DA70" w14:textId="77777777" w:rsidR="005322F1" w:rsidRPr="005322F1" w:rsidRDefault="005322F1" w:rsidP="00DD71F4">
            <w:pPr>
              <w:pStyle w:val="ListParagraph"/>
              <w:numPr>
                <w:ilvl w:val="0"/>
                <w:numId w:val="26"/>
              </w:numPr>
              <w:rPr>
                <w:rFonts w:ascii="Times New Roman" w:hAnsi="Times New Roman" w:cs="Times New Roman"/>
                <w:sz w:val="24"/>
                <w:szCs w:val="20"/>
                <w:lang w:val="en-HK" w:eastAsia="ja-JP"/>
              </w:rPr>
            </w:pPr>
            <w:r w:rsidRPr="005322F1">
              <w:rPr>
                <w:rFonts w:ascii="Times New Roman" w:hAnsi="Times New Roman" w:cs="Times New Roman"/>
                <w:sz w:val="24"/>
                <w:szCs w:val="20"/>
                <w:lang w:val="en-HK" w:eastAsia="ja-JP"/>
              </w:rPr>
              <w:t xml:space="preserve">Configurable in design to keep pace with market and technology </w:t>
            </w:r>
            <w:r w:rsidR="005D49C0" w:rsidRPr="005322F1">
              <w:rPr>
                <w:rFonts w:ascii="Times New Roman" w:hAnsi="Times New Roman" w:cs="Times New Roman"/>
                <w:sz w:val="24"/>
                <w:szCs w:val="20"/>
                <w:lang w:val="en-HK" w:eastAsia="ja-JP"/>
              </w:rPr>
              <w:t>developments</w:t>
            </w:r>
            <w:r w:rsidR="005D49C0">
              <w:rPr>
                <w:rFonts w:ascii="Times New Roman" w:hAnsi="Times New Roman" w:cs="Times New Roman"/>
                <w:sz w:val="24"/>
                <w:szCs w:val="20"/>
                <w:lang w:val="en-HK" w:eastAsia="ja-JP"/>
              </w:rPr>
              <w:t xml:space="preserve"> and</w:t>
            </w:r>
            <w:r w:rsidR="00A55FFB">
              <w:rPr>
                <w:rFonts w:ascii="Times New Roman" w:hAnsi="Times New Roman" w:cs="Times New Roman"/>
                <w:sz w:val="24"/>
                <w:szCs w:val="20"/>
                <w:lang w:val="en-HK" w:eastAsia="ja-JP"/>
              </w:rPr>
              <w:t xml:space="preserve"> can keep up with growing demand.</w:t>
            </w:r>
          </w:p>
          <w:p w14:paraId="16F8D8E0" w14:textId="77777777" w:rsidR="00172417" w:rsidRPr="005D49C0" w:rsidRDefault="00A55FFB" w:rsidP="00DD71F4">
            <w:pPr>
              <w:pStyle w:val="ListParagraph"/>
              <w:numPr>
                <w:ilvl w:val="0"/>
                <w:numId w:val="26"/>
              </w:numPr>
              <w:rPr>
                <w:lang w:val="en-HK" w:eastAsia="ja-JP"/>
              </w:rPr>
            </w:pPr>
            <w:r w:rsidRPr="00A55FFB">
              <w:rPr>
                <w:rFonts w:ascii="Times New Roman" w:hAnsi="Times New Roman" w:cs="Times New Roman"/>
                <w:sz w:val="24"/>
                <w:szCs w:val="20"/>
                <w:lang w:val="en-HK" w:eastAsia="ja-JP"/>
              </w:rPr>
              <w:t>Interoperability at all levels throughout the payment system</w:t>
            </w:r>
          </w:p>
        </w:tc>
      </w:tr>
    </w:tbl>
    <w:p w14:paraId="43C81387" w14:textId="77777777" w:rsidR="00172417" w:rsidRPr="00172417" w:rsidRDefault="00172417" w:rsidP="00DD71F4">
      <w:pPr>
        <w:spacing w:line="264" w:lineRule="auto"/>
        <w:jc w:val="both"/>
        <w:rPr>
          <w:lang w:val="en-US" w:eastAsia="ja-JP"/>
        </w:rPr>
      </w:pPr>
      <w:r>
        <w:rPr>
          <w:lang w:val="en-US" w:eastAsia="ja-JP"/>
        </w:rPr>
        <w:t>The above principles and attributes are expected to evolve as the central banks and international organizations continue their research into the topic and as</w:t>
      </w:r>
      <w:r w:rsidR="00FC2A1E">
        <w:rPr>
          <w:lang w:val="en-US" w:eastAsia="ja-JP"/>
        </w:rPr>
        <w:t xml:space="preserve"> the</w:t>
      </w:r>
      <w:r>
        <w:rPr>
          <w:lang w:val="en-US" w:eastAsia="ja-JP"/>
        </w:rPr>
        <w:t xml:space="preserve"> pilot projects and commercial implementations continue to </w:t>
      </w:r>
      <w:r w:rsidR="00FC2A1E">
        <w:rPr>
          <w:lang w:val="en-US" w:eastAsia="ja-JP"/>
        </w:rPr>
        <w:t>contribute to</w:t>
      </w:r>
      <w:r>
        <w:rPr>
          <w:lang w:val="en-US" w:eastAsia="ja-JP"/>
        </w:rPr>
        <w:t xml:space="preserve"> the </w:t>
      </w:r>
      <w:r w:rsidR="00FC2A1E">
        <w:rPr>
          <w:lang w:val="en-US" w:eastAsia="ja-JP"/>
        </w:rPr>
        <w:t>body of knowledge.</w:t>
      </w:r>
    </w:p>
    <w:p w14:paraId="6DA205FF" w14:textId="77777777" w:rsidR="00172417" w:rsidRPr="00172417" w:rsidRDefault="00172417" w:rsidP="00DD71F4">
      <w:pPr>
        <w:pStyle w:val="Heading2"/>
        <w:tabs>
          <w:tab w:val="clear" w:pos="3978"/>
        </w:tabs>
        <w:ind w:left="567" w:hanging="567"/>
        <w:jc w:val="both"/>
        <w:rPr>
          <w:lang w:val="en-US"/>
        </w:rPr>
      </w:pPr>
      <w:bookmarkStart w:id="43" w:name="_Toc14190272"/>
      <w:r w:rsidRPr="00172417">
        <w:rPr>
          <w:lang w:val="en-US"/>
        </w:rPr>
        <w:t>Possible DFC Architectures</w:t>
      </w:r>
      <w:bookmarkEnd w:id="43"/>
    </w:p>
    <w:p w14:paraId="5845BCDB" w14:textId="098450BE" w:rsidR="00172417" w:rsidRPr="00172417" w:rsidRDefault="00172417" w:rsidP="00DD71F4">
      <w:pPr>
        <w:spacing w:after="120" w:line="264" w:lineRule="auto"/>
        <w:jc w:val="both"/>
        <w:rPr>
          <w:lang w:val="en-US" w:eastAsia="ja-JP"/>
        </w:rPr>
      </w:pPr>
      <w:r w:rsidRPr="0060119B">
        <w:rPr>
          <w:b/>
          <w:color w:val="1F497D" w:themeColor="text2"/>
          <w:lang w:val="en-US" w:eastAsia="ja-JP"/>
        </w:rPr>
        <w:t>Retail CBDC implementations can follow many architectural principles and mix various technological approaches to solve the various challenges and accommodate the above, sometimes conflicting, principles and features</w:t>
      </w:r>
      <w:r w:rsidRPr="00172417">
        <w:rPr>
          <w:lang w:val="en-US" w:eastAsia="ja-JP"/>
        </w:rPr>
        <w:t>. A few possible architectures emerged recently and fall into three broad categories</w:t>
      </w:r>
      <w:r w:rsidR="0059339F">
        <w:rPr>
          <w:lang w:val="en-US" w:eastAsia="ja-JP"/>
        </w:rPr>
        <w:t>; c</w:t>
      </w:r>
      <w:r w:rsidRPr="00172417">
        <w:rPr>
          <w:lang w:val="en-US" w:eastAsia="ja-JP"/>
        </w:rPr>
        <w:t xml:space="preserve">entralized </w:t>
      </w:r>
      <w:r w:rsidR="0059339F">
        <w:rPr>
          <w:lang w:val="en-US" w:eastAsia="ja-JP"/>
        </w:rPr>
        <w:t>system, w</w:t>
      </w:r>
      <w:r w:rsidRPr="00172417">
        <w:rPr>
          <w:lang w:val="en-US" w:eastAsia="ja-JP"/>
        </w:rPr>
        <w:t>idely accessible and centralized “DFC as a service”</w:t>
      </w:r>
      <w:r w:rsidR="0059339F">
        <w:rPr>
          <w:lang w:val="en-US" w:eastAsia="ja-JP"/>
        </w:rPr>
        <w:t xml:space="preserve"> systems, and h</w:t>
      </w:r>
      <w:r w:rsidRPr="00172417">
        <w:rPr>
          <w:lang w:val="en-US" w:eastAsia="ja-JP"/>
        </w:rPr>
        <w:t>ierarchical, distributed network</w:t>
      </w:r>
      <w:r w:rsidR="0059339F">
        <w:rPr>
          <w:lang w:val="en-US" w:eastAsia="ja-JP"/>
        </w:rPr>
        <w:t>s</w:t>
      </w:r>
      <w:r w:rsidRPr="00172417">
        <w:rPr>
          <w:lang w:val="en-US" w:eastAsia="ja-JP"/>
        </w:rPr>
        <w:t xml:space="preserve"> with centralized control of supply</w:t>
      </w:r>
      <w:r w:rsidR="0059339F">
        <w:rPr>
          <w:lang w:val="en-US" w:eastAsia="ja-JP"/>
        </w:rPr>
        <w:t>.</w:t>
      </w:r>
    </w:p>
    <w:p w14:paraId="066AFFA5" w14:textId="65808C60" w:rsidR="00172417" w:rsidRPr="00172417" w:rsidRDefault="00172417" w:rsidP="00DD71F4">
      <w:pPr>
        <w:pStyle w:val="Heading3"/>
        <w:spacing w:before="0" w:after="120" w:line="264" w:lineRule="auto"/>
        <w:jc w:val="both"/>
        <w:rPr>
          <w:lang w:val="en-US"/>
        </w:rPr>
      </w:pPr>
      <w:bookmarkStart w:id="44" w:name="_Toc14190273"/>
      <w:r w:rsidRPr="00172417">
        <w:rPr>
          <w:lang w:val="en-US"/>
        </w:rPr>
        <w:t>Centralized system</w:t>
      </w:r>
      <w:bookmarkEnd w:id="44"/>
    </w:p>
    <w:p w14:paraId="4DD299EF" w14:textId="56F71B97" w:rsidR="00172417" w:rsidRPr="00172417" w:rsidRDefault="00172417" w:rsidP="00DD71F4">
      <w:pPr>
        <w:spacing w:before="0" w:after="120" w:line="264" w:lineRule="auto"/>
        <w:jc w:val="both"/>
        <w:rPr>
          <w:lang w:val="en-US" w:eastAsia="ja-JP"/>
        </w:rPr>
      </w:pPr>
      <w:r w:rsidRPr="0060119B">
        <w:rPr>
          <w:b/>
          <w:color w:val="1F497D" w:themeColor="text2"/>
          <w:lang w:val="en-US" w:eastAsia="ja-JP"/>
        </w:rPr>
        <w:t>In centralized implementations, the central bank controls the technical infrastructure through which and end-to-end DFC solution is delivered to the public</w:t>
      </w:r>
      <w:r w:rsidRPr="00172417">
        <w:rPr>
          <w:lang w:val="en-US" w:eastAsia="ja-JP"/>
        </w:rPr>
        <w:t>. The system delivers all necessary components and features, including the electronic wallets available to the public, the DFC itself, security, and transactional ability to effect the payments, including interfaces to other financial systems.</w:t>
      </w:r>
      <w:r w:rsidR="0074074E">
        <w:rPr>
          <w:lang w:val="en-US" w:eastAsia="ja-JP"/>
        </w:rPr>
        <w:t xml:space="preserve"> </w:t>
      </w:r>
      <w:r w:rsidRPr="00172417">
        <w:rPr>
          <w:lang w:val="en-US" w:eastAsia="ja-JP"/>
        </w:rPr>
        <w:t>This approach appears to have been taken by the now defunct dinero elecrónico project in Ecuador.</w:t>
      </w:r>
    </w:p>
    <w:p w14:paraId="236836E6" w14:textId="77777777" w:rsidR="00172417" w:rsidRPr="00172417" w:rsidRDefault="00172417" w:rsidP="00DD71F4">
      <w:pPr>
        <w:pStyle w:val="Heading3"/>
        <w:spacing w:before="0" w:after="120" w:line="264" w:lineRule="auto"/>
        <w:jc w:val="both"/>
        <w:rPr>
          <w:lang w:val="en-US"/>
        </w:rPr>
      </w:pPr>
      <w:bookmarkStart w:id="45" w:name="_Toc14190274"/>
      <w:r w:rsidRPr="00172417">
        <w:rPr>
          <w:lang w:val="en-US"/>
        </w:rPr>
        <w:t>Accessible DFC as-a-service</w:t>
      </w:r>
      <w:bookmarkEnd w:id="45"/>
    </w:p>
    <w:p w14:paraId="0556A626" w14:textId="29342A4B" w:rsidR="00172417" w:rsidRPr="00172417" w:rsidRDefault="00172417" w:rsidP="00DD71F4">
      <w:pPr>
        <w:spacing w:before="0" w:after="120" w:line="264" w:lineRule="auto"/>
        <w:jc w:val="both"/>
        <w:rPr>
          <w:lang w:val="en-US" w:eastAsia="ja-JP"/>
        </w:rPr>
      </w:pPr>
      <w:r w:rsidRPr="0060119B">
        <w:rPr>
          <w:b/>
          <w:color w:val="1F497D" w:themeColor="text2"/>
          <w:lang w:val="en-US" w:eastAsia="ja-JP"/>
        </w:rPr>
        <w:t>In a DFC as-a-service architecture the central authority controls the components necessary to deliver DFC capabilities through APIs available to banks and other financial institutions</w:t>
      </w:r>
      <w:r w:rsidRPr="00172417">
        <w:rPr>
          <w:lang w:val="en-US" w:eastAsia="ja-JP"/>
        </w:rPr>
        <w:t xml:space="preserve"> including e-money operators. The transactional ability is centralized but the wallets are managed by the financial institutions who can continue to compete and provide value-add</w:t>
      </w:r>
      <w:r w:rsidR="0074074E">
        <w:rPr>
          <w:lang w:val="en-US" w:eastAsia="ja-JP"/>
        </w:rPr>
        <w:t>ed</w:t>
      </w:r>
      <w:r w:rsidRPr="00172417">
        <w:rPr>
          <w:lang w:val="en-US" w:eastAsia="ja-JP"/>
        </w:rPr>
        <w:t xml:space="preserve"> services.</w:t>
      </w:r>
      <w:r w:rsidR="0074074E">
        <w:rPr>
          <w:lang w:val="en-US" w:eastAsia="ja-JP"/>
        </w:rPr>
        <w:t xml:space="preserve"> </w:t>
      </w:r>
      <w:r w:rsidRPr="00172417">
        <w:rPr>
          <w:lang w:val="en-US" w:eastAsia="ja-JP"/>
        </w:rPr>
        <w:t>This approach appears to be taken by the Sveriges Riksbank e-Krona project. The following diagram is taken from the e-Krona project documentation</w:t>
      </w:r>
      <w:r w:rsidR="0059339F">
        <w:rPr>
          <w:lang w:val="en-US" w:eastAsia="ja-JP"/>
        </w:rPr>
        <w:t>.</w:t>
      </w:r>
    </w:p>
    <w:p w14:paraId="6830A232" w14:textId="43AFE74F" w:rsidR="00172417" w:rsidRDefault="00172417" w:rsidP="00DD71F4">
      <w:pPr>
        <w:jc w:val="both"/>
        <w:rPr>
          <w:lang w:val="en-US" w:eastAsia="ja-JP"/>
        </w:rPr>
      </w:pPr>
      <w:r w:rsidRPr="00172417">
        <w:rPr>
          <w:noProof/>
          <w:lang w:eastAsia="en-GB"/>
        </w:rPr>
        <w:drawing>
          <wp:inline distT="0" distB="0" distL="0" distR="0" wp14:anchorId="505DC019" wp14:editId="0FA9AD60">
            <wp:extent cx="5041340" cy="265747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6-05 at 16.00.01 .png"/>
                    <pic:cNvPicPr/>
                  </pic:nvPicPr>
                  <pic:blipFill>
                    <a:blip r:embed="rId61">
                      <a:extLst>
                        <a:ext uri="{28A0092B-C50C-407E-A947-70E740481C1C}">
                          <a14:useLocalDpi xmlns:a14="http://schemas.microsoft.com/office/drawing/2010/main" val="0"/>
                        </a:ext>
                      </a:extLst>
                    </a:blip>
                    <a:stretch>
                      <a:fillRect/>
                    </a:stretch>
                  </pic:blipFill>
                  <pic:spPr>
                    <a:xfrm>
                      <a:off x="0" y="0"/>
                      <a:ext cx="5054110" cy="2664207"/>
                    </a:xfrm>
                    <a:prstGeom prst="rect">
                      <a:avLst/>
                    </a:prstGeom>
                  </pic:spPr>
                </pic:pic>
              </a:graphicData>
            </a:graphic>
          </wp:inline>
        </w:drawing>
      </w:r>
    </w:p>
    <w:p w14:paraId="4E499312" w14:textId="75655A49" w:rsidR="006A5232" w:rsidRPr="00172417" w:rsidRDefault="006A5232" w:rsidP="00DD71F4">
      <w:pPr>
        <w:jc w:val="both"/>
        <w:rPr>
          <w:lang w:val="en-US" w:eastAsia="ja-JP"/>
        </w:rPr>
      </w:pPr>
      <w:r>
        <w:rPr>
          <w:noProof/>
          <w:lang w:eastAsia="en-GB"/>
        </w:rPr>
        <w:drawing>
          <wp:inline distT="0" distB="0" distL="0" distR="0" wp14:anchorId="6BDD90B9" wp14:editId="496D1FE0">
            <wp:extent cx="5524500" cy="3086100"/>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24500" cy="3086100"/>
                    </a:xfrm>
                    <a:prstGeom prst="rect">
                      <a:avLst/>
                    </a:prstGeom>
                    <a:noFill/>
                    <a:ln>
                      <a:noFill/>
                    </a:ln>
                  </pic:spPr>
                </pic:pic>
              </a:graphicData>
            </a:graphic>
          </wp:inline>
        </w:drawing>
      </w:r>
    </w:p>
    <w:p w14:paraId="762F8B4C" w14:textId="052BACC6" w:rsidR="002E5911" w:rsidRDefault="00A928A0" w:rsidP="00DD71F4">
      <w:pPr>
        <w:pStyle w:val="Heading3"/>
        <w:numPr>
          <w:ilvl w:val="0"/>
          <w:numId w:val="0"/>
        </w:numPr>
        <w:spacing w:before="0" w:after="120" w:line="264" w:lineRule="auto"/>
        <w:ind w:left="720"/>
        <w:jc w:val="both"/>
        <w:rPr>
          <w:lang w:val="en-US"/>
        </w:rPr>
      </w:pPr>
      <w:bookmarkStart w:id="46" w:name="_Toc14190275"/>
      <w:r>
        <w:rPr>
          <w:lang w:val="en-US"/>
        </w:rPr>
        <w:t>Figure 1: Riksbank e-Krona Architecture</w:t>
      </w:r>
      <w:bookmarkEnd w:id="46"/>
    </w:p>
    <w:p w14:paraId="778FE944" w14:textId="3BC492A0" w:rsidR="000548B5" w:rsidRDefault="000548B5" w:rsidP="00DD71F4">
      <w:pPr>
        <w:jc w:val="both"/>
        <w:rPr>
          <w:lang w:val="en-US" w:eastAsia="ja-JP"/>
        </w:rPr>
      </w:pPr>
    </w:p>
    <w:p w14:paraId="7F39C66F" w14:textId="77777777" w:rsidR="000548B5" w:rsidRPr="000548B5" w:rsidRDefault="000548B5" w:rsidP="00DD71F4">
      <w:pPr>
        <w:jc w:val="both"/>
        <w:rPr>
          <w:lang w:val="en-US" w:eastAsia="ja-JP"/>
        </w:rPr>
      </w:pPr>
    </w:p>
    <w:p w14:paraId="2CCB4051" w14:textId="0AE7B5A1" w:rsidR="00172417" w:rsidRPr="00172417" w:rsidRDefault="00172417" w:rsidP="00DD71F4">
      <w:pPr>
        <w:pStyle w:val="Heading3"/>
        <w:spacing w:before="0" w:after="120" w:line="264" w:lineRule="auto"/>
        <w:jc w:val="both"/>
        <w:rPr>
          <w:lang w:val="en-US"/>
        </w:rPr>
      </w:pPr>
      <w:bookmarkStart w:id="47" w:name="_Toc14190276"/>
      <w:r w:rsidRPr="00172417">
        <w:rPr>
          <w:lang w:val="en-US"/>
        </w:rPr>
        <w:t>Hierarchical, distributed network</w:t>
      </w:r>
      <w:bookmarkEnd w:id="47"/>
    </w:p>
    <w:p w14:paraId="1F918DC7" w14:textId="20B1CF39" w:rsidR="00172417" w:rsidRPr="00172417" w:rsidRDefault="00172417" w:rsidP="00DD71F4">
      <w:pPr>
        <w:spacing w:before="0" w:after="120" w:line="264" w:lineRule="auto"/>
        <w:jc w:val="both"/>
        <w:rPr>
          <w:lang w:val="en-US" w:eastAsia="ja-JP"/>
        </w:rPr>
      </w:pPr>
      <w:r w:rsidRPr="0060119B">
        <w:rPr>
          <w:b/>
          <w:color w:val="1F497D" w:themeColor="text2"/>
          <w:lang w:val="en-US" w:eastAsia="ja-JP"/>
        </w:rPr>
        <w:t>In a hierarchical, distributed network approach, the central bank controls the source of DFC including its security and amount to be created and distributed, but the distribution and transaction chain closely matches that of physical cash</w:t>
      </w:r>
      <w:r w:rsidRPr="00172417">
        <w:rPr>
          <w:lang w:val="en-US" w:eastAsia="ja-JP"/>
        </w:rPr>
        <w:t>. The DFC value is distributed along the existing channels of commercial banks and e-money operators and ends up in the hands of the public</w:t>
      </w:r>
      <w:r w:rsidR="0074074E">
        <w:rPr>
          <w:lang w:val="en-US" w:eastAsia="ja-JP"/>
        </w:rPr>
        <w:t xml:space="preserve">. </w:t>
      </w:r>
      <w:r w:rsidRPr="00172417">
        <w:rPr>
          <w:lang w:val="en-US" w:eastAsia="ja-JP"/>
        </w:rPr>
        <w:t>This is the approach being discussed by the People’s Bank of China</w:t>
      </w:r>
      <w:r w:rsidR="0074074E">
        <w:rPr>
          <w:lang w:val="en-US" w:eastAsia="ja-JP"/>
        </w:rPr>
        <w:t xml:space="preserve"> (PBOC)</w:t>
      </w:r>
      <w:r w:rsidR="005D70E4">
        <w:rPr>
          <w:rStyle w:val="FootnoteReference"/>
          <w:lang w:val="en-US" w:eastAsia="ja-JP"/>
        </w:rPr>
        <w:footnoteReference w:id="20"/>
      </w:r>
      <w:r w:rsidR="002803A8">
        <w:rPr>
          <w:lang w:val="en-US" w:eastAsia="ja-JP"/>
        </w:rPr>
        <w:t xml:space="preserve"> </w:t>
      </w:r>
      <w:r w:rsidRPr="00172417">
        <w:rPr>
          <w:lang w:val="en-US" w:eastAsia="ja-JP"/>
        </w:rPr>
        <w:t>and apparently taken recently by the South African Reserve Bank</w:t>
      </w:r>
      <w:r w:rsidR="0074074E">
        <w:rPr>
          <w:lang w:val="en-US" w:eastAsia="ja-JP"/>
        </w:rPr>
        <w:t xml:space="preserve"> (SARB)</w:t>
      </w:r>
      <w:r w:rsidRPr="00172417">
        <w:rPr>
          <w:lang w:val="en-US" w:eastAsia="ja-JP"/>
        </w:rPr>
        <w:t>. The following diagram is taken from the solicitation of the Expression of Interest to “…investigate the feasibility, desirability and appropriateness…” of the retail CBDC</w:t>
      </w:r>
      <w:r w:rsidR="00A73D15">
        <w:rPr>
          <w:rStyle w:val="FootnoteReference"/>
          <w:lang w:val="en-US" w:eastAsia="ja-JP"/>
        </w:rPr>
        <w:footnoteReference w:id="21"/>
      </w:r>
      <w:r w:rsidR="0059339F">
        <w:rPr>
          <w:lang w:val="en-US" w:eastAsia="ja-JP"/>
        </w:rPr>
        <w:t>.</w:t>
      </w:r>
    </w:p>
    <w:p w14:paraId="2DF8D459" w14:textId="470C2FC5" w:rsidR="00172417" w:rsidRDefault="00172417" w:rsidP="00DD71F4">
      <w:pPr>
        <w:jc w:val="both"/>
        <w:rPr>
          <w:lang w:val="en-US" w:eastAsia="ja-JP"/>
        </w:rPr>
      </w:pPr>
      <w:r w:rsidRPr="00172417">
        <w:rPr>
          <w:noProof/>
          <w:lang w:eastAsia="en-GB"/>
        </w:rPr>
        <w:drawing>
          <wp:inline distT="0" distB="0" distL="0" distR="0" wp14:anchorId="78C6D486" wp14:editId="27C3E534">
            <wp:extent cx="4011287" cy="3483610"/>
            <wp:effectExtent l="0" t="3175"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6-05 at 17.13.40 .png"/>
                    <pic:cNvPicPr/>
                  </pic:nvPicPr>
                  <pic:blipFill>
                    <a:blip r:embed="rId63">
                      <a:extLst>
                        <a:ext uri="{28A0092B-C50C-407E-A947-70E740481C1C}">
                          <a14:useLocalDpi xmlns:a14="http://schemas.microsoft.com/office/drawing/2010/main" val="0"/>
                        </a:ext>
                      </a:extLst>
                    </a:blip>
                    <a:stretch>
                      <a:fillRect/>
                    </a:stretch>
                  </pic:blipFill>
                  <pic:spPr>
                    <a:xfrm rot="5400000">
                      <a:off x="0" y="0"/>
                      <a:ext cx="4036755" cy="3505728"/>
                    </a:xfrm>
                    <a:prstGeom prst="rect">
                      <a:avLst/>
                    </a:prstGeom>
                  </pic:spPr>
                </pic:pic>
              </a:graphicData>
            </a:graphic>
          </wp:inline>
        </w:drawing>
      </w:r>
    </w:p>
    <w:p w14:paraId="399178DA" w14:textId="77777777" w:rsidR="00A928A0" w:rsidRPr="00172417" w:rsidRDefault="00A928A0" w:rsidP="00DD71F4">
      <w:pPr>
        <w:jc w:val="both"/>
        <w:rPr>
          <w:lang w:val="en-US" w:eastAsia="ja-JP"/>
        </w:rPr>
      </w:pPr>
    </w:p>
    <w:p w14:paraId="6BB9739F" w14:textId="444A7CA9" w:rsidR="00A928A0" w:rsidRDefault="00A928A0" w:rsidP="00DD71F4">
      <w:pPr>
        <w:pStyle w:val="Heading3"/>
        <w:numPr>
          <w:ilvl w:val="0"/>
          <w:numId w:val="0"/>
        </w:numPr>
        <w:spacing w:before="0" w:after="120" w:line="264" w:lineRule="auto"/>
        <w:ind w:left="720"/>
        <w:jc w:val="both"/>
        <w:rPr>
          <w:lang w:val="en-US"/>
        </w:rPr>
      </w:pPr>
      <w:bookmarkStart w:id="48" w:name="_Toc14190277"/>
      <w:r>
        <w:rPr>
          <w:lang w:val="en-US"/>
        </w:rPr>
        <w:t>Figure 2: SARB Retail CBDC Architecture</w:t>
      </w:r>
      <w:bookmarkEnd w:id="48"/>
    </w:p>
    <w:p w14:paraId="502BE70F" w14:textId="77777777" w:rsidR="00240683" w:rsidRDefault="00240683" w:rsidP="00DD71F4">
      <w:pPr>
        <w:jc w:val="both"/>
        <w:rPr>
          <w:lang w:eastAsia="ja-JP"/>
        </w:rPr>
      </w:pPr>
    </w:p>
    <w:p w14:paraId="3F4C17D8" w14:textId="60677C45" w:rsidR="00DE6DB6" w:rsidRPr="00DE6DB6" w:rsidRDefault="00217A0F" w:rsidP="00DD71F4">
      <w:pPr>
        <w:pStyle w:val="Heading1"/>
        <w:spacing w:after="120" w:line="264" w:lineRule="auto"/>
        <w:jc w:val="both"/>
      </w:pPr>
      <w:bookmarkStart w:id="49" w:name="_Toc14190278"/>
      <w:r>
        <w:t>Cross-Border</w:t>
      </w:r>
      <w:r w:rsidR="00FE447A">
        <w:t xml:space="preserve"> CBDC</w:t>
      </w:r>
      <w:bookmarkEnd w:id="49"/>
    </w:p>
    <w:p w14:paraId="653B9ACC" w14:textId="66E7A520" w:rsidR="00FE447A" w:rsidRDefault="00635CF7" w:rsidP="00DD71F4">
      <w:pPr>
        <w:spacing w:before="0" w:after="120" w:line="264" w:lineRule="auto"/>
        <w:jc w:val="both"/>
        <w:rPr>
          <w:rFonts w:eastAsia="Batang"/>
          <w:lang w:val="en-CA"/>
        </w:rPr>
      </w:pPr>
      <w:r w:rsidRPr="0060119B">
        <w:rPr>
          <w:rFonts w:eastAsia="Batang"/>
          <w:b/>
          <w:color w:val="1F497D" w:themeColor="text2"/>
          <w:lang w:val="en-CA"/>
        </w:rPr>
        <w:t>So far, DFC projects have focused on domestic-only applications, but central banks and others are starting to think about cross-border systems</w:t>
      </w:r>
      <w:r w:rsidRPr="00635CF7">
        <w:rPr>
          <w:rFonts w:eastAsia="Batang"/>
          <w:lang w:val="en-CA"/>
        </w:rPr>
        <w:t>.</w:t>
      </w:r>
      <w:r>
        <w:rPr>
          <w:rFonts w:eastAsia="Batang"/>
          <w:lang w:val="en-CA"/>
        </w:rPr>
        <w:t xml:space="preserve"> </w:t>
      </w:r>
      <w:r w:rsidR="00FE447A">
        <w:rPr>
          <w:rFonts w:eastAsia="Batang"/>
          <w:lang w:val="en-CA"/>
        </w:rPr>
        <w:t>Many concerns related to domestic large value payment systems will be of relevance to cross-border payment systems</w:t>
      </w:r>
      <w:r w:rsidR="00612C60">
        <w:rPr>
          <w:rFonts w:eastAsia="Batang"/>
          <w:lang w:val="en-CA"/>
        </w:rPr>
        <w:t xml:space="preserve"> for wholesale and retail purposes</w:t>
      </w:r>
      <w:r w:rsidR="00FE447A">
        <w:rPr>
          <w:rFonts w:eastAsia="Batang"/>
          <w:lang w:val="en-CA"/>
        </w:rPr>
        <w:t>. However, there are specific concerns related to cross-border payments</w:t>
      </w:r>
      <w:r w:rsidR="00E9795F">
        <w:rPr>
          <w:rFonts w:eastAsia="Batang"/>
          <w:lang w:val="en-CA"/>
        </w:rPr>
        <w:t xml:space="preserve"> which we run through below.</w:t>
      </w:r>
    </w:p>
    <w:p w14:paraId="543DB1FB" w14:textId="4F5B9302" w:rsidR="00FE447A" w:rsidRPr="00FE447A" w:rsidRDefault="00FE447A" w:rsidP="00DD71F4">
      <w:pPr>
        <w:pStyle w:val="Heading2"/>
        <w:tabs>
          <w:tab w:val="clear" w:pos="3978"/>
          <w:tab w:val="num" w:pos="284"/>
        </w:tabs>
        <w:ind w:left="426" w:hanging="426"/>
        <w:jc w:val="both"/>
      </w:pPr>
      <w:bookmarkStart w:id="50" w:name="_Toc14190279"/>
      <w:r w:rsidRPr="00FE447A">
        <w:t>Heterogeneity of Domestic Systems</w:t>
      </w:r>
      <w:bookmarkEnd w:id="50"/>
    </w:p>
    <w:p w14:paraId="5DE1CDD6" w14:textId="77777777" w:rsidR="00FE447A" w:rsidRPr="00FE447A" w:rsidRDefault="00FE447A" w:rsidP="00DD71F4">
      <w:pPr>
        <w:spacing w:before="0" w:after="120" w:line="264" w:lineRule="auto"/>
        <w:jc w:val="both"/>
        <w:rPr>
          <w:rFonts w:eastAsia="Batang"/>
          <w:szCs w:val="24"/>
          <w:lang w:val="en-CA"/>
        </w:rPr>
      </w:pPr>
      <w:r w:rsidRPr="0060119B">
        <w:rPr>
          <w:rFonts w:eastAsia="Batang"/>
          <w:b/>
          <w:color w:val="1F497D" w:themeColor="text2"/>
          <w:szCs w:val="24"/>
          <w:lang w:val="en-CA"/>
        </w:rPr>
        <w:t>Cross-border systems will typically require updates to multiple systems but at a minimum of two settlement systems in different jurisdictions</w:t>
      </w:r>
      <w:r w:rsidRPr="00FE447A">
        <w:rPr>
          <w:rFonts w:eastAsia="Batang"/>
          <w:szCs w:val="24"/>
          <w:lang w:val="en-CA"/>
        </w:rPr>
        <w:t>. Most domestic settlement systems are not based on a common platform hence a reference architecture will need to assume a variety of settlement systems.</w:t>
      </w:r>
    </w:p>
    <w:p w14:paraId="3AA28660" w14:textId="602922B1" w:rsidR="00FE447A" w:rsidRPr="00FE447A" w:rsidRDefault="00FE447A" w:rsidP="00DD71F4">
      <w:pPr>
        <w:spacing w:before="0" w:after="120" w:line="264" w:lineRule="auto"/>
        <w:jc w:val="both"/>
        <w:rPr>
          <w:rFonts w:eastAsia="Batang"/>
          <w:szCs w:val="24"/>
          <w:lang w:val="en-CA"/>
        </w:rPr>
      </w:pPr>
      <w:r w:rsidRPr="0060119B">
        <w:rPr>
          <w:rFonts w:eastAsia="Batang"/>
          <w:b/>
          <w:color w:val="1F497D" w:themeColor="text2"/>
          <w:szCs w:val="24"/>
          <w:lang w:val="en-CA"/>
        </w:rPr>
        <w:t>Common set of standards and interfaces in these domestic settlement systems will facilitate easy integration</w:t>
      </w:r>
      <w:r w:rsidRPr="00FE447A">
        <w:rPr>
          <w:rFonts w:eastAsia="Batang"/>
          <w:szCs w:val="24"/>
          <w:lang w:val="en-CA"/>
        </w:rPr>
        <w:t>. Currently, several RTGS operators are looking at modernizing and renewing their payments infrastructure to facilitate change in payments and settlement. For example, many of these projects are moving towards implementing ISO 20022 messaging standards.</w:t>
      </w:r>
      <w:r w:rsidR="00612C60">
        <w:rPr>
          <w:rStyle w:val="FootnoteReference"/>
          <w:rFonts w:eastAsia="Batang"/>
          <w:szCs w:val="24"/>
          <w:lang w:val="en-CA"/>
        </w:rPr>
        <w:footnoteReference w:id="22"/>
      </w:r>
      <w:r w:rsidRPr="00FE447A">
        <w:rPr>
          <w:rFonts w:eastAsia="Batang"/>
          <w:szCs w:val="24"/>
          <w:lang w:val="en-CA"/>
        </w:rPr>
        <w:t xml:space="preserve">  These </w:t>
      </w:r>
      <w:r w:rsidR="00612C60" w:rsidRPr="00FE447A">
        <w:rPr>
          <w:rFonts w:eastAsia="Batang"/>
          <w:szCs w:val="24"/>
          <w:lang w:val="en-CA"/>
        </w:rPr>
        <w:t>initiat</w:t>
      </w:r>
      <w:r w:rsidR="00612C60">
        <w:rPr>
          <w:rFonts w:eastAsia="Batang"/>
          <w:szCs w:val="24"/>
          <w:lang w:val="en-CA"/>
        </w:rPr>
        <w:t>ives</w:t>
      </w:r>
      <w:r w:rsidRPr="00FE447A">
        <w:rPr>
          <w:rFonts w:eastAsia="Batang"/>
          <w:szCs w:val="24"/>
          <w:lang w:val="en-CA"/>
        </w:rPr>
        <w:t xml:space="preserve"> can help to harmonise standards and help to improve integration between systems. </w:t>
      </w:r>
    </w:p>
    <w:p w14:paraId="0809DF7B" w14:textId="77777777" w:rsidR="00FE447A" w:rsidRPr="00FE447A" w:rsidRDefault="00FE447A" w:rsidP="00DD71F4">
      <w:pPr>
        <w:pStyle w:val="Heading2"/>
        <w:tabs>
          <w:tab w:val="clear" w:pos="3978"/>
          <w:tab w:val="num" w:pos="284"/>
        </w:tabs>
        <w:spacing w:before="0" w:after="120" w:line="264" w:lineRule="auto"/>
        <w:ind w:left="426" w:hanging="426"/>
        <w:jc w:val="both"/>
        <w:rPr>
          <w:rFonts w:eastAsia="Batang" w:cs="Times New Roman"/>
          <w:szCs w:val="24"/>
          <w:lang w:val="en-CA"/>
        </w:rPr>
      </w:pPr>
      <w:bookmarkStart w:id="51" w:name="_Toc14190280"/>
      <w:r w:rsidRPr="00FE447A">
        <w:rPr>
          <w:rFonts w:cs="Times New Roman"/>
          <w:szCs w:val="24"/>
        </w:rPr>
        <w:t>Sovereignty</w:t>
      </w:r>
      <w:r w:rsidRPr="00FE447A">
        <w:rPr>
          <w:rFonts w:eastAsia="Batang" w:cs="Times New Roman"/>
          <w:szCs w:val="24"/>
          <w:lang w:val="en-CA"/>
        </w:rPr>
        <w:t>, Oversight and Governance</w:t>
      </w:r>
      <w:bookmarkEnd w:id="51"/>
    </w:p>
    <w:p w14:paraId="0C2DE5F6" w14:textId="0E02BD5F" w:rsidR="00FE447A" w:rsidRPr="00FE447A" w:rsidRDefault="00FE447A" w:rsidP="00DD71F4">
      <w:pPr>
        <w:spacing w:before="0" w:after="120" w:line="264" w:lineRule="auto"/>
        <w:jc w:val="both"/>
        <w:rPr>
          <w:rFonts w:eastAsia="Batang"/>
          <w:szCs w:val="24"/>
          <w:lang w:val="en-CA"/>
        </w:rPr>
      </w:pPr>
      <w:r w:rsidRPr="0060119B">
        <w:rPr>
          <w:rFonts w:eastAsia="Batang"/>
          <w:b/>
          <w:color w:val="1F497D" w:themeColor="text2"/>
          <w:szCs w:val="24"/>
          <w:lang w:val="en-CA"/>
        </w:rPr>
        <w:t>A cross-border transaction spans two or more jurisdictions</w:t>
      </w:r>
      <w:r w:rsidR="00F151C1" w:rsidRPr="0060119B">
        <w:rPr>
          <w:rFonts w:eastAsia="Batang"/>
          <w:b/>
          <w:color w:val="1F497D" w:themeColor="text2"/>
          <w:szCs w:val="24"/>
          <w:lang w:val="en-CA"/>
        </w:rPr>
        <w:t xml:space="preserve"> and</w:t>
      </w:r>
      <w:r w:rsidRPr="0060119B">
        <w:rPr>
          <w:rFonts w:eastAsia="Batang"/>
          <w:b/>
          <w:color w:val="1F497D" w:themeColor="text2"/>
          <w:szCs w:val="24"/>
          <w:lang w:val="en-CA"/>
        </w:rPr>
        <w:t xml:space="preserve"> </w:t>
      </w:r>
      <w:r w:rsidR="00F151C1" w:rsidRPr="0060119B">
        <w:rPr>
          <w:rFonts w:eastAsia="Batang"/>
          <w:b/>
          <w:color w:val="1F497D" w:themeColor="text2"/>
          <w:szCs w:val="24"/>
          <w:lang w:val="en-CA"/>
        </w:rPr>
        <w:t>t</w:t>
      </w:r>
      <w:r w:rsidRPr="0060119B">
        <w:rPr>
          <w:rFonts w:eastAsia="Batang"/>
          <w:b/>
          <w:color w:val="1F497D" w:themeColor="text2"/>
          <w:szCs w:val="24"/>
          <w:lang w:val="en-CA"/>
        </w:rPr>
        <w:t xml:space="preserve">here </w:t>
      </w:r>
      <w:r w:rsidR="00C36A73">
        <w:rPr>
          <w:rFonts w:eastAsia="Batang"/>
          <w:b/>
          <w:color w:val="1F497D" w:themeColor="text2"/>
          <w:szCs w:val="24"/>
          <w:lang w:val="en-CA"/>
        </w:rPr>
        <w:t>may be</w:t>
      </w:r>
      <w:r w:rsidR="00C36A73" w:rsidRPr="0060119B">
        <w:rPr>
          <w:rFonts w:eastAsia="Batang"/>
          <w:b/>
          <w:color w:val="1F497D" w:themeColor="text2"/>
          <w:szCs w:val="24"/>
          <w:lang w:val="en-CA"/>
        </w:rPr>
        <w:t xml:space="preserve"> </w:t>
      </w:r>
      <w:r w:rsidRPr="0060119B">
        <w:rPr>
          <w:rFonts w:eastAsia="Batang"/>
          <w:b/>
          <w:color w:val="1F497D" w:themeColor="text2"/>
          <w:szCs w:val="24"/>
          <w:lang w:val="en-CA"/>
        </w:rPr>
        <w:t>a lack of common payment standards and regulator requirements across jurisdiction</w:t>
      </w:r>
      <w:r w:rsidRPr="00FE447A">
        <w:rPr>
          <w:rFonts w:eastAsia="Batang"/>
          <w:szCs w:val="24"/>
          <w:lang w:val="en-CA"/>
        </w:rPr>
        <w:t xml:space="preserve">. A reference architecture will need to demonstrate functional support for the laws and regulations for multiple jurisdictions and </w:t>
      </w:r>
      <w:r w:rsidR="00814189">
        <w:rPr>
          <w:rFonts w:eastAsia="Batang"/>
          <w:szCs w:val="24"/>
          <w:lang w:val="en-CA"/>
        </w:rPr>
        <w:t>be able to manage</w:t>
      </w:r>
      <w:r w:rsidRPr="00FE447A">
        <w:rPr>
          <w:rFonts w:eastAsia="Batang"/>
          <w:szCs w:val="24"/>
          <w:lang w:val="en-CA"/>
        </w:rPr>
        <w:t xml:space="preserve"> any variations across jurisdictions. Appropriate governance structure can introduce and maintain common regulatory standards and regulations across multiple jurisdictions to reduce duplication of activities (e.g.</w:t>
      </w:r>
      <w:r w:rsidR="00814189">
        <w:rPr>
          <w:rFonts w:eastAsia="Batang"/>
          <w:szCs w:val="24"/>
          <w:lang w:val="en-CA"/>
        </w:rPr>
        <w:t>,</w:t>
      </w:r>
      <w:r w:rsidRPr="00FE447A">
        <w:rPr>
          <w:rFonts w:eastAsia="Batang"/>
          <w:szCs w:val="24"/>
          <w:lang w:val="en-CA"/>
        </w:rPr>
        <w:t xml:space="preserve"> sanctions screening, payment purpose codes). One approach may be for the reference architecture to reflect some </w:t>
      </w:r>
      <w:r w:rsidRPr="00FE447A">
        <w:rPr>
          <w:rFonts w:eastAsia="Batang"/>
          <w:i/>
          <w:szCs w:val="24"/>
          <w:lang w:val="en-CA"/>
        </w:rPr>
        <w:t>common</w:t>
      </w:r>
      <w:r w:rsidRPr="00FE447A">
        <w:rPr>
          <w:rFonts w:eastAsia="Batang"/>
          <w:szCs w:val="24"/>
          <w:lang w:val="en-CA"/>
        </w:rPr>
        <w:t xml:space="preserve"> set of functions supporting oversight and governance in a manner that is extensible for additional requirements by jurisdiction.</w:t>
      </w:r>
    </w:p>
    <w:p w14:paraId="57DBCAD5" w14:textId="77777777" w:rsidR="00FE447A" w:rsidRPr="00FE447A" w:rsidRDefault="00FE447A" w:rsidP="00DD71F4">
      <w:pPr>
        <w:pStyle w:val="Heading2"/>
        <w:tabs>
          <w:tab w:val="clear" w:pos="3978"/>
          <w:tab w:val="num" w:pos="284"/>
        </w:tabs>
        <w:spacing w:before="0" w:after="120" w:line="264" w:lineRule="auto"/>
        <w:ind w:left="426" w:hanging="426"/>
        <w:jc w:val="both"/>
        <w:rPr>
          <w:rFonts w:cs="Times New Roman"/>
          <w:szCs w:val="24"/>
        </w:rPr>
      </w:pPr>
      <w:bookmarkStart w:id="52" w:name="_Toc14190281"/>
      <w:r w:rsidRPr="00FE447A">
        <w:rPr>
          <w:rFonts w:cs="Times New Roman"/>
          <w:szCs w:val="24"/>
        </w:rPr>
        <w:t>Compliance</w:t>
      </w:r>
      <w:bookmarkEnd w:id="52"/>
    </w:p>
    <w:p w14:paraId="26013DA0" w14:textId="7F389025" w:rsidR="00FE447A" w:rsidRPr="00FE447A" w:rsidRDefault="00814189" w:rsidP="00DD71F4">
      <w:pPr>
        <w:spacing w:before="0" w:after="120" w:line="264" w:lineRule="auto"/>
        <w:jc w:val="both"/>
        <w:rPr>
          <w:rFonts w:eastAsia="Batang"/>
          <w:szCs w:val="24"/>
          <w:lang w:val="en-CA"/>
        </w:rPr>
      </w:pPr>
      <w:r>
        <w:rPr>
          <w:rFonts w:eastAsia="Batang"/>
          <w:b/>
          <w:color w:val="1F497D" w:themeColor="text2"/>
          <w:szCs w:val="24"/>
          <w:lang w:val="en-CA"/>
        </w:rPr>
        <w:t>Today a</w:t>
      </w:r>
      <w:r w:rsidR="00FE447A" w:rsidRPr="0060119B">
        <w:rPr>
          <w:rFonts w:eastAsia="Batang"/>
          <w:b/>
          <w:color w:val="1F497D" w:themeColor="text2"/>
          <w:szCs w:val="24"/>
          <w:lang w:val="en-CA"/>
        </w:rPr>
        <w:t>n international regulatory framework exists alongside domestic regulation to combat money laundering and the financing of terrorism and other cross-jurisdiction economic crimes</w:t>
      </w:r>
      <w:r w:rsidR="00FE447A" w:rsidRPr="00FE447A">
        <w:rPr>
          <w:rFonts w:eastAsia="Batang"/>
          <w:szCs w:val="24"/>
          <w:lang w:val="en-CA"/>
        </w:rPr>
        <w:t>. Many jurisdictions have additional domestic regulatory requirements, which add more complexity. Banks across the payment value chain must comply with multiple regulatory requirements (e.g.</w:t>
      </w:r>
      <w:r>
        <w:rPr>
          <w:rFonts w:eastAsia="Batang"/>
          <w:szCs w:val="24"/>
          <w:lang w:val="en-CA"/>
        </w:rPr>
        <w:t>,</w:t>
      </w:r>
      <w:r w:rsidR="00FE447A" w:rsidRPr="00FE447A">
        <w:rPr>
          <w:rFonts w:eastAsia="Batang"/>
          <w:szCs w:val="24"/>
          <w:lang w:val="en-CA"/>
        </w:rPr>
        <w:t xml:space="preserve"> </w:t>
      </w:r>
      <w:r w:rsidR="00612C60">
        <w:rPr>
          <w:rFonts w:eastAsia="Batang"/>
          <w:szCs w:val="24"/>
          <w:lang w:val="en-CA"/>
        </w:rPr>
        <w:t xml:space="preserve">FATF </w:t>
      </w:r>
      <w:r w:rsidR="00FE447A" w:rsidRPr="00FE447A">
        <w:rPr>
          <w:rFonts w:eastAsia="Batang"/>
          <w:szCs w:val="24"/>
          <w:lang w:val="en-CA"/>
        </w:rPr>
        <w:t>AML</w:t>
      </w:r>
      <w:r w:rsidR="00612C60">
        <w:rPr>
          <w:rFonts w:eastAsia="Batang"/>
          <w:szCs w:val="24"/>
          <w:lang w:val="en-CA"/>
        </w:rPr>
        <w:t>/CFT</w:t>
      </w:r>
      <w:r w:rsidR="00FE447A" w:rsidRPr="00FE447A">
        <w:rPr>
          <w:rFonts w:eastAsia="Batang"/>
          <w:szCs w:val="24"/>
          <w:lang w:val="en-CA"/>
        </w:rPr>
        <w:t xml:space="preserve"> </w:t>
      </w:r>
      <w:r w:rsidR="00612C60">
        <w:rPr>
          <w:rFonts w:eastAsia="Batang"/>
          <w:szCs w:val="24"/>
          <w:lang w:val="en-CA"/>
        </w:rPr>
        <w:t>standards</w:t>
      </w:r>
      <w:r w:rsidR="00FE447A" w:rsidRPr="00FE447A">
        <w:rPr>
          <w:rFonts w:eastAsia="Batang"/>
          <w:szCs w:val="24"/>
          <w:lang w:val="en-CA"/>
        </w:rPr>
        <w:t>) and assessment of collateral requirements. The divergence in regulatory standards across jurisdictions adds to overall cost, delay in processing etc. The reference architecture will need to support mechanisms to facilitate regulatory compliance as the transaction travels through different jurisdictions.</w:t>
      </w:r>
    </w:p>
    <w:p w14:paraId="18A5DA5A" w14:textId="77777777" w:rsidR="00FE447A" w:rsidRPr="00FE447A" w:rsidRDefault="00FE447A" w:rsidP="00DD71F4">
      <w:pPr>
        <w:pStyle w:val="Heading2"/>
        <w:tabs>
          <w:tab w:val="clear" w:pos="3978"/>
          <w:tab w:val="num" w:pos="284"/>
        </w:tabs>
        <w:spacing w:before="0" w:after="120" w:line="264" w:lineRule="auto"/>
        <w:ind w:left="426" w:hanging="426"/>
        <w:jc w:val="both"/>
        <w:rPr>
          <w:rFonts w:eastAsia="Batang" w:cs="Times New Roman"/>
          <w:szCs w:val="24"/>
          <w:lang w:val="en-CA"/>
        </w:rPr>
      </w:pPr>
      <w:bookmarkStart w:id="53" w:name="_Toc14190282"/>
      <w:r w:rsidRPr="00FE447A">
        <w:rPr>
          <w:rFonts w:cs="Times New Roman"/>
          <w:szCs w:val="24"/>
        </w:rPr>
        <w:t>Business</w:t>
      </w:r>
      <w:r w:rsidRPr="00FE447A">
        <w:rPr>
          <w:rFonts w:eastAsia="Batang" w:cs="Times New Roman"/>
          <w:szCs w:val="24"/>
          <w:lang w:val="en-CA"/>
        </w:rPr>
        <w:t xml:space="preserve"> Models</w:t>
      </w:r>
      <w:bookmarkEnd w:id="53"/>
    </w:p>
    <w:p w14:paraId="2DB65D27" w14:textId="4AD7C156" w:rsidR="00FE447A" w:rsidRPr="00FE447A" w:rsidRDefault="00FE447A" w:rsidP="00DD71F4">
      <w:pPr>
        <w:spacing w:before="0" w:after="120" w:line="264" w:lineRule="auto"/>
        <w:jc w:val="both"/>
        <w:rPr>
          <w:rFonts w:eastAsia="Batang"/>
          <w:szCs w:val="24"/>
          <w:lang w:val="en-CA"/>
        </w:rPr>
      </w:pPr>
      <w:r w:rsidRPr="0060119B">
        <w:rPr>
          <w:rFonts w:eastAsia="Batang"/>
          <w:b/>
          <w:color w:val="1F497D" w:themeColor="text2"/>
          <w:szCs w:val="24"/>
          <w:lang w:val="en-CA"/>
        </w:rPr>
        <w:t>Cross</w:t>
      </w:r>
      <w:r w:rsidR="00D21F1F">
        <w:rPr>
          <w:rFonts w:eastAsia="Batang"/>
          <w:b/>
          <w:color w:val="1F497D" w:themeColor="text2"/>
          <w:szCs w:val="24"/>
          <w:lang w:val="en-CA"/>
        </w:rPr>
        <w:t>-</w:t>
      </w:r>
      <w:r w:rsidRPr="0060119B">
        <w:rPr>
          <w:rFonts w:eastAsia="Batang"/>
          <w:b/>
          <w:color w:val="1F497D" w:themeColor="text2"/>
          <w:szCs w:val="24"/>
          <w:lang w:val="en-CA"/>
        </w:rPr>
        <w:t xml:space="preserve">border payments involve multiple </w:t>
      </w:r>
      <w:r w:rsidR="00346BBC">
        <w:rPr>
          <w:rFonts w:eastAsia="Batang"/>
          <w:b/>
          <w:color w:val="1F497D" w:themeColor="text2"/>
          <w:szCs w:val="24"/>
          <w:lang w:val="en-CA"/>
        </w:rPr>
        <w:t xml:space="preserve">jurisdictions </w:t>
      </w:r>
      <w:r w:rsidRPr="0060119B">
        <w:rPr>
          <w:rFonts w:eastAsia="Batang"/>
          <w:b/>
          <w:color w:val="1F497D" w:themeColor="text2"/>
          <w:szCs w:val="24"/>
          <w:lang w:val="en-CA"/>
        </w:rPr>
        <w:t xml:space="preserve">with different </w:t>
      </w:r>
      <w:r w:rsidR="002E5911">
        <w:rPr>
          <w:rFonts w:eastAsia="Batang"/>
          <w:b/>
          <w:color w:val="1F497D" w:themeColor="text2"/>
          <w:szCs w:val="24"/>
          <w:lang w:val="en-CA"/>
        </w:rPr>
        <w:t>designs</w:t>
      </w:r>
      <w:r w:rsidRPr="00FE447A">
        <w:rPr>
          <w:rFonts w:eastAsia="Batang"/>
          <w:szCs w:val="24"/>
          <w:lang w:val="en-CA"/>
        </w:rPr>
        <w:t xml:space="preserve">. Domestic forces in each jurisdiction will shape the CBDC </w:t>
      </w:r>
      <w:r w:rsidR="002E5911">
        <w:rPr>
          <w:rFonts w:eastAsia="Batang"/>
          <w:szCs w:val="24"/>
          <w:lang w:val="en-CA"/>
        </w:rPr>
        <w:t>designs</w:t>
      </w:r>
      <w:r w:rsidRPr="00FE447A">
        <w:rPr>
          <w:rFonts w:eastAsia="Batang"/>
          <w:szCs w:val="24"/>
          <w:lang w:val="en-CA"/>
        </w:rPr>
        <w:t xml:space="preserve"> which can be quite different from other jurisdictions. For example, one central bank </w:t>
      </w:r>
      <w:r w:rsidR="00814189">
        <w:rPr>
          <w:rFonts w:eastAsia="Batang"/>
          <w:szCs w:val="24"/>
          <w:lang w:val="en-CA"/>
        </w:rPr>
        <w:t xml:space="preserve">may </w:t>
      </w:r>
      <w:r w:rsidRPr="00FE447A">
        <w:rPr>
          <w:rFonts w:eastAsia="Batang"/>
          <w:szCs w:val="24"/>
          <w:lang w:val="en-CA"/>
        </w:rPr>
        <w:t xml:space="preserve">decide to operate the CBDC itself while another </w:t>
      </w:r>
      <w:r w:rsidR="00814189">
        <w:rPr>
          <w:rFonts w:eastAsia="Batang"/>
          <w:szCs w:val="24"/>
          <w:lang w:val="en-CA"/>
        </w:rPr>
        <w:t xml:space="preserve">may </w:t>
      </w:r>
      <w:r w:rsidRPr="00FE447A">
        <w:rPr>
          <w:rFonts w:eastAsia="Batang"/>
          <w:szCs w:val="24"/>
          <w:lang w:val="en-CA"/>
        </w:rPr>
        <w:t>decide to outsource th</w:t>
      </w:r>
      <w:r w:rsidR="00814189">
        <w:rPr>
          <w:rFonts w:eastAsia="Batang"/>
          <w:szCs w:val="24"/>
          <w:lang w:val="en-CA"/>
        </w:rPr>
        <w:t>e operations</w:t>
      </w:r>
      <w:r w:rsidRPr="00FE447A">
        <w:rPr>
          <w:rFonts w:eastAsia="Batang"/>
          <w:szCs w:val="24"/>
          <w:lang w:val="en-CA"/>
        </w:rPr>
        <w:t xml:space="preserve"> to regulated third-party entities. These differences in CBDC </w:t>
      </w:r>
      <w:r w:rsidR="002E5911">
        <w:rPr>
          <w:rFonts w:eastAsia="Batang"/>
          <w:szCs w:val="24"/>
          <w:lang w:val="en-CA"/>
        </w:rPr>
        <w:t>design</w:t>
      </w:r>
      <w:r w:rsidRPr="00FE447A">
        <w:rPr>
          <w:rFonts w:eastAsia="Batang"/>
          <w:szCs w:val="24"/>
          <w:lang w:val="en-CA"/>
        </w:rPr>
        <w:t xml:space="preserve"> should be accommodated by the reference architecture while not impacting </w:t>
      </w:r>
      <w:r w:rsidR="00EF7AB8">
        <w:rPr>
          <w:rFonts w:eastAsia="Batang"/>
          <w:szCs w:val="24"/>
          <w:lang w:val="en-CA"/>
        </w:rPr>
        <w:t>seamless</w:t>
      </w:r>
      <w:r w:rsidR="00EF7AB8" w:rsidRPr="00FE447A">
        <w:rPr>
          <w:rFonts w:eastAsia="Batang"/>
          <w:szCs w:val="24"/>
          <w:lang w:val="en-CA"/>
        </w:rPr>
        <w:t xml:space="preserve"> </w:t>
      </w:r>
      <w:r w:rsidRPr="00FE447A">
        <w:rPr>
          <w:rFonts w:eastAsia="Batang"/>
          <w:szCs w:val="24"/>
          <w:lang w:val="en-CA"/>
        </w:rPr>
        <w:t xml:space="preserve">interoperability, which is important for cross-border payments. </w:t>
      </w:r>
    </w:p>
    <w:p w14:paraId="48206C52" w14:textId="77777777" w:rsidR="00FE447A" w:rsidRPr="00FE447A" w:rsidRDefault="00FE447A" w:rsidP="00DD71F4">
      <w:pPr>
        <w:pStyle w:val="Heading2"/>
        <w:tabs>
          <w:tab w:val="clear" w:pos="3978"/>
          <w:tab w:val="num" w:pos="284"/>
        </w:tabs>
        <w:spacing w:before="0" w:after="120" w:line="264" w:lineRule="auto"/>
        <w:ind w:left="426" w:hanging="426"/>
        <w:jc w:val="both"/>
        <w:rPr>
          <w:rFonts w:cs="Times New Roman"/>
          <w:szCs w:val="24"/>
        </w:rPr>
      </w:pPr>
      <w:bookmarkStart w:id="54" w:name="_Toc14190283"/>
      <w:r w:rsidRPr="00FE447A">
        <w:rPr>
          <w:rFonts w:cs="Times New Roman"/>
          <w:szCs w:val="24"/>
        </w:rPr>
        <w:t>Trust Model</w:t>
      </w:r>
      <w:bookmarkEnd w:id="54"/>
    </w:p>
    <w:p w14:paraId="54BA88E0" w14:textId="440AD159" w:rsidR="00FE447A" w:rsidRPr="00FE447A" w:rsidRDefault="00FE447A" w:rsidP="00DD71F4">
      <w:pPr>
        <w:spacing w:before="0" w:after="120" w:line="264" w:lineRule="auto"/>
        <w:jc w:val="both"/>
        <w:rPr>
          <w:rFonts w:eastAsia="Batang"/>
          <w:szCs w:val="24"/>
          <w:lang w:val="en-CA"/>
        </w:rPr>
      </w:pPr>
      <w:r w:rsidRPr="0060119B">
        <w:rPr>
          <w:rFonts w:eastAsia="Batang"/>
          <w:b/>
          <w:color w:val="1F497D" w:themeColor="text2"/>
          <w:szCs w:val="24"/>
          <w:lang w:val="en-CA"/>
        </w:rPr>
        <w:t>Cross-border payments today rely on correspondent banking that is subject to counter party risk, inefficient liquidity management and cumbersome reconciliation</w:t>
      </w:r>
      <w:r w:rsidRPr="00FE447A">
        <w:rPr>
          <w:rFonts w:eastAsia="Batang"/>
          <w:szCs w:val="24"/>
          <w:lang w:val="en-CA"/>
        </w:rPr>
        <w:t xml:space="preserve">. CBDC reference architecture should aim to </w:t>
      </w:r>
      <w:r w:rsidR="00A97AAA">
        <w:rPr>
          <w:rFonts w:eastAsia="Batang"/>
          <w:szCs w:val="24"/>
          <w:lang w:val="en-CA"/>
        </w:rPr>
        <w:t>make cross</w:t>
      </w:r>
      <w:r w:rsidR="00D21F1F">
        <w:rPr>
          <w:rFonts w:eastAsia="Batang"/>
          <w:szCs w:val="24"/>
          <w:lang w:val="en-CA"/>
        </w:rPr>
        <w:t>-</w:t>
      </w:r>
      <w:r w:rsidR="00A97AAA">
        <w:rPr>
          <w:rFonts w:eastAsia="Batang"/>
          <w:szCs w:val="24"/>
          <w:lang w:val="en-CA"/>
        </w:rPr>
        <w:t>border payments less risky and more efficient</w:t>
      </w:r>
      <w:r w:rsidRPr="00FE447A">
        <w:rPr>
          <w:rFonts w:eastAsia="Batang"/>
          <w:szCs w:val="24"/>
          <w:lang w:val="en-CA"/>
        </w:rPr>
        <w:t>.</w:t>
      </w:r>
      <w:r w:rsidR="00F151C1">
        <w:rPr>
          <w:rFonts w:eastAsia="Batang"/>
          <w:szCs w:val="24"/>
          <w:lang w:val="en-CA"/>
        </w:rPr>
        <w:t xml:space="preserve"> </w:t>
      </w:r>
      <w:r w:rsidRPr="00FE447A">
        <w:rPr>
          <w:rFonts w:eastAsia="Batang"/>
          <w:szCs w:val="24"/>
          <w:lang w:val="en-CA"/>
        </w:rPr>
        <w:t xml:space="preserve">In </w:t>
      </w:r>
      <w:r w:rsidR="004C06AB">
        <w:rPr>
          <w:rFonts w:eastAsia="Batang"/>
          <w:szCs w:val="24"/>
          <w:lang w:val="en-CA"/>
        </w:rPr>
        <w:t>BoC et al., 2019</w:t>
      </w:r>
      <w:r w:rsidRPr="00FE447A">
        <w:rPr>
          <w:rFonts w:eastAsia="Batang"/>
          <w:szCs w:val="24"/>
          <w:lang w:val="en-CA"/>
        </w:rPr>
        <w:t xml:space="preserve">, Bank of Canada and MAS linked up Project Jasper and Project Ubin, their respective experimental domestic payment networks </w:t>
      </w:r>
      <w:r w:rsidR="008A760E">
        <w:rPr>
          <w:rFonts w:eastAsia="Batang"/>
          <w:szCs w:val="24"/>
          <w:lang w:val="en-CA"/>
        </w:rPr>
        <w:t xml:space="preserve"> </w:t>
      </w:r>
      <w:r w:rsidR="00D21F1F">
        <w:rPr>
          <w:rFonts w:eastAsia="Batang"/>
          <w:szCs w:val="24"/>
          <w:lang w:val="en-CA"/>
        </w:rPr>
        <w:t>built</w:t>
      </w:r>
      <w:r w:rsidR="00D21F1F" w:rsidRPr="00FE447A">
        <w:rPr>
          <w:rFonts w:eastAsia="Batang"/>
          <w:szCs w:val="24"/>
          <w:lang w:val="en-CA"/>
        </w:rPr>
        <w:t xml:space="preserve"> </w:t>
      </w:r>
      <w:r w:rsidRPr="00FE447A">
        <w:rPr>
          <w:rFonts w:eastAsia="Batang"/>
          <w:szCs w:val="24"/>
          <w:lang w:val="en-CA"/>
        </w:rPr>
        <w:t>on two different DLT platforms</w:t>
      </w:r>
      <w:r w:rsidR="00D21F1F">
        <w:rPr>
          <w:rFonts w:eastAsia="Batang"/>
          <w:szCs w:val="24"/>
          <w:lang w:val="en-CA"/>
        </w:rPr>
        <w:t xml:space="preserve"> (Corda for Jasper and Quorum for Ubin)</w:t>
      </w:r>
      <w:r w:rsidRPr="00FE447A">
        <w:rPr>
          <w:rFonts w:eastAsia="Batang"/>
          <w:szCs w:val="24"/>
          <w:lang w:val="en-CA"/>
        </w:rPr>
        <w:t xml:space="preserve">. The project used Hash </w:t>
      </w:r>
      <w:r w:rsidR="00865026">
        <w:rPr>
          <w:rFonts w:eastAsia="Batang"/>
          <w:szCs w:val="24"/>
          <w:lang w:val="en-CA"/>
        </w:rPr>
        <w:t xml:space="preserve">and </w:t>
      </w:r>
      <w:r w:rsidRPr="00FE447A">
        <w:rPr>
          <w:rFonts w:eastAsia="Batang"/>
          <w:szCs w:val="24"/>
          <w:lang w:val="en-CA"/>
        </w:rPr>
        <w:t>Time-Locked Contracts (HTLC) to connect the two networks and allow a cross-border payment without the need for a trusted third-party intermediary.</w:t>
      </w:r>
    </w:p>
    <w:p w14:paraId="1321CAE6" w14:textId="77777777" w:rsidR="00FE447A" w:rsidRPr="00FE447A" w:rsidRDefault="00FE447A" w:rsidP="00DD71F4">
      <w:pPr>
        <w:pStyle w:val="Heading2"/>
        <w:tabs>
          <w:tab w:val="clear" w:pos="3978"/>
          <w:tab w:val="num" w:pos="284"/>
        </w:tabs>
        <w:spacing w:before="0" w:after="120" w:line="264" w:lineRule="auto"/>
        <w:ind w:left="426" w:hanging="426"/>
        <w:jc w:val="both"/>
        <w:rPr>
          <w:rFonts w:cs="Times New Roman"/>
          <w:szCs w:val="24"/>
        </w:rPr>
      </w:pPr>
      <w:bookmarkStart w:id="55" w:name="_Toc14190284"/>
      <w:r w:rsidRPr="00FE447A">
        <w:rPr>
          <w:rFonts w:cs="Times New Roman"/>
          <w:szCs w:val="24"/>
        </w:rPr>
        <w:t>Settlement Instrument</w:t>
      </w:r>
      <w:bookmarkEnd w:id="55"/>
    </w:p>
    <w:p w14:paraId="1271A503" w14:textId="77777777" w:rsidR="00FE447A" w:rsidRPr="00FE447A" w:rsidRDefault="00FE447A" w:rsidP="00DD71F4">
      <w:pPr>
        <w:spacing w:before="0" w:after="120" w:line="264" w:lineRule="auto"/>
        <w:jc w:val="both"/>
        <w:rPr>
          <w:rFonts w:eastAsia="Batang"/>
          <w:szCs w:val="24"/>
          <w:lang w:val="en-CA"/>
        </w:rPr>
      </w:pPr>
      <w:r w:rsidRPr="0060119B">
        <w:rPr>
          <w:rFonts w:eastAsia="Batang"/>
          <w:b/>
          <w:color w:val="1F497D" w:themeColor="text2"/>
          <w:szCs w:val="24"/>
          <w:lang w:val="en-CA"/>
        </w:rPr>
        <w:t>Central bank money is a risk-free instrument, consequently it is the preferred instrument for settlement</w:t>
      </w:r>
      <w:r w:rsidRPr="00FE447A">
        <w:rPr>
          <w:rFonts w:eastAsia="Batang"/>
          <w:szCs w:val="24"/>
          <w:lang w:val="en-CA"/>
        </w:rPr>
        <w:t xml:space="preserve"> (defined as the point where the obligation of a payer is extinguished, and the transaction is irreversible). Except for payment between two accounts at the same institution (and ‘on us’ transaction) payments ultimately are settled in central bank money (they may be aggregated in retail systems and settled in central bank large value systems). Any reference architecture will have to encompass the idea that cross-border payment will end in settlement on the books of the central bank.</w:t>
      </w:r>
    </w:p>
    <w:p w14:paraId="2CD41432" w14:textId="77777777" w:rsidR="00FE447A" w:rsidRPr="00FE447A" w:rsidRDefault="00FE447A" w:rsidP="00DD71F4">
      <w:pPr>
        <w:spacing w:before="0" w:after="120" w:line="264" w:lineRule="auto"/>
        <w:jc w:val="both"/>
        <w:rPr>
          <w:rFonts w:eastAsia="Batang"/>
          <w:szCs w:val="24"/>
          <w:lang w:val="en-CA"/>
        </w:rPr>
      </w:pPr>
      <w:r w:rsidRPr="00FE447A">
        <w:rPr>
          <w:rFonts w:eastAsia="Batang"/>
          <w:szCs w:val="24"/>
          <w:lang w:val="en-CA"/>
        </w:rPr>
        <w:t xml:space="preserve">In systems such as the </w:t>
      </w:r>
      <w:r w:rsidR="00865026">
        <w:rPr>
          <w:rFonts w:eastAsia="Batang"/>
          <w:szCs w:val="24"/>
          <w:lang w:val="en-CA"/>
        </w:rPr>
        <w:t>J</w:t>
      </w:r>
      <w:r w:rsidRPr="00FE447A">
        <w:rPr>
          <w:rFonts w:eastAsia="Batang"/>
          <w:szCs w:val="24"/>
          <w:lang w:val="en-CA"/>
        </w:rPr>
        <w:t xml:space="preserve">asper experiments, where a </w:t>
      </w:r>
      <w:r w:rsidRPr="00FE447A">
        <w:rPr>
          <w:rFonts w:eastAsia="Batang"/>
          <w:i/>
          <w:szCs w:val="24"/>
          <w:lang w:val="en-CA"/>
        </w:rPr>
        <w:t>proxy</w:t>
      </w:r>
      <w:r w:rsidRPr="00FE447A">
        <w:rPr>
          <w:rFonts w:eastAsia="Batang"/>
          <w:szCs w:val="24"/>
          <w:lang w:val="en-CA"/>
        </w:rPr>
        <w:t xml:space="preserve"> for central bank money resides on a distributed ledger (rather than a ledger at the central bank), the reference architecture will need to distinguish between two possibilities: where there is legal underpinning such that exchange of the proxy (often referred to as a token) is considered settlement; where there is no such legal underpinning and the exchange of the proxy is only part of clearing, and final settlement still takes place on the large value payment system. </w:t>
      </w:r>
    </w:p>
    <w:p w14:paraId="5F178D2A" w14:textId="6E0E27F5" w:rsidR="00FE447A" w:rsidRPr="00FE447A" w:rsidRDefault="00FE447A" w:rsidP="00DD71F4">
      <w:pPr>
        <w:spacing w:before="0" w:after="120" w:line="264" w:lineRule="auto"/>
        <w:jc w:val="both"/>
        <w:rPr>
          <w:rFonts w:eastAsia="Batang"/>
          <w:szCs w:val="24"/>
          <w:lang w:val="en-CA"/>
        </w:rPr>
      </w:pPr>
      <w:r w:rsidRPr="0060119B">
        <w:rPr>
          <w:rFonts w:eastAsia="Batang"/>
          <w:b/>
          <w:color w:val="1F497D" w:themeColor="text2"/>
          <w:szCs w:val="24"/>
          <w:lang w:val="en-CA"/>
        </w:rPr>
        <w:t>In the case of a universal currency (U-CBDC) the situation is similar to that of a domestic system</w:t>
      </w:r>
      <w:r w:rsidR="00F151C1">
        <w:rPr>
          <w:rFonts w:eastAsia="Batang"/>
          <w:szCs w:val="24"/>
          <w:lang w:val="en-CA"/>
        </w:rPr>
        <w:t>.</w:t>
      </w:r>
      <w:r w:rsidRPr="00FE447A">
        <w:rPr>
          <w:rFonts w:eastAsia="Batang"/>
          <w:szCs w:val="24"/>
          <w:lang w:val="en-CA"/>
        </w:rPr>
        <w:t xml:space="preserve"> </w:t>
      </w:r>
      <w:r w:rsidR="00F151C1" w:rsidRPr="00F151C1">
        <w:rPr>
          <w:rFonts w:eastAsia="Batang"/>
          <w:szCs w:val="24"/>
          <w:lang w:val="en-CA"/>
        </w:rPr>
        <w:t>A U-CBDC is a wholesale CBDC backed by a basket of currencies and accepted by all participating jurisdictions.</w:t>
      </w:r>
      <w:r w:rsidR="00F151C1">
        <w:rPr>
          <w:rFonts w:eastAsia="Batang"/>
          <w:szCs w:val="24"/>
          <w:lang w:val="en-CA"/>
        </w:rPr>
        <w:t xml:space="preserve"> In this case, </w:t>
      </w:r>
      <w:r w:rsidRPr="00FE447A">
        <w:rPr>
          <w:rFonts w:eastAsia="Batang"/>
          <w:szCs w:val="24"/>
          <w:lang w:val="en-CA"/>
        </w:rPr>
        <w:t>the liability of the issued instrument is with the issuing institution</w:t>
      </w:r>
      <w:r w:rsidR="00C36A73">
        <w:rPr>
          <w:rFonts w:eastAsia="Batang"/>
          <w:szCs w:val="24"/>
          <w:lang w:val="en-CA"/>
        </w:rPr>
        <w:t>(s),</w:t>
      </w:r>
      <w:r w:rsidRPr="00FE447A">
        <w:rPr>
          <w:rFonts w:eastAsia="Batang"/>
          <w:szCs w:val="24"/>
          <w:lang w:val="en-CA"/>
        </w:rPr>
        <w:t xml:space="preserve"> i.e. any institution could use the U-CBDC unit of account, but settlement would have to be on the books of the </w:t>
      </w:r>
      <w:r w:rsidR="00C36A73">
        <w:rPr>
          <w:rFonts w:eastAsia="Batang"/>
          <w:szCs w:val="24"/>
          <w:lang w:val="en-CA"/>
        </w:rPr>
        <w:t xml:space="preserve">issuing </w:t>
      </w:r>
      <w:r w:rsidRPr="00FE447A">
        <w:rPr>
          <w:rFonts w:eastAsia="Batang"/>
          <w:szCs w:val="24"/>
          <w:lang w:val="en-CA"/>
        </w:rPr>
        <w:t>central bank</w:t>
      </w:r>
      <w:r w:rsidR="00C36A73">
        <w:rPr>
          <w:rFonts w:eastAsia="Batang"/>
          <w:szCs w:val="24"/>
          <w:lang w:val="en-CA"/>
        </w:rPr>
        <w:t>(s)</w:t>
      </w:r>
      <w:r w:rsidRPr="00FE447A">
        <w:rPr>
          <w:rFonts w:eastAsia="Batang"/>
          <w:szCs w:val="24"/>
          <w:lang w:val="en-CA"/>
        </w:rPr>
        <w:t xml:space="preserve"> (or possibly a pan-national institution with </w:t>
      </w:r>
      <w:r w:rsidR="00865026" w:rsidRPr="00865026">
        <w:rPr>
          <w:rFonts w:eastAsia="Batang"/>
          <w:szCs w:val="24"/>
          <w:lang w:val="en-CA"/>
        </w:rPr>
        <w:t>similar risk characteristics to</w:t>
      </w:r>
      <w:r w:rsidRPr="00FE447A">
        <w:rPr>
          <w:rFonts w:eastAsia="Batang"/>
          <w:szCs w:val="24"/>
          <w:lang w:val="en-CA"/>
        </w:rPr>
        <w:t xml:space="preserve"> a central bank). </w:t>
      </w:r>
    </w:p>
    <w:p w14:paraId="258F7DA5" w14:textId="301FE009" w:rsidR="00FE447A" w:rsidRPr="00FE447A" w:rsidRDefault="00346881" w:rsidP="00E9795F">
      <w:pPr>
        <w:spacing w:before="0" w:after="120" w:line="264" w:lineRule="auto"/>
        <w:jc w:val="both"/>
        <w:rPr>
          <w:rFonts w:eastAsia="Batang"/>
          <w:szCs w:val="24"/>
          <w:lang w:val="en-CA"/>
        </w:rPr>
      </w:pPr>
      <w:r w:rsidRPr="0060119B">
        <w:rPr>
          <w:rFonts w:eastAsia="Batang"/>
          <w:b/>
          <w:color w:val="1F497D" w:themeColor="text2"/>
          <w:szCs w:val="24"/>
          <w:lang w:val="en-CA"/>
        </w:rPr>
        <w:t>C</w:t>
      </w:r>
      <w:r w:rsidR="00FE447A" w:rsidRPr="0060119B">
        <w:rPr>
          <w:rFonts w:eastAsia="Batang"/>
          <w:b/>
          <w:color w:val="1F497D" w:themeColor="text2"/>
          <w:szCs w:val="24"/>
          <w:lang w:val="en-CA"/>
        </w:rPr>
        <w:t xml:space="preserve">ross-border payments often involve foreign exchange (FX) since the sender holds local currency, while the receiver would like to receive funds in </w:t>
      </w:r>
      <w:r w:rsidR="00C36A73">
        <w:rPr>
          <w:rFonts w:eastAsia="Batang"/>
          <w:b/>
          <w:color w:val="1F497D" w:themeColor="text2"/>
          <w:szCs w:val="24"/>
          <w:lang w:val="en-CA"/>
        </w:rPr>
        <w:t>its own</w:t>
      </w:r>
      <w:r w:rsidR="00FE447A" w:rsidRPr="0060119B">
        <w:rPr>
          <w:rFonts w:eastAsia="Batang"/>
          <w:b/>
          <w:color w:val="1F497D" w:themeColor="text2"/>
          <w:szCs w:val="24"/>
          <w:lang w:val="en-CA"/>
        </w:rPr>
        <w:t xml:space="preserve"> local currency which is the foreign currency from the sender point of view</w:t>
      </w:r>
      <w:r w:rsidR="00FE447A" w:rsidRPr="00FE447A">
        <w:rPr>
          <w:rFonts w:eastAsia="Batang"/>
          <w:szCs w:val="24"/>
          <w:lang w:val="en-CA"/>
        </w:rPr>
        <w:t>. In this scenario, a cross-border payment transaction can be considered as two separate logical steps</w:t>
      </w:r>
      <w:r w:rsidR="00865026" w:rsidRPr="00865026">
        <w:t xml:space="preserve"> </w:t>
      </w:r>
      <w:r w:rsidR="00865026" w:rsidRPr="00865026">
        <w:rPr>
          <w:rFonts w:eastAsia="Batang"/>
          <w:szCs w:val="24"/>
          <w:lang w:val="en-CA"/>
        </w:rPr>
        <w:t>that can be carried out in either order</w:t>
      </w:r>
      <w:r w:rsidR="00FE447A" w:rsidRPr="00FE447A">
        <w:rPr>
          <w:rFonts w:eastAsia="Batang"/>
          <w:szCs w:val="24"/>
          <w:lang w:val="en-CA"/>
        </w:rPr>
        <w:t>: Step 1 is FX trade of local currency to foreign currency, and Step 2 is a transfer of foreign currency to the receiver.</w:t>
      </w:r>
    </w:p>
    <w:p w14:paraId="0CD3E050" w14:textId="77777777" w:rsidR="00FE447A" w:rsidRPr="00FE447A" w:rsidRDefault="00FE447A" w:rsidP="00E9795F">
      <w:pPr>
        <w:pStyle w:val="Heading2"/>
        <w:tabs>
          <w:tab w:val="clear" w:pos="3978"/>
          <w:tab w:val="num" w:pos="284"/>
        </w:tabs>
        <w:spacing w:before="0" w:after="120" w:line="264" w:lineRule="auto"/>
        <w:ind w:left="426" w:hanging="426"/>
        <w:jc w:val="both"/>
        <w:rPr>
          <w:rFonts w:cs="Times New Roman"/>
          <w:szCs w:val="24"/>
        </w:rPr>
      </w:pPr>
      <w:bookmarkStart w:id="56" w:name="_Toc14190285"/>
      <w:r w:rsidRPr="00FE447A">
        <w:rPr>
          <w:rFonts w:cs="Times New Roman"/>
          <w:szCs w:val="24"/>
        </w:rPr>
        <w:t>Confidentiality</w:t>
      </w:r>
      <w:bookmarkEnd w:id="56"/>
    </w:p>
    <w:p w14:paraId="37510779" w14:textId="3BF586B5" w:rsidR="00FE447A" w:rsidRPr="00FE447A" w:rsidRDefault="00FE447A" w:rsidP="00E9795F">
      <w:pPr>
        <w:spacing w:before="0" w:after="120" w:line="264" w:lineRule="auto"/>
        <w:jc w:val="both"/>
        <w:rPr>
          <w:rFonts w:eastAsia="Batang"/>
          <w:szCs w:val="24"/>
          <w:lang w:val="en-CA"/>
        </w:rPr>
      </w:pPr>
      <w:r w:rsidRPr="0060119B">
        <w:rPr>
          <w:rFonts w:eastAsia="Batang"/>
          <w:b/>
          <w:color w:val="1F497D" w:themeColor="text2"/>
          <w:szCs w:val="24"/>
          <w:lang w:val="en-CA"/>
        </w:rPr>
        <w:t xml:space="preserve">The degree of </w:t>
      </w:r>
      <w:r w:rsidR="00A97AAA" w:rsidRPr="0060119B">
        <w:rPr>
          <w:rFonts w:eastAsia="Batang"/>
          <w:b/>
          <w:color w:val="1F497D" w:themeColor="text2"/>
          <w:szCs w:val="24"/>
          <w:lang w:val="en-CA"/>
        </w:rPr>
        <w:t>confidentiality</w:t>
      </w:r>
      <w:r w:rsidRPr="0060119B">
        <w:rPr>
          <w:rFonts w:eastAsia="Batang"/>
          <w:b/>
          <w:color w:val="1F497D" w:themeColor="text2"/>
          <w:szCs w:val="24"/>
          <w:lang w:val="en-CA"/>
        </w:rPr>
        <w:t xml:space="preserve"> </w:t>
      </w:r>
      <w:r w:rsidRPr="0060119B">
        <w:rPr>
          <w:b/>
          <w:color w:val="1F497D" w:themeColor="text2"/>
          <w:szCs w:val="24"/>
        </w:rPr>
        <w:t>vis-à-vis the central bank needs to be balanced</w:t>
      </w:r>
      <w:r w:rsidRPr="00FE447A">
        <w:rPr>
          <w:color w:val="000000" w:themeColor="text1"/>
          <w:szCs w:val="24"/>
        </w:rPr>
        <w:t xml:space="preserve"> among other things with concerns relating to compliance with, for example, anti-money laundering, anti-terrorist financing etc. As per the note of oversight above</w:t>
      </w:r>
      <w:r w:rsidR="00246D9C">
        <w:rPr>
          <w:color w:val="000000" w:themeColor="text1"/>
          <w:szCs w:val="24"/>
        </w:rPr>
        <w:t>,</w:t>
      </w:r>
      <w:r w:rsidRPr="00FE447A">
        <w:rPr>
          <w:color w:val="000000" w:themeColor="text1"/>
          <w:szCs w:val="24"/>
        </w:rPr>
        <w:t xml:space="preserve"> the reference architecture will need to address the differing privacy regimes across jurisdictions.</w:t>
      </w:r>
    </w:p>
    <w:p w14:paraId="3A987F74" w14:textId="77777777" w:rsidR="00FE447A" w:rsidRPr="00FE447A" w:rsidRDefault="00FE447A" w:rsidP="00E9795F">
      <w:pPr>
        <w:pStyle w:val="Heading2"/>
        <w:tabs>
          <w:tab w:val="clear" w:pos="3978"/>
          <w:tab w:val="num" w:pos="284"/>
        </w:tabs>
        <w:spacing w:before="0" w:after="120" w:line="264" w:lineRule="auto"/>
        <w:ind w:left="426" w:hanging="426"/>
        <w:jc w:val="both"/>
        <w:rPr>
          <w:rFonts w:cs="Times New Roman"/>
          <w:szCs w:val="24"/>
        </w:rPr>
      </w:pPr>
      <w:bookmarkStart w:id="57" w:name="_Toc14190286"/>
      <w:r w:rsidRPr="00FE447A">
        <w:rPr>
          <w:rFonts w:cs="Times New Roman"/>
          <w:szCs w:val="24"/>
        </w:rPr>
        <w:t>Transparency</w:t>
      </w:r>
      <w:bookmarkEnd w:id="57"/>
    </w:p>
    <w:p w14:paraId="5310F308" w14:textId="5266245F" w:rsidR="00FE447A" w:rsidRPr="00FE447A" w:rsidRDefault="00FE447A" w:rsidP="00E9795F">
      <w:pPr>
        <w:spacing w:before="0" w:after="120" w:line="264" w:lineRule="auto"/>
        <w:jc w:val="both"/>
        <w:rPr>
          <w:rFonts w:eastAsia="Batang"/>
          <w:szCs w:val="24"/>
          <w:lang w:val="en-CA"/>
        </w:rPr>
      </w:pPr>
      <w:r w:rsidRPr="0060119B">
        <w:rPr>
          <w:rFonts w:eastAsia="Batang"/>
          <w:b/>
          <w:color w:val="1F497D" w:themeColor="text2"/>
          <w:szCs w:val="24"/>
          <w:lang w:val="en-CA"/>
        </w:rPr>
        <w:t>There is a lack of transparency in the current cross-border system</w:t>
      </w:r>
      <w:r w:rsidRPr="00FE447A">
        <w:rPr>
          <w:rFonts w:eastAsia="Batang"/>
          <w:szCs w:val="24"/>
          <w:lang w:val="en-CA"/>
        </w:rPr>
        <w:t xml:space="preserve"> in terms of</w:t>
      </w:r>
      <w:r w:rsidR="00346881">
        <w:rPr>
          <w:rFonts w:eastAsia="Batang"/>
          <w:szCs w:val="24"/>
          <w:lang w:val="en-CA"/>
        </w:rPr>
        <w:t xml:space="preserve"> f</w:t>
      </w:r>
      <w:r w:rsidRPr="0060119B">
        <w:rPr>
          <w:rFonts w:eastAsia="Batang"/>
          <w:szCs w:val="24"/>
          <w:lang w:val="en-CA"/>
        </w:rPr>
        <w:t>ees charged by the correspondent banks in the payment process</w:t>
      </w:r>
      <w:r w:rsidR="00346881">
        <w:rPr>
          <w:rFonts w:eastAsia="Batang"/>
          <w:szCs w:val="24"/>
          <w:lang w:val="en-CA"/>
        </w:rPr>
        <w:t>, the t</w:t>
      </w:r>
      <w:r w:rsidRPr="0060119B">
        <w:rPr>
          <w:rFonts w:eastAsia="Batang"/>
          <w:szCs w:val="24"/>
          <w:lang w:val="en-CA"/>
        </w:rPr>
        <w:t>ime it takes for the payment to settle</w:t>
      </w:r>
      <w:r w:rsidR="00346881">
        <w:rPr>
          <w:rFonts w:eastAsia="Batang"/>
          <w:szCs w:val="24"/>
          <w:lang w:val="en-CA"/>
        </w:rPr>
        <w:t>, and w</w:t>
      </w:r>
      <w:r w:rsidRPr="0060119B">
        <w:rPr>
          <w:rFonts w:eastAsia="Batang"/>
          <w:szCs w:val="24"/>
          <w:lang w:val="en-CA"/>
        </w:rPr>
        <w:t>here in the process a transaction currently</w:t>
      </w:r>
      <w:r w:rsidR="00A31997">
        <w:rPr>
          <w:rFonts w:eastAsia="Batang"/>
          <w:szCs w:val="24"/>
          <w:lang w:val="en-CA"/>
        </w:rPr>
        <w:t xml:space="preserve"> sits</w:t>
      </w:r>
      <w:r w:rsidR="00346881">
        <w:rPr>
          <w:rFonts w:eastAsia="Batang"/>
          <w:szCs w:val="24"/>
          <w:lang w:val="en-CA"/>
        </w:rPr>
        <w:t xml:space="preserve">. </w:t>
      </w:r>
      <w:r w:rsidRPr="00FE447A">
        <w:rPr>
          <w:rFonts w:eastAsia="Batang"/>
          <w:szCs w:val="24"/>
          <w:lang w:val="en-CA"/>
        </w:rPr>
        <w:t>The reference architecture will need to describe mechanisms to balance privacy, transparency and compliance in a manner flexible enough across the needs of different jurisdictions.</w:t>
      </w:r>
    </w:p>
    <w:p w14:paraId="4C486308" w14:textId="77777777" w:rsidR="00FE447A" w:rsidRPr="00FE447A" w:rsidRDefault="00FE447A" w:rsidP="00E9795F">
      <w:pPr>
        <w:pStyle w:val="Heading2"/>
        <w:tabs>
          <w:tab w:val="clear" w:pos="3978"/>
          <w:tab w:val="num" w:pos="284"/>
        </w:tabs>
        <w:spacing w:before="0" w:after="120" w:line="264" w:lineRule="auto"/>
        <w:ind w:left="426" w:hanging="426"/>
        <w:jc w:val="both"/>
        <w:rPr>
          <w:rFonts w:cs="Times New Roman"/>
          <w:szCs w:val="24"/>
        </w:rPr>
      </w:pPr>
      <w:bookmarkStart w:id="58" w:name="_Toc14190287"/>
      <w:r w:rsidRPr="00FE447A">
        <w:rPr>
          <w:rFonts w:cs="Times New Roman"/>
          <w:szCs w:val="24"/>
        </w:rPr>
        <w:t>Access</w:t>
      </w:r>
      <w:bookmarkEnd w:id="58"/>
    </w:p>
    <w:p w14:paraId="324D8D84" w14:textId="79750A65" w:rsidR="00346881" w:rsidRDefault="00346881" w:rsidP="00E9795F">
      <w:pPr>
        <w:spacing w:before="0" w:after="120" w:line="264" w:lineRule="auto"/>
        <w:jc w:val="both"/>
        <w:rPr>
          <w:color w:val="000000" w:themeColor="text1"/>
          <w:szCs w:val="24"/>
        </w:rPr>
      </w:pPr>
      <w:r w:rsidRPr="00346881">
        <w:rPr>
          <w:rFonts w:eastAsia="Batang"/>
          <w:b/>
          <w:color w:val="1F497D" w:themeColor="text2"/>
          <w:szCs w:val="24"/>
          <w:lang w:val="en-CA"/>
        </w:rPr>
        <w:t>CBDC reference architecture should ensure</w:t>
      </w:r>
      <w:r w:rsidR="00A31997">
        <w:rPr>
          <w:rFonts w:eastAsia="Batang"/>
          <w:b/>
          <w:color w:val="1F497D" w:themeColor="text2"/>
          <w:szCs w:val="24"/>
          <w:lang w:val="en-CA"/>
        </w:rPr>
        <w:t xml:space="preserve"> broad access</w:t>
      </w:r>
      <w:r w:rsidRPr="00346881">
        <w:rPr>
          <w:rFonts w:eastAsia="Batang"/>
          <w:b/>
          <w:color w:val="1F497D" w:themeColor="text2"/>
          <w:szCs w:val="24"/>
          <w:lang w:val="en-CA"/>
        </w:rPr>
        <w:t xml:space="preserve"> to the wide range of domestic and foreign entities to enable effective cross-border payments.</w:t>
      </w:r>
      <w:r>
        <w:rPr>
          <w:rFonts w:eastAsia="Batang"/>
          <w:b/>
          <w:color w:val="1F497D" w:themeColor="text2"/>
          <w:szCs w:val="24"/>
          <w:lang w:val="en-CA"/>
        </w:rPr>
        <w:t xml:space="preserve"> </w:t>
      </w:r>
      <w:r w:rsidRPr="0060119B">
        <w:rPr>
          <w:rFonts w:eastAsia="Batang"/>
          <w:color w:val="000000" w:themeColor="text1"/>
          <w:szCs w:val="24"/>
          <w:lang w:val="en-CA"/>
        </w:rPr>
        <w:t>However, t</w:t>
      </w:r>
      <w:r w:rsidR="00FE447A" w:rsidRPr="0060119B">
        <w:rPr>
          <w:rFonts w:eastAsia="Batang"/>
          <w:color w:val="000000" w:themeColor="text1"/>
          <w:szCs w:val="24"/>
          <w:lang w:val="en-CA"/>
        </w:rPr>
        <w:t>oday, the range of eligible institutions with access to central bank money and access to RTGS settlements accounts varies somewhat across jurisdictions, but eligibility is limited and the bar to access is high.</w:t>
      </w:r>
      <w:r w:rsidRPr="0060119B">
        <w:rPr>
          <w:b/>
          <w:color w:val="000000" w:themeColor="text1"/>
          <w:szCs w:val="24"/>
        </w:rPr>
        <w:t xml:space="preserve"> </w:t>
      </w:r>
      <w:r w:rsidR="00FE447A" w:rsidRPr="00346881">
        <w:rPr>
          <w:color w:val="000000" w:themeColor="text1"/>
          <w:szCs w:val="24"/>
        </w:rPr>
        <w:t xml:space="preserve">In addition, there are regulatory requirements for </w:t>
      </w:r>
      <w:r w:rsidR="00A97AAA" w:rsidRPr="00346881">
        <w:rPr>
          <w:color w:val="000000" w:themeColor="text1"/>
          <w:szCs w:val="24"/>
        </w:rPr>
        <w:t>all payment system participants</w:t>
      </w:r>
      <w:r w:rsidR="00FE447A" w:rsidRPr="00346881">
        <w:rPr>
          <w:color w:val="000000" w:themeColor="text1"/>
          <w:szCs w:val="24"/>
        </w:rPr>
        <w:t xml:space="preserve"> to comply with counter terrorism financing, prevention of money laundering and international sanctions regimes</w:t>
      </w:r>
      <w:r w:rsidR="00FE447A" w:rsidRPr="00FE447A">
        <w:rPr>
          <w:color w:val="000000" w:themeColor="text1"/>
          <w:szCs w:val="24"/>
        </w:rPr>
        <w:t xml:space="preserve">. Often these regulatory standards differ across jurisdictions or may be supplemented by additional requirements such as currency controls. </w:t>
      </w:r>
    </w:p>
    <w:p w14:paraId="089E25E9" w14:textId="7B13AAA8" w:rsidR="00FE447A" w:rsidRPr="002E5911" w:rsidRDefault="00FE447A" w:rsidP="00E9795F">
      <w:pPr>
        <w:spacing w:before="0" w:after="120" w:line="264" w:lineRule="auto"/>
        <w:jc w:val="both"/>
        <w:rPr>
          <w:color w:val="000000" w:themeColor="text1"/>
          <w:szCs w:val="24"/>
        </w:rPr>
      </w:pPr>
      <w:r w:rsidRPr="0060119B">
        <w:rPr>
          <w:b/>
          <w:color w:val="1F497D" w:themeColor="text2"/>
          <w:szCs w:val="24"/>
        </w:rPr>
        <w:t xml:space="preserve">Combining technical </w:t>
      </w:r>
      <w:r w:rsidR="00246D9C">
        <w:rPr>
          <w:b/>
          <w:color w:val="1F497D" w:themeColor="text2"/>
          <w:szCs w:val="24"/>
        </w:rPr>
        <w:t>requirements</w:t>
      </w:r>
      <w:r w:rsidR="00246D9C" w:rsidRPr="0060119B">
        <w:rPr>
          <w:b/>
          <w:color w:val="1F497D" w:themeColor="text2"/>
          <w:szCs w:val="24"/>
        </w:rPr>
        <w:t xml:space="preserve"> </w:t>
      </w:r>
      <w:r w:rsidRPr="0060119B">
        <w:rPr>
          <w:b/>
          <w:color w:val="1F497D" w:themeColor="text2"/>
          <w:szCs w:val="24"/>
        </w:rPr>
        <w:t>with different regulatory standards across jurisdictions further complicates a particular institution having access to settlement accounts in different countries simultaneously</w:t>
      </w:r>
      <w:r w:rsidRPr="00FE447A">
        <w:rPr>
          <w:color w:val="000000" w:themeColor="text1"/>
          <w:szCs w:val="24"/>
        </w:rPr>
        <w:t xml:space="preserve">. Consequently, few banks are willing to maintain a global network of settlement accounts in multiple jurisdictions. </w:t>
      </w:r>
    </w:p>
    <w:p w14:paraId="362111D2" w14:textId="77777777" w:rsidR="00FE447A" w:rsidRPr="00FE447A" w:rsidRDefault="00FE447A" w:rsidP="00E9795F">
      <w:pPr>
        <w:pStyle w:val="Heading2"/>
        <w:tabs>
          <w:tab w:val="clear" w:pos="3978"/>
          <w:tab w:val="num" w:pos="426"/>
        </w:tabs>
        <w:spacing w:before="0" w:after="120" w:line="264" w:lineRule="auto"/>
        <w:ind w:left="426" w:hanging="426"/>
        <w:jc w:val="both"/>
        <w:rPr>
          <w:rFonts w:cs="Times New Roman"/>
          <w:szCs w:val="24"/>
        </w:rPr>
      </w:pPr>
      <w:r w:rsidRPr="00FE447A">
        <w:rPr>
          <w:rFonts w:cs="Times New Roman"/>
          <w:szCs w:val="24"/>
        </w:rPr>
        <w:t xml:space="preserve"> </w:t>
      </w:r>
      <w:bookmarkStart w:id="59" w:name="_Toc14190288"/>
      <w:r w:rsidRPr="00FE447A">
        <w:rPr>
          <w:rFonts w:cs="Times New Roman"/>
          <w:szCs w:val="24"/>
        </w:rPr>
        <w:t>Speed</w:t>
      </w:r>
      <w:bookmarkEnd w:id="59"/>
    </w:p>
    <w:p w14:paraId="2DB56547" w14:textId="338B507F" w:rsidR="00FE447A" w:rsidRPr="00FE447A" w:rsidRDefault="00346881" w:rsidP="00E9795F">
      <w:pPr>
        <w:spacing w:before="0" w:after="120" w:line="264" w:lineRule="auto"/>
        <w:jc w:val="both"/>
        <w:rPr>
          <w:rFonts w:eastAsia="Batang"/>
          <w:szCs w:val="24"/>
          <w:lang w:val="en-CA"/>
        </w:rPr>
      </w:pPr>
      <w:r w:rsidRPr="0060119B">
        <w:rPr>
          <w:rFonts w:eastAsia="Batang"/>
          <w:b/>
          <w:color w:val="1F497D" w:themeColor="text2"/>
          <w:szCs w:val="24"/>
          <w:lang w:val="en-CA"/>
        </w:rPr>
        <w:t>The reference architecture should aim for real-time or near real-time settlement of the cross-border payment transaction</w:t>
      </w:r>
      <w:r w:rsidRPr="00346881">
        <w:rPr>
          <w:rFonts w:eastAsia="Batang"/>
          <w:szCs w:val="24"/>
          <w:lang w:val="en-CA"/>
        </w:rPr>
        <w:t>.</w:t>
      </w:r>
      <w:r>
        <w:rPr>
          <w:rFonts w:eastAsia="Batang"/>
          <w:szCs w:val="24"/>
          <w:lang w:val="en-CA"/>
        </w:rPr>
        <w:t xml:space="preserve"> In that regard, the</w:t>
      </w:r>
      <w:r w:rsidR="00FE447A" w:rsidRPr="00FE447A">
        <w:rPr>
          <w:rFonts w:eastAsia="Batang"/>
          <w:szCs w:val="24"/>
          <w:lang w:val="en-CA"/>
        </w:rPr>
        <w:t xml:space="preserve"> CBDC objective is to ensure cross-border payment velocity and</w:t>
      </w:r>
      <w:r w:rsidR="00123B07">
        <w:rPr>
          <w:rFonts w:eastAsia="Batang"/>
          <w:szCs w:val="24"/>
          <w:lang w:val="en-CA"/>
        </w:rPr>
        <w:t xml:space="preserve">, therefore, that </w:t>
      </w:r>
      <w:r w:rsidR="00FE447A" w:rsidRPr="00FE447A">
        <w:rPr>
          <w:rFonts w:eastAsia="Batang"/>
          <w:szCs w:val="24"/>
          <w:lang w:val="en-CA"/>
        </w:rPr>
        <w:t xml:space="preserve"> funds can be credited to the beneficiary</w:t>
      </w:r>
      <w:r w:rsidR="00123B07">
        <w:rPr>
          <w:rFonts w:eastAsia="Batang"/>
          <w:szCs w:val="24"/>
          <w:lang w:val="en-CA"/>
        </w:rPr>
        <w:t xml:space="preserve"> quickly</w:t>
      </w:r>
      <w:r w:rsidR="00FE447A" w:rsidRPr="00FE447A">
        <w:rPr>
          <w:rFonts w:eastAsia="Batang"/>
          <w:szCs w:val="24"/>
          <w:lang w:val="en-CA"/>
        </w:rPr>
        <w:t xml:space="preserve">. </w:t>
      </w:r>
    </w:p>
    <w:p w14:paraId="22FB3348" w14:textId="77777777" w:rsidR="00FE447A" w:rsidRPr="00FE447A" w:rsidRDefault="00FE447A" w:rsidP="00E9795F">
      <w:pPr>
        <w:pStyle w:val="Heading2"/>
        <w:tabs>
          <w:tab w:val="clear" w:pos="3978"/>
          <w:tab w:val="num" w:pos="284"/>
        </w:tabs>
        <w:spacing w:before="0" w:after="120" w:line="264" w:lineRule="auto"/>
        <w:ind w:left="426" w:hanging="426"/>
        <w:jc w:val="both"/>
        <w:rPr>
          <w:rFonts w:eastAsia="Batang" w:cs="Times New Roman"/>
          <w:iCs w:val="0"/>
          <w:szCs w:val="24"/>
          <w:lang w:val="en-CA"/>
        </w:rPr>
      </w:pPr>
      <w:r w:rsidRPr="00FE447A">
        <w:rPr>
          <w:rFonts w:cs="Times New Roman"/>
          <w:szCs w:val="24"/>
        </w:rPr>
        <w:t xml:space="preserve"> </w:t>
      </w:r>
      <w:bookmarkStart w:id="60" w:name="_Toc14190289"/>
      <w:r w:rsidRPr="00FE447A">
        <w:rPr>
          <w:rFonts w:cs="Times New Roman"/>
          <w:szCs w:val="24"/>
        </w:rPr>
        <w:t>Cost</w:t>
      </w:r>
      <w:bookmarkEnd w:id="60"/>
    </w:p>
    <w:p w14:paraId="6865694A" w14:textId="4EF423BF" w:rsidR="00FE447A" w:rsidRPr="00FE447A" w:rsidRDefault="00346881" w:rsidP="00E9795F">
      <w:pPr>
        <w:spacing w:before="0" w:after="120" w:line="264" w:lineRule="auto"/>
        <w:jc w:val="both"/>
        <w:rPr>
          <w:rFonts w:eastAsia="Batang"/>
          <w:szCs w:val="24"/>
          <w:lang w:val="en-CA"/>
        </w:rPr>
      </w:pPr>
      <w:r w:rsidRPr="0060119B">
        <w:rPr>
          <w:rFonts w:eastAsia="Batang"/>
          <w:b/>
          <w:color w:val="1F497D" w:themeColor="text2"/>
          <w:szCs w:val="24"/>
          <w:lang w:val="en-CA"/>
        </w:rPr>
        <w:t>CBDC reference architecture should aim to enable cross-border payment process optimization to reduce the overall cost to the consumer</w:t>
      </w:r>
      <w:r w:rsidRPr="00346881">
        <w:rPr>
          <w:rFonts w:eastAsia="Batang"/>
          <w:szCs w:val="24"/>
          <w:lang w:val="en-CA"/>
        </w:rPr>
        <w:t xml:space="preserve">. </w:t>
      </w:r>
      <w:r w:rsidR="00FE447A" w:rsidRPr="00FE447A">
        <w:rPr>
          <w:rFonts w:eastAsia="Batang"/>
          <w:szCs w:val="24"/>
          <w:lang w:val="en-CA"/>
        </w:rPr>
        <w:t>Today, cross-border payments are typically perceived as expensive (compared to domestic payments) and lacking in transparency in terms of costs. This is primarily due to complexity of cross-border payment and settlement process</w:t>
      </w:r>
      <w:r w:rsidR="005409CF">
        <w:rPr>
          <w:rFonts w:eastAsia="Batang"/>
          <w:szCs w:val="24"/>
          <w:lang w:val="en-CA"/>
        </w:rPr>
        <w:t xml:space="preserve">es </w:t>
      </w:r>
      <w:r w:rsidR="00FE447A" w:rsidRPr="00FE447A">
        <w:rPr>
          <w:color w:val="000000" w:themeColor="text1"/>
          <w:szCs w:val="24"/>
        </w:rPr>
        <w:t>involv</w:t>
      </w:r>
      <w:r w:rsidR="005409CF">
        <w:rPr>
          <w:color w:val="000000" w:themeColor="text1"/>
          <w:szCs w:val="24"/>
        </w:rPr>
        <w:t xml:space="preserve">ing </w:t>
      </w:r>
      <w:r w:rsidR="00FE447A" w:rsidRPr="00FE447A">
        <w:rPr>
          <w:color w:val="000000" w:themeColor="text1"/>
          <w:szCs w:val="24"/>
        </w:rPr>
        <w:t>multiple entities in execution and settlement, differences in regulatory policies and standards across jurisdictions, and the use of legacy systems and infrastructure.</w:t>
      </w:r>
    </w:p>
    <w:p w14:paraId="15852157" w14:textId="070C4715" w:rsidR="00FE447A" w:rsidRDefault="00217A0F" w:rsidP="00FE447A">
      <w:pPr>
        <w:pStyle w:val="Heading1"/>
        <w:rPr>
          <w:lang w:val="en-CA"/>
        </w:rPr>
      </w:pPr>
      <w:bookmarkStart w:id="61" w:name="_Toc14190290"/>
      <w:r>
        <w:t>Cross-Border</w:t>
      </w:r>
      <w:r w:rsidR="00FE447A">
        <w:t xml:space="preserve"> CBDC </w:t>
      </w:r>
      <w:r w:rsidR="00FE447A" w:rsidRPr="00FE447A">
        <w:t>Architecture</w:t>
      </w:r>
      <w:r w:rsidR="00FE447A">
        <w:rPr>
          <w:lang w:val="en-CA"/>
        </w:rPr>
        <w:t xml:space="preserve"> Options</w:t>
      </w:r>
      <w:bookmarkEnd w:id="61"/>
    </w:p>
    <w:p w14:paraId="2CBADFEE" w14:textId="38E6C9B6" w:rsidR="00FE447A" w:rsidRDefault="00FE447A" w:rsidP="0060119B">
      <w:pPr>
        <w:spacing w:after="120" w:line="264" w:lineRule="auto"/>
        <w:rPr>
          <w:rFonts w:eastAsia="Batang"/>
          <w:lang w:val="en-CA"/>
        </w:rPr>
      </w:pPr>
      <w:r w:rsidRPr="00346881">
        <w:rPr>
          <w:rFonts w:eastAsia="Batang"/>
          <w:b/>
          <w:color w:val="1F497D" w:themeColor="text2"/>
          <w:lang w:val="en-CA"/>
        </w:rPr>
        <w:t xml:space="preserve">The two main high-level architecture options </w:t>
      </w:r>
      <w:r w:rsidR="005409CF">
        <w:rPr>
          <w:rFonts w:eastAsia="Batang"/>
          <w:b/>
          <w:color w:val="1F497D" w:themeColor="text2"/>
          <w:lang w:val="en-CA"/>
        </w:rPr>
        <w:t xml:space="preserve">for </w:t>
      </w:r>
      <w:r w:rsidR="00217A0F">
        <w:rPr>
          <w:rFonts w:eastAsia="Batang"/>
          <w:b/>
          <w:color w:val="1F497D" w:themeColor="text2"/>
          <w:lang w:val="en-CA"/>
        </w:rPr>
        <w:t>Cross-Border</w:t>
      </w:r>
      <w:r w:rsidRPr="00346881">
        <w:rPr>
          <w:rFonts w:eastAsia="Batang"/>
          <w:b/>
          <w:color w:val="1F497D" w:themeColor="text2"/>
          <w:lang w:val="en-CA"/>
        </w:rPr>
        <w:t xml:space="preserve"> </w:t>
      </w:r>
      <w:r w:rsidR="00346881" w:rsidRPr="00346881">
        <w:rPr>
          <w:rFonts w:eastAsia="Batang"/>
          <w:b/>
          <w:color w:val="1F497D" w:themeColor="text2"/>
          <w:szCs w:val="24"/>
          <w:lang w:val="en-CA"/>
        </w:rPr>
        <w:t>are i</w:t>
      </w:r>
      <w:r w:rsidRPr="0060119B">
        <w:rPr>
          <w:rFonts w:eastAsia="Batang"/>
          <w:b/>
          <w:color w:val="1F497D" w:themeColor="text2"/>
          <w:szCs w:val="24"/>
          <w:lang w:val="en-CA"/>
        </w:rPr>
        <w:t>nteroperable domestic CBDCs</w:t>
      </w:r>
      <w:r w:rsidR="00346881" w:rsidRPr="00346881">
        <w:rPr>
          <w:rFonts w:eastAsia="Batang"/>
          <w:b/>
          <w:color w:val="1F497D" w:themeColor="text2"/>
          <w:szCs w:val="24"/>
          <w:lang w:val="en-CA"/>
        </w:rPr>
        <w:t xml:space="preserve"> and </w:t>
      </w:r>
      <w:r w:rsidR="005409CF">
        <w:rPr>
          <w:rFonts w:eastAsia="Batang"/>
          <w:b/>
          <w:color w:val="1F497D" w:themeColor="text2"/>
          <w:szCs w:val="24"/>
          <w:lang w:val="en-CA"/>
        </w:rPr>
        <w:t xml:space="preserve">a </w:t>
      </w:r>
      <w:r w:rsidR="00346881" w:rsidRPr="00346881">
        <w:rPr>
          <w:rFonts w:eastAsia="Batang"/>
          <w:b/>
          <w:color w:val="1F497D" w:themeColor="text2"/>
          <w:szCs w:val="24"/>
          <w:lang w:val="en-CA"/>
        </w:rPr>
        <w:t>u</w:t>
      </w:r>
      <w:r w:rsidRPr="0060119B">
        <w:rPr>
          <w:rFonts w:eastAsia="Batang"/>
          <w:b/>
          <w:color w:val="1F497D" w:themeColor="text2"/>
          <w:szCs w:val="24"/>
          <w:lang w:val="en-CA"/>
        </w:rPr>
        <w:t>niversal CBDC</w:t>
      </w:r>
      <w:r w:rsidR="00346881">
        <w:rPr>
          <w:rFonts w:eastAsia="Batang"/>
          <w:szCs w:val="24"/>
          <w:lang w:val="en-CA"/>
        </w:rPr>
        <w:t>.</w:t>
      </w:r>
    </w:p>
    <w:p w14:paraId="182D6FC6" w14:textId="2DEEC785" w:rsidR="00FE447A" w:rsidRPr="00FE447A" w:rsidRDefault="00FE447A" w:rsidP="00FE447A">
      <w:pPr>
        <w:pStyle w:val="Heading2"/>
        <w:tabs>
          <w:tab w:val="clear" w:pos="3978"/>
          <w:tab w:val="num" w:pos="284"/>
        </w:tabs>
        <w:ind w:left="284" w:hanging="284"/>
        <w:rPr>
          <w:rFonts w:eastAsia="Batang"/>
          <w:iCs w:val="0"/>
          <w:lang w:val="en-CA"/>
        </w:rPr>
      </w:pPr>
      <w:bookmarkStart w:id="62" w:name="_Toc14190291"/>
      <w:r w:rsidRPr="00FE447A">
        <w:rPr>
          <w:rFonts w:eastAsia="Batang"/>
          <w:iCs w:val="0"/>
          <w:lang w:val="en-CA"/>
        </w:rPr>
        <w:t>Interoperable Domestic CBDCs</w:t>
      </w:r>
      <w:bookmarkEnd w:id="62"/>
    </w:p>
    <w:p w14:paraId="2225CF41" w14:textId="4737AA2D" w:rsidR="00FE447A" w:rsidRDefault="00FE447A" w:rsidP="00346881">
      <w:pPr>
        <w:spacing w:after="120" w:line="264" w:lineRule="auto"/>
        <w:rPr>
          <w:rFonts w:eastAsia="Batang"/>
          <w:lang w:val="en-CA"/>
        </w:rPr>
      </w:pPr>
      <w:r w:rsidRPr="0060119B">
        <w:rPr>
          <w:rFonts w:eastAsia="Batang"/>
          <w:b/>
          <w:color w:val="1F497D" w:themeColor="text2"/>
          <w:lang w:val="en-CA"/>
        </w:rPr>
        <w:t>There are many architecture options available for a domestic CBDC</w:t>
      </w:r>
      <w:r w:rsidR="005409CF">
        <w:rPr>
          <w:rFonts w:eastAsia="Batang"/>
          <w:b/>
          <w:color w:val="1F497D" w:themeColor="text2"/>
          <w:lang w:val="en-CA"/>
        </w:rPr>
        <w:t>:</w:t>
      </w:r>
      <w:r w:rsidRPr="0060119B">
        <w:rPr>
          <w:rFonts w:eastAsia="Batang"/>
          <w:b/>
          <w:color w:val="1F497D" w:themeColor="text2"/>
          <w:lang w:val="en-CA"/>
        </w:rPr>
        <w:t xml:space="preserve"> </w:t>
      </w:r>
      <w:r w:rsidRPr="00C106AC">
        <w:rPr>
          <w:rFonts w:eastAsia="Batang"/>
          <w:lang w:val="en-CA"/>
        </w:rPr>
        <w:t>centralized solution</w:t>
      </w:r>
      <w:r w:rsidR="00346881" w:rsidRPr="00C106AC">
        <w:rPr>
          <w:rFonts w:eastAsia="Batang"/>
          <w:lang w:val="en-CA"/>
        </w:rPr>
        <w:t>s</w:t>
      </w:r>
      <w:r>
        <w:rPr>
          <w:rFonts w:eastAsia="Batang"/>
          <w:lang w:val="en-CA"/>
        </w:rPr>
        <w:t xml:space="preserve">, </w:t>
      </w:r>
      <w:r w:rsidR="00874EA6">
        <w:rPr>
          <w:rFonts w:eastAsia="Batang"/>
          <w:lang w:val="en-CA"/>
        </w:rPr>
        <w:t xml:space="preserve">DLT-based </w:t>
      </w:r>
      <w:r>
        <w:rPr>
          <w:rFonts w:eastAsia="Batang"/>
          <w:lang w:val="en-CA"/>
        </w:rPr>
        <w:t>decentralized solution</w:t>
      </w:r>
      <w:r w:rsidR="00874EA6">
        <w:rPr>
          <w:rFonts w:eastAsia="Batang"/>
          <w:lang w:val="en-CA"/>
        </w:rPr>
        <w:t>s</w:t>
      </w:r>
      <w:r>
        <w:rPr>
          <w:rFonts w:eastAsia="Batang"/>
          <w:lang w:val="en-CA"/>
        </w:rPr>
        <w:t xml:space="preserve"> </w:t>
      </w:r>
      <w:r w:rsidR="00874EA6">
        <w:rPr>
          <w:rFonts w:eastAsia="Batang"/>
          <w:lang w:val="en-CA"/>
        </w:rPr>
        <w:t>and</w:t>
      </w:r>
      <w:r>
        <w:rPr>
          <w:rFonts w:eastAsia="Batang"/>
          <w:lang w:val="en-CA"/>
        </w:rPr>
        <w:t xml:space="preserve"> hybrid solution</w:t>
      </w:r>
      <w:r w:rsidR="00874EA6">
        <w:rPr>
          <w:rFonts w:eastAsia="Batang"/>
          <w:lang w:val="en-CA"/>
        </w:rPr>
        <w:t>s</w:t>
      </w:r>
      <w:r>
        <w:rPr>
          <w:rFonts w:eastAsia="Batang"/>
          <w:lang w:val="en-CA"/>
        </w:rPr>
        <w:t xml:space="preserve"> consisting of some central components in a DLT</w:t>
      </w:r>
      <w:r w:rsidR="00874EA6">
        <w:rPr>
          <w:rFonts w:eastAsia="Batang"/>
          <w:lang w:val="en-CA"/>
        </w:rPr>
        <w:t>-</w:t>
      </w:r>
      <w:r>
        <w:rPr>
          <w:rFonts w:eastAsia="Batang"/>
          <w:lang w:val="en-CA"/>
        </w:rPr>
        <w:t xml:space="preserve">based solution. These domestic CBDC solutions </w:t>
      </w:r>
      <w:r w:rsidR="005409CF">
        <w:rPr>
          <w:rFonts w:eastAsia="Batang"/>
          <w:lang w:val="en-CA"/>
        </w:rPr>
        <w:t>must be</w:t>
      </w:r>
      <w:r>
        <w:rPr>
          <w:rFonts w:eastAsia="Batang"/>
          <w:lang w:val="en-CA"/>
        </w:rPr>
        <w:t xml:space="preserve"> efficient</w:t>
      </w:r>
      <w:r w:rsidR="005409CF">
        <w:rPr>
          <w:rFonts w:eastAsia="Batang"/>
          <w:lang w:val="en-CA"/>
        </w:rPr>
        <w:t>ly</w:t>
      </w:r>
      <w:r>
        <w:rPr>
          <w:rFonts w:eastAsia="Batang"/>
          <w:lang w:val="en-CA"/>
        </w:rPr>
        <w:t xml:space="preserve"> interoperab</w:t>
      </w:r>
      <w:r w:rsidR="005409CF">
        <w:rPr>
          <w:rFonts w:eastAsia="Batang"/>
          <w:lang w:val="en-CA"/>
        </w:rPr>
        <w:t>le</w:t>
      </w:r>
      <w:r>
        <w:rPr>
          <w:rFonts w:eastAsia="Batang"/>
          <w:lang w:val="en-CA"/>
        </w:rPr>
        <w:t xml:space="preserve"> to </w:t>
      </w:r>
      <w:r w:rsidR="005409CF">
        <w:rPr>
          <w:rFonts w:eastAsia="Batang"/>
          <w:lang w:val="en-CA"/>
        </w:rPr>
        <w:t xml:space="preserve">best </w:t>
      </w:r>
      <w:r>
        <w:rPr>
          <w:rFonts w:eastAsia="Batang"/>
          <w:lang w:val="en-CA"/>
        </w:rPr>
        <w:t>support cross-border payment transactions.</w:t>
      </w:r>
    </w:p>
    <w:p w14:paraId="1F8CBFAA" w14:textId="6D25DE11" w:rsidR="00FE447A" w:rsidRDefault="004C06AB" w:rsidP="00346881">
      <w:pPr>
        <w:spacing w:after="120" w:line="264" w:lineRule="auto"/>
        <w:rPr>
          <w:rFonts w:eastAsia="Batang"/>
          <w:lang w:val="en-CA"/>
        </w:rPr>
      </w:pPr>
      <w:r>
        <w:rPr>
          <w:rFonts w:eastAsia="Batang"/>
          <w:b/>
          <w:color w:val="1F497D" w:themeColor="text2"/>
          <w:lang w:val="en-CA"/>
        </w:rPr>
        <w:t>BoC et al., 2018</w:t>
      </w:r>
      <w:r w:rsidR="00FE447A" w:rsidRPr="0060119B">
        <w:rPr>
          <w:rFonts w:eastAsia="Batang"/>
          <w:b/>
          <w:color w:val="1F497D" w:themeColor="text2"/>
          <w:lang w:val="en-CA"/>
        </w:rPr>
        <w:t xml:space="preserve"> proposed three broad conceptual design options for cross-border payments</w:t>
      </w:r>
      <w:r w:rsidR="00FE447A">
        <w:rPr>
          <w:rFonts w:eastAsia="Batang"/>
          <w:lang w:val="en-CA"/>
        </w:rPr>
        <w:t xml:space="preserve">. The first option involves </w:t>
      </w:r>
      <w:r w:rsidR="00125179">
        <w:rPr>
          <w:rFonts w:eastAsia="Batang"/>
          <w:lang w:val="en-CA"/>
        </w:rPr>
        <w:t>intermediaries</w:t>
      </w:r>
      <w:r w:rsidR="00FE447A">
        <w:rPr>
          <w:rFonts w:eastAsia="Batang"/>
          <w:lang w:val="en-CA"/>
        </w:rPr>
        <w:t xml:space="preserve"> and the second and third involve granting transacting parties access to the central bank’s liabilities.</w:t>
      </w:r>
    </w:p>
    <w:p w14:paraId="75A1A86F" w14:textId="77777777" w:rsidR="00FE447A" w:rsidRDefault="00FE447A" w:rsidP="00FE447A">
      <w:pPr>
        <w:rPr>
          <w:rFonts w:eastAsia="Batang"/>
          <w:lang w:val="en-CA"/>
        </w:rPr>
      </w:pPr>
      <w:r w:rsidRPr="004A5452">
        <w:rPr>
          <w:noProof/>
          <w:lang w:eastAsia="en-GB"/>
        </w:rPr>
        <w:drawing>
          <wp:inline distT="0" distB="0" distL="0" distR="0" wp14:anchorId="25CC15E4" wp14:editId="21708F31">
            <wp:extent cx="5248910" cy="134112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48910" cy="1341120"/>
                    </a:xfrm>
                    <a:prstGeom prst="rect">
                      <a:avLst/>
                    </a:prstGeom>
                    <a:noFill/>
                  </pic:spPr>
                </pic:pic>
              </a:graphicData>
            </a:graphic>
          </wp:inline>
        </w:drawing>
      </w:r>
    </w:p>
    <w:p w14:paraId="55C795B2" w14:textId="77777777" w:rsidR="00FE447A" w:rsidRDefault="00FE447A" w:rsidP="00FE447A">
      <w:pPr>
        <w:rPr>
          <w:rFonts w:eastAsia="Batang"/>
          <w:lang w:val="en-CA"/>
        </w:rPr>
      </w:pPr>
    </w:p>
    <w:tbl>
      <w:tblPr>
        <w:tblW w:w="9346" w:type="dxa"/>
        <w:tblCellMar>
          <w:left w:w="0" w:type="dxa"/>
          <w:right w:w="0" w:type="dxa"/>
        </w:tblCellMar>
        <w:tblLook w:val="04A0" w:firstRow="1" w:lastRow="0" w:firstColumn="1" w:lastColumn="0" w:noHBand="0" w:noVBand="1"/>
      </w:tblPr>
      <w:tblGrid>
        <w:gridCol w:w="2756"/>
        <w:gridCol w:w="2756"/>
        <w:gridCol w:w="3834"/>
      </w:tblGrid>
      <w:tr w:rsidR="00FE447A" w:rsidRPr="00734338" w14:paraId="12E0F766" w14:textId="77777777" w:rsidTr="00125179">
        <w:tc>
          <w:tcPr>
            <w:tcW w:w="2756"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hideMark/>
          </w:tcPr>
          <w:p w14:paraId="64C6B2BE" w14:textId="77777777" w:rsidR="00FE447A" w:rsidRPr="00734338" w:rsidRDefault="00FE447A" w:rsidP="00125179">
            <w:pPr>
              <w:rPr>
                <w:rFonts w:ascii="Calibri" w:hAnsi="Calibri" w:cs="Calibri"/>
                <w:b/>
                <w:bCs/>
                <w:sz w:val="22"/>
                <w:szCs w:val="22"/>
              </w:rPr>
            </w:pPr>
            <w:r w:rsidRPr="00734338">
              <w:rPr>
                <w:b/>
                <w:bCs/>
                <w:sz w:val="22"/>
                <w:szCs w:val="22"/>
              </w:rPr>
              <w:t xml:space="preserve">Intermediaries </w:t>
            </w:r>
            <w:r>
              <w:rPr>
                <w:b/>
                <w:bCs/>
                <w:sz w:val="22"/>
                <w:szCs w:val="22"/>
              </w:rPr>
              <w:t>a</w:t>
            </w:r>
            <w:r w:rsidRPr="00734338">
              <w:rPr>
                <w:b/>
                <w:bCs/>
                <w:sz w:val="22"/>
                <w:szCs w:val="22"/>
              </w:rPr>
              <w:t>pproach</w:t>
            </w:r>
          </w:p>
        </w:tc>
        <w:tc>
          <w:tcPr>
            <w:tcW w:w="2756" w:type="dxa"/>
            <w:tcBorders>
              <w:top w:val="single" w:sz="8" w:space="0" w:color="BFBFBF"/>
              <w:left w:val="nil"/>
              <w:bottom w:val="single" w:sz="8" w:space="0" w:color="BFBFBF"/>
              <w:right w:val="single" w:sz="8" w:space="0" w:color="BFBFBF"/>
            </w:tcBorders>
            <w:tcMar>
              <w:top w:w="0" w:type="dxa"/>
              <w:left w:w="108" w:type="dxa"/>
              <w:bottom w:w="0" w:type="dxa"/>
              <w:right w:w="108" w:type="dxa"/>
            </w:tcMar>
            <w:hideMark/>
          </w:tcPr>
          <w:p w14:paraId="35C3FE23" w14:textId="77777777" w:rsidR="00FE447A" w:rsidRDefault="00FE447A" w:rsidP="00125179">
            <w:pPr>
              <w:rPr>
                <w:b/>
                <w:bCs/>
                <w:sz w:val="22"/>
                <w:szCs w:val="22"/>
              </w:rPr>
            </w:pPr>
            <w:r>
              <w:rPr>
                <w:b/>
                <w:bCs/>
                <w:sz w:val="22"/>
                <w:szCs w:val="22"/>
              </w:rPr>
              <w:t>Direct</w:t>
            </w:r>
          </w:p>
          <w:p w14:paraId="3AF959C2" w14:textId="77777777" w:rsidR="00FE447A" w:rsidRPr="00734338" w:rsidRDefault="00FE447A" w:rsidP="00125179">
            <w:pPr>
              <w:rPr>
                <w:b/>
                <w:bCs/>
                <w:sz w:val="22"/>
                <w:szCs w:val="22"/>
              </w:rPr>
            </w:pPr>
            <w:r>
              <w:rPr>
                <w:b/>
                <w:bCs/>
                <w:sz w:val="22"/>
                <w:szCs w:val="22"/>
              </w:rPr>
              <w:t>w</w:t>
            </w:r>
            <w:r w:rsidRPr="00734338">
              <w:rPr>
                <w:b/>
                <w:bCs/>
                <w:sz w:val="22"/>
                <w:szCs w:val="22"/>
              </w:rPr>
              <w:t xml:space="preserve">idened </w:t>
            </w:r>
            <w:r>
              <w:rPr>
                <w:b/>
                <w:bCs/>
                <w:sz w:val="22"/>
                <w:szCs w:val="22"/>
              </w:rPr>
              <w:t>a</w:t>
            </w:r>
            <w:r w:rsidRPr="00734338">
              <w:rPr>
                <w:b/>
                <w:bCs/>
                <w:sz w:val="22"/>
                <w:szCs w:val="22"/>
              </w:rPr>
              <w:t>ccess</w:t>
            </w:r>
          </w:p>
        </w:tc>
        <w:tc>
          <w:tcPr>
            <w:tcW w:w="3834" w:type="dxa"/>
            <w:tcBorders>
              <w:top w:val="single" w:sz="8" w:space="0" w:color="BFBFBF"/>
              <w:left w:val="nil"/>
              <w:bottom w:val="single" w:sz="8" w:space="0" w:color="BFBFBF"/>
              <w:right w:val="single" w:sz="8" w:space="0" w:color="BFBFBF"/>
            </w:tcBorders>
            <w:tcMar>
              <w:top w:w="0" w:type="dxa"/>
              <w:left w:w="108" w:type="dxa"/>
              <w:bottom w:w="0" w:type="dxa"/>
              <w:right w:w="108" w:type="dxa"/>
            </w:tcMar>
            <w:hideMark/>
          </w:tcPr>
          <w:p w14:paraId="0AF5478A" w14:textId="77777777" w:rsidR="00FE447A" w:rsidRDefault="00FE447A" w:rsidP="00125179">
            <w:pPr>
              <w:rPr>
                <w:b/>
                <w:bCs/>
                <w:sz w:val="22"/>
                <w:szCs w:val="22"/>
              </w:rPr>
            </w:pPr>
            <w:r>
              <w:rPr>
                <w:b/>
                <w:bCs/>
                <w:sz w:val="22"/>
                <w:szCs w:val="22"/>
              </w:rPr>
              <w:t>Direct</w:t>
            </w:r>
          </w:p>
          <w:p w14:paraId="7EC6275C" w14:textId="77777777" w:rsidR="00FE447A" w:rsidRPr="00734338" w:rsidRDefault="00FE447A" w:rsidP="00125179">
            <w:pPr>
              <w:rPr>
                <w:b/>
                <w:bCs/>
                <w:sz w:val="22"/>
                <w:szCs w:val="22"/>
              </w:rPr>
            </w:pPr>
            <w:r>
              <w:rPr>
                <w:b/>
                <w:bCs/>
                <w:sz w:val="22"/>
                <w:szCs w:val="22"/>
              </w:rPr>
              <w:t>m</w:t>
            </w:r>
            <w:r w:rsidRPr="00734338">
              <w:rPr>
                <w:b/>
                <w:bCs/>
                <w:sz w:val="22"/>
                <w:szCs w:val="22"/>
              </w:rPr>
              <w:t>ulti</w:t>
            </w:r>
            <w:r>
              <w:rPr>
                <w:b/>
                <w:bCs/>
                <w:sz w:val="22"/>
                <w:szCs w:val="22"/>
              </w:rPr>
              <w:t>ple</w:t>
            </w:r>
            <w:r w:rsidRPr="00734338">
              <w:rPr>
                <w:b/>
                <w:bCs/>
                <w:sz w:val="22"/>
                <w:szCs w:val="22"/>
              </w:rPr>
              <w:t>-</w:t>
            </w:r>
            <w:r>
              <w:rPr>
                <w:b/>
                <w:bCs/>
                <w:sz w:val="22"/>
                <w:szCs w:val="22"/>
              </w:rPr>
              <w:t>c</w:t>
            </w:r>
            <w:r w:rsidRPr="00734338">
              <w:rPr>
                <w:b/>
                <w:bCs/>
                <w:sz w:val="22"/>
                <w:szCs w:val="22"/>
              </w:rPr>
              <w:t>urrencies</w:t>
            </w:r>
          </w:p>
        </w:tc>
      </w:tr>
      <w:tr w:rsidR="00FE447A" w:rsidRPr="00734338" w14:paraId="0CF8D393" w14:textId="77777777" w:rsidTr="00125179">
        <w:tc>
          <w:tcPr>
            <w:tcW w:w="2756"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5B7FCB03" w14:textId="77777777" w:rsidR="00FE447A" w:rsidRPr="00734338" w:rsidRDefault="00FE447A" w:rsidP="00A24280">
            <w:pPr>
              <w:pStyle w:val="ListParagraph"/>
              <w:numPr>
                <w:ilvl w:val="0"/>
                <w:numId w:val="15"/>
              </w:numPr>
              <w:spacing w:after="0" w:line="252" w:lineRule="auto"/>
              <w:ind w:left="256" w:hanging="180"/>
              <w:jc w:val="left"/>
              <w:rPr>
                <w:b/>
              </w:rPr>
            </w:pPr>
            <w:r w:rsidRPr="00734338">
              <w:t xml:space="preserve">also known as </w:t>
            </w:r>
            <w:r w:rsidRPr="00734338">
              <w:rPr>
                <w:b/>
              </w:rPr>
              <w:t>asset swap via intermediary</w:t>
            </w:r>
          </w:p>
          <w:p w14:paraId="509C0C74" w14:textId="77777777" w:rsidR="00FE447A" w:rsidRPr="00734338" w:rsidRDefault="00FE447A" w:rsidP="00A24280">
            <w:pPr>
              <w:pStyle w:val="ListParagraph"/>
              <w:numPr>
                <w:ilvl w:val="0"/>
                <w:numId w:val="15"/>
              </w:numPr>
              <w:spacing w:after="0" w:line="252" w:lineRule="auto"/>
              <w:ind w:left="256" w:hanging="180"/>
              <w:jc w:val="left"/>
            </w:pPr>
            <w:r w:rsidRPr="00734338">
              <w:t>need</w:t>
            </w:r>
            <w:r>
              <w:t>s</w:t>
            </w:r>
            <w:r w:rsidRPr="00734338">
              <w:t xml:space="preserve"> intermediary for foreign exchange and transfer</w:t>
            </w:r>
          </w:p>
        </w:tc>
        <w:tc>
          <w:tcPr>
            <w:tcW w:w="2756"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0D969A3B" w14:textId="77777777" w:rsidR="00FE447A" w:rsidRPr="00734338" w:rsidRDefault="00FE447A" w:rsidP="00A24280">
            <w:pPr>
              <w:pStyle w:val="ListParagraph"/>
              <w:numPr>
                <w:ilvl w:val="0"/>
                <w:numId w:val="15"/>
              </w:numPr>
              <w:spacing w:after="0" w:line="252" w:lineRule="auto"/>
              <w:ind w:left="256" w:hanging="180"/>
              <w:jc w:val="left"/>
              <w:rPr>
                <w:b/>
              </w:rPr>
            </w:pPr>
            <w:r w:rsidRPr="00734338">
              <w:t xml:space="preserve">also known as </w:t>
            </w:r>
            <w:r>
              <w:t xml:space="preserve">direct access </w:t>
            </w:r>
          </w:p>
          <w:p w14:paraId="65A785F9" w14:textId="77777777" w:rsidR="00FE447A" w:rsidRPr="00734338" w:rsidRDefault="00FE447A" w:rsidP="00A24280">
            <w:pPr>
              <w:pStyle w:val="ListParagraph"/>
              <w:numPr>
                <w:ilvl w:val="0"/>
                <w:numId w:val="15"/>
              </w:numPr>
              <w:spacing w:after="0" w:line="252" w:lineRule="auto"/>
              <w:ind w:left="256" w:hanging="180"/>
              <w:jc w:val="left"/>
            </w:pPr>
            <w:r w:rsidRPr="00734338">
              <w:t>does not involve intermediary</w:t>
            </w:r>
          </w:p>
        </w:tc>
        <w:tc>
          <w:tcPr>
            <w:tcW w:w="3834"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66CB98AA" w14:textId="77777777" w:rsidR="00FE447A" w:rsidRPr="00734338" w:rsidRDefault="00FE447A" w:rsidP="00A24280">
            <w:pPr>
              <w:pStyle w:val="ListParagraph"/>
              <w:numPr>
                <w:ilvl w:val="0"/>
                <w:numId w:val="15"/>
              </w:numPr>
              <w:spacing w:after="0" w:line="252" w:lineRule="auto"/>
              <w:ind w:left="256" w:hanging="180"/>
              <w:jc w:val="left"/>
              <w:rPr>
                <w:b/>
              </w:rPr>
            </w:pPr>
            <w:r w:rsidRPr="00734338">
              <w:t xml:space="preserve">also known as </w:t>
            </w:r>
            <w:r w:rsidRPr="00734338">
              <w:rPr>
                <w:b/>
              </w:rPr>
              <w:t>asset transfer</w:t>
            </w:r>
          </w:p>
          <w:p w14:paraId="2BACB196" w14:textId="77777777" w:rsidR="00FE447A" w:rsidRPr="00734338" w:rsidRDefault="00FE447A" w:rsidP="00A24280">
            <w:pPr>
              <w:pStyle w:val="ListParagraph"/>
              <w:numPr>
                <w:ilvl w:val="0"/>
                <w:numId w:val="15"/>
              </w:numPr>
              <w:spacing w:after="0" w:line="252" w:lineRule="auto"/>
              <w:ind w:left="256" w:hanging="180"/>
              <w:jc w:val="left"/>
            </w:pPr>
            <w:r w:rsidRPr="00734338">
              <w:t>allow</w:t>
            </w:r>
            <w:r>
              <w:t>s</w:t>
            </w:r>
            <w:r w:rsidRPr="00734338">
              <w:t xml:space="preserve"> for multiple currencies within the same network</w:t>
            </w:r>
          </w:p>
          <w:p w14:paraId="1B259CB0" w14:textId="77777777" w:rsidR="00FE447A" w:rsidRPr="00734338" w:rsidRDefault="00FE447A" w:rsidP="00A24280">
            <w:pPr>
              <w:pStyle w:val="ListParagraph"/>
              <w:numPr>
                <w:ilvl w:val="0"/>
                <w:numId w:val="15"/>
              </w:numPr>
              <w:spacing w:after="0" w:line="252" w:lineRule="auto"/>
              <w:ind w:left="256" w:hanging="180"/>
              <w:jc w:val="left"/>
            </w:pPr>
            <w:r w:rsidRPr="00734338">
              <w:t>still need intermediary (which could be the central banks) for transfer</w:t>
            </w:r>
          </w:p>
        </w:tc>
      </w:tr>
    </w:tbl>
    <w:p w14:paraId="40D95464" w14:textId="24919131" w:rsidR="00FE447A" w:rsidRPr="00C106AC" w:rsidRDefault="00125179" w:rsidP="00125179">
      <w:pPr>
        <w:pStyle w:val="Caption"/>
        <w:rPr>
          <w:rFonts w:eastAsia="Batang"/>
          <w:lang w:val="fr-FR"/>
        </w:rPr>
      </w:pPr>
      <w:r w:rsidRPr="00C106AC">
        <w:rPr>
          <w:lang w:val="fr-FR"/>
        </w:rPr>
        <w:t xml:space="preserve">Figure </w:t>
      </w:r>
      <w:r w:rsidR="00A928A0">
        <w:t>3</w:t>
      </w:r>
      <w:r w:rsidRPr="00C106AC">
        <w:rPr>
          <w:lang w:val="fr-FR"/>
        </w:rPr>
        <w:t xml:space="preserve">: </w:t>
      </w:r>
      <w:r w:rsidR="00217A0F">
        <w:rPr>
          <w:lang w:val="fr-FR"/>
        </w:rPr>
        <w:t>Cross-Border</w:t>
      </w:r>
      <w:r w:rsidRPr="00C106AC">
        <w:rPr>
          <w:lang w:val="fr-FR"/>
        </w:rPr>
        <w:t xml:space="preserve"> Payment Options</w:t>
      </w:r>
      <w:r w:rsidR="00A97AAA" w:rsidRPr="00C106AC">
        <w:rPr>
          <w:lang w:val="fr-FR"/>
        </w:rPr>
        <w:t xml:space="preserve"> (</w:t>
      </w:r>
      <w:bookmarkStart w:id="63" w:name="_Hlk11261255"/>
      <w:r w:rsidR="00A97AAA" w:rsidRPr="00C106AC">
        <w:rPr>
          <w:lang w:val="fr-FR"/>
        </w:rPr>
        <w:t xml:space="preserve">Source: </w:t>
      </w:r>
      <w:r w:rsidR="00BF5DD7" w:rsidRPr="00C106AC">
        <w:rPr>
          <w:lang w:val="fr-FR"/>
        </w:rPr>
        <w:t>BoC et al., 2018</w:t>
      </w:r>
      <w:bookmarkEnd w:id="63"/>
      <w:r w:rsidR="00A62C23" w:rsidRPr="00C106AC">
        <w:rPr>
          <w:lang w:val="fr-FR"/>
        </w:rPr>
        <w:t>)</w:t>
      </w:r>
    </w:p>
    <w:p w14:paraId="6C875DB0" w14:textId="77777777" w:rsidR="00FE447A" w:rsidRPr="00FE447A" w:rsidRDefault="00FE447A" w:rsidP="00FE447A">
      <w:pPr>
        <w:pStyle w:val="Heading2"/>
        <w:tabs>
          <w:tab w:val="clear" w:pos="3978"/>
          <w:tab w:val="num" w:pos="284"/>
        </w:tabs>
        <w:ind w:left="284" w:hanging="284"/>
        <w:rPr>
          <w:rFonts w:eastAsia="Batang"/>
          <w:iCs w:val="0"/>
          <w:lang w:val="en-CA"/>
        </w:rPr>
      </w:pPr>
      <w:bookmarkStart w:id="64" w:name="_Toc14190292"/>
      <w:r w:rsidRPr="00FE447A">
        <w:rPr>
          <w:rFonts w:eastAsia="Batang"/>
          <w:iCs w:val="0"/>
          <w:lang w:val="en-CA"/>
        </w:rPr>
        <w:t>Universal CBDC</w:t>
      </w:r>
      <w:bookmarkEnd w:id="64"/>
    </w:p>
    <w:p w14:paraId="38CA2D0A" w14:textId="310CA6CE" w:rsidR="00FE447A" w:rsidRDefault="00FE447A" w:rsidP="00DD71F4">
      <w:pPr>
        <w:spacing w:after="120" w:line="264" w:lineRule="auto"/>
        <w:jc w:val="both"/>
        <w:rPr>
          <w:lang w:val="en-CA" w:eastAsia="ja-JP"/>
        </w:rPr>
      </w:pPr>
      <w:r w:rsidRPr="00874EA6">
        <w:rPr>
          <w:rFonts w:eastAsia="Batang"/>
          <w:b/>
          <w:color w:val="1F497D" w:themeColor="text2"/>
          <w:lang w:val="en-CA"/>
        </w:rPr>
        <w:t>Several participating jurisdictions, through either their respective central banks or a global multilateral institution, agree to create a U-CBDC</w:t>
      </w:r>
      <w:r>
        <w:rPr>
          <w:rFonts w:eastAsia="Batang"/>
          <w:lang w:val="en-CA"/>
        </w:rPr>
        <w:t>. The U-CBDC will be backed by a basket of currencies issued by the participating central banks. The U-CBDC would be issued via an exchange specifically created to allow for issuance and redemption of such U-CBDCs.</w:t>
      </w:r>
    </w:p>
    <w:p w14:paraId="3F2E9B9E" w14:textId="77777777" w:rsidR="00FE447A" w:rsidRPr="00FE447A" w:rsidRDefault="00FE447A" w:rsidP="00DD71F4">
      <w:pPr>
        <w:jc w:val="both"/>
        <w:rPr>
          <w:lang w:val="en-CA" w:eastAsia="ja-JP"/>
        </w:rPr>
      </w:pPr>
      <w:r w:rsidRPr="000C14EE">
        <w:rPr>
          <w:noProof/>
          <w:color w:val="000000" w:themeColor="text1"/>
          <w:lang w:eastAsia="en-GB"/>
        </w:rPr>
        <w:drawing>
          <wp:inline distT="0" distB="0" distL="0" distR="0" wp14:anchorId="76320996" wp14:editId="78A6C7EF">
            <wp:extent cx="6120765" cy="2345690"/>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765" cy="2345690"/>
                    </a:xfrm>
                    <a:prstGeom prst="rect">
                      <a:avLst/>
                    </a:prstGeom>
                  </pic:spPr>
                </pic:pic>
              </a:graphicData>
            </a:graphic>
          </wp:inline>
        </w:drawing>
      </w:r>
    </w:p>
    <w:p w14:paraId="7A14E512" w14:textId="2D6604F4" w:rsidR="00497C70" w:rsidRPr="00C55ACB" w:rsidRDefault="00125179" w:rsidP="00DD71F4">
      <w:pPr>
        <w:pStyle w:val="Caption"/>
        <w:jc w:val="both"/>
        <w:rPr>
          <w:rFonts w:ascii="Amplitude-Light" w:eastAsia="Batang" w:hAnsi="Amplitude-Light" w:hint="eastAsia"/>
          <w:color w:val="2B2B2B"/>
          <w:sz w:val="30"/>
          <w:szCs w:val="30"/>
          <w:shd w:val="clear" w:color="auto" w:fill="FFFFFF"/>
          <w:lang w:val="fr-FR"/>
        </w:rPr>
      </w:pPr>
      <w:r w:rsidRPr="00C55ACB">
        <w:rPr>
          <w:lang w:val="fr-FR"/>
        </w:rPr>
        <w:t xml:space="preserve">Figure </w:t>
      </w:r>
      <w:r w:rsidR="00A928A0" w:rsidRPr="00626301">
        <w:rPr>
          <w:lang w:val="fr-CH"/>
        </w:rPr>
        <w:t>4</w:t>
      </w:r>
      <w:r w:rsidRPr="00C55ACB">
        <w:rPr>
          <w:lang w:val="fr-FR"/>
        </w:rPr>
        <w:t>: Universal CBDC</w:t>
      </w:r>
      <w:r w:rsidR="00A62C23" w:rsidRPr="00C55ACB">
        <w:rPr>
          <w:lang w:val="fr-FR"/>
        </w:rPr>
        <w:t xml:space="preserve"> (</w:t>
      </w:r>
      <w:r w:rsidR="00BF5DD7" w:rsidRPr="00C55ACB">
        <w:rPr>
          <w:lang w:val="fr-FR"/>
        </w:rPr>
        <w:t>Source: BoC et al., 2018</w:t>
      </w:r>
      <w:r w:rsidR="00A62C23" w:rsidRPr="00C55ACB">
        <w:rPr>
          <w:lang w:val="fr-FR"/>
        </w:rPr>
        <w:t>)</w:t>
      </w:r>
    </w:p>
    <w:p w14:paraId="0EA4DA3B" w14:textId="2A988F3D" w:rsidR="00125179" w:rsidRDefault="00217A0F" w:rsidP="00DD71F4">
      <w:pPr>
        <w:pStyle w:val="Heading1"/>
        <w:jc w:val="both"/>
        <w:rPr>
          <w:rFonts w:eastAsia="Batang"/>
          <w:lang w:val="en-CA"/>
        </w:rPr>
      </w:pPr>
      <w:bookmarkStart w:id="65" w:name="_Toc14190293"/>
      <w:r>
        <w:rPr>
          <w:rFonts w:eastAsia="Batang"/>
          <w:lang w:val="en-CA"/>
        </w:rPr>
        <w:t>Cross-Border</w:t>
      </w:r>
      <w:r w:rsidR="00125179">
        <w:rPr>
          <w:rFonts w:eastAsia="Batang"/>
          <w:lang w:val="en-CA"/>
        </w:rPr>
        <w:t xml:space="preserve"> </w:t>
      </w:r>
      <w:r w:rsidR="00B65A0C">
        <w:rPr>
          <w:rFonts w:eastAsia="Batang"/>
          <w:lang w:val="en-CA"/>
        </w:rPr>
        <w:t xml:space="preserve">Wholesale </w:t>
      </w:r>
      <w:r w:rsidR="00125179">
        <w:rPr>
          <w:rFonts w:eastAsia="Batang"/>
          <w:lang w:val="en-CA"/>
        </w:rPr>
        <w:t>CBDC Case Studies</w:t>
      </w:r>
      <w:bookmarkEnd w:id="65"/>
    </w:p>
    <w:p w14:paraId="6554B21E" w14:textId="7A04B17A" w:rsidR="00125179" w:rsidRPr="009B121F" w:rsidRDefault="00125179" w:rsidP="00DD71F4">
      <w:pPr>
        <w:spacing w:after="120" w:line="264" w:lineRule="auto"/>
        <w:jc w:val="both"/>
        <w:rPr>
          <w:rFonts w:eastAsia="Batang"/>
          <w:lang w:val="en-CA"/>
        </w:rPr>
      </w:pPr>
      <w:r>
        <w:rPr>
          <w:rFonts w:eastAsia="Batang"/>
          <w:lang w:val="en-CA"/>
        </w:rPr>
        <w:t>This section summarizes some of the research projects that ha</w:t>
      </w:r>
      <w:r w:rsidR="00874EA6">
        <w:rPr>
          <w:rFonts w:eastAsia="Batang"/>
          <w:lang w:val="en-CA"/>
        </w:rPr>
        <w:t>ve</w:t>
      </w:r>
      <w:r>
        <w:rPr>
          <w:rFonts w:eastAsia="Batang"/>
          <w:lang w:val="en-CA"/>
        </w:rPr>
        <w:t xml:space="preserve"> recently been undertaken by the industry in the cross</w:t>
      </w:r>
      <w:r w:rsidR="00B65A0C">
        <w:rPr>
          <w:rFonts w:eastAsia="Batang"/>
          <w:lang w:val="en-CA"/>
        </w:rPr>
        <w:t>-</w:t>
      </w:r>
      <w:r>
        <w:rPr>
          <w:rFonts w:eastAsia="Batang"/>
          <w:lang w:val="en-CA"/>
        </w:rPr>
        <w:t>border payment area.</w:t>
      </w:r>
    </w:p>
    <w:p w14:paraId="7D421AF0" w14:textId="77777777" w:rsidR="00125179" w:rsidRPr="00125179" w:rsidRDefault="00125179" w:rsidP="00DD71F4">
      <w:pPr>
        <w:pStyle w:val="Heading2"/>
        <w:tabs>
          <w:tab w:val="clear" w:pos="3978"/>
          <w:tab w:val="num" w:pos="567"/>
        </w:tabs>
        <w:spacing w:before="120" w:after="120" w:line="264" w:lineRule="auto"/>
        <w:ind w:left="562" w:hanging="562"/>
        <w:jc w:val="both"/>
        <w:rPr>
          <w:rFonts w:eastAsia="Batang"/>
          <w:iCs w:val="0"/>
          <w:lang w:val="en-CA"/>
        </w:rPr>
      </w:pPr>
      <w:bookmarkStart w:id="66" w:name="_Toc14190294"/>
      <w:r w:rsidRPr="00125179">
        <w:rPr>
          <w:rFonts w:eastAsia="Batang"/>
          <w:iCs w:val="0"/>
          <w:lang w:val="en-CA"/>
        </w:rPr>
        <w:t>Cross-Border Interbank Payments and Settlements</w:t>
      </w:r>
      <w:bookmarkEnd w:id="66"/>
    </w:p>
    <w:p w14:paraId="6C10548F" w14:textId="77777777" w:rsidR="00125179" w:rsidRDefault="00125179" w:rsidP="00DD71F4">
      <w:pPr>
        <w:spacing w:after="120" w:line="264" w:lineRule="auto"/>
        <w:jc w:val="both"/>
        <w:rPr>
          <w:rFonts w:eastAsia="Batang"/>
          <w:lang w:val="en-CA"/>
        </w:rPr>
      </w:pPr>
      <w:r w:rsidRPr="0060119B">
        <w:rPr>
          <w:rFonts w:eastAsia="Batang"/>
          <w:b/>
          <w:color w:val="1F497D" w:themeColor="text2"/>
          <w:lang w:val="en-CA"/>
        </w:rPr>
        <w:t>This project is a collaboration between the Bank of Canada (BoC), the Bank of England (BoE) and the Monetary Authority of Singapore (MAS) in consultation with a group of commercial banks</w:t>
      </w:r>
      <w:r>
        <w:rPr>
          <w:rFonts w:eastAsia="Batang"/>
          <w:lang w:val="en-CA"/>
        </w:rPr>
        <w:t>. It examines the existing challenges and frictions in the cross-border payments and proposes new and more efficient models for processing cross-border transactions.</w:t>
      </w:r>
    </w:p>
    <w:p w14:paraId="4988D707" w14:textId="77777777" w:rsidR="00125179" w:rsidRDefault="00125179" w:rsidP="00DD71F4">
      <w:pPr>
        <w:spacing w:after="120" w:line="264" w:lineRule="auto"/>
        <w:jc w:val="both"/>
        <w:rPr>
          <w:rFonts w:eastAsia="Batang"/>
          <w:lang w:val="en-CA"/>
        </w:rPr>
      </w:pPr>
      <w:r>
        <w:rPr>
          <w:rFonts w:eastAsia="Batang"/>
          <w:lang w:val="en-CA"/>
        </w:rPr>
        <w:t>As part of this project, the following challenges were explored from end-users, commercial banks and central banks prospective:</w:t>
      </w:r>
    </w:p>
    <w:p w14:paraId="21AE02BC" w14:textId="77777777" w:rsidR="00125179" w:rsidRPr="00874EA6" w:rsidRDefault="00125179" w:rsidP="00DD71F4">
      <w:pPr>
        <w:pStyle w:val="ListBullet"/>
        <w:jc w:val="both"/>
      </w:pPr>
      <w:r w:rsidRPr="00874EA6">
        <w:t>Lack of transparency regarding payment status, visibility and certainty of outcome</w:t>
      </w:r>
    </w:p>
    <w:p w14:paraId="2BAB9BF2" w14:textId="77777777" w:rsidR="00125179" w:rsidRPr="00874EA6" w:rsidRDefault="00125179" w:rsidP="00DD71F4">
      <w:pPr>
        <w:pStyle w:val="ListBullet"/>
        <w:jc w:val="both"/>
      </w:pPr>
      <w:r w:rsidRPr="00874EA6">
        <w:t>Limited availability of cross-border payment services</w:t>
      </w:r>
    </w:p>
    <w:p w14:paraId="718A6ED9" w14:textId="77777777" w:rsidR="00125179" w:rsidRPr="00874EA6" w:rsidRDefault="00125179" w:rsidP="00DD71F4">
      <w:pPr>
        <w:pStyle w:val="ListBullet"/>
        <w:jc w:val="both"/>
        <w:rPr>
          <w:rFonts w:eastAsia="Batang"/>
          <w:lang w:val="en-CA"/>
        </w:rPr>
      </w:pPr>
      <w:r w:rsidRPr="00874EA6">
        <w:t>Time taken for payment processing</w:t>
      </w:r>
    </w:p>
    <w:p w14:paraId="66CB7629" w14:textId="77777777" w:rsidR="00125179" w:rsidRPr="00874EA6" w:rsidRDefault="00125179" w:rsidP="00DD71F4">
      <w:pPr>
        <w:pStyle w:val="ListBullet"/>
        <w:jc w:val="both"/>
      </w:pPr>
      <w:r w:rsidRPr="00874EA6">
        <w:t>High costs associated with the correspondent banking model</w:t>
      </w:r>
    </w:p>
    <w:p w14:paraId="26810280" w14:textId="77777777" w:rsidR="00125179" w:rsidRPr="00874EA6" w:rsidRDefault="00125179" w:rsidP="00DD71F4">
      <w:pPr>
        <w:pStyle w:val="ListBullet"/>
        <w:jc w:val="both"/>
      </w:pPr>
      <w:r w:rsidRPr="00874EA6">
        <w:t>Challenges associated with legacy payments infrastructure across networks, central banks and commercial banks</w:t>
      </w:r>
    </w:p>
    <w:p w14:paraId="3E49A8CA" w14:textId="69AA541E" w:rsidR="00125179" w:rsidRPr="00125179" w:rsidRDefault="00125179" w:rsidP="00DD71F4">
      <w:pPr>
        <w:spacing w:after="120" w:line="264" w:lineRule="auto"/>
        <w:jc w:val="both"/>
        <w:rPr>
          <w:color w:val="000000" w:themeColor="text1"/>
          <w:szCs w:val="24"/>
        </w:rPr>
      </w:pPr>
      <w:r w:rsidRPr="00874EA6">
        <w:rPr>
          <w:b/>
          <w:color w:val="1F497D" w:themeColor="text2"/>
          <w:szCs w:val="24"/>
        </w:rPr>
        <w:t>The project proposed a potential future state with the list of capabilities that must be delivered by any future model for cross-model payments and settlement</w:t>
      </w:r>
      <w:r w:rsidRPr="00125179">
        <w:rPr>
          <w:color w:val="000000" w:themeColor="text1"/>
          <w:szCs w:val="24"/>
        </w:rPr>
        <w:t xml:space="preserve">. It also proposes </w:t>
      </w:r>
      <w:r w:rsidR="00874EA6">
        <w:rPr>
          <w:color w:val="000000" w:themeColor="text1"/>
          <w:szCs w:val="24"/>
        </w:rPr>
        <w:t xml:space="preserve">three </w:t>
      </w:r>
      <w:r w:rsidRPr="00125179">
        <w:rPr>
          <w:color w:val="000000" w:themeColor="text1"/>
          <w:szCs w:val="24"/>
        </w:rPr>
        <w:t>hypothetical models that might deliver some of the future-state capabilities and benefits:</w:t>
      </w:r>
    </w:p>
    <w:p w14:paraId="2ADD2161" w14:textId="77777777" w:rsidR="00125179" w:rsidRPr="00874EA6" w:rsidRDefault="00125179" w:rsidP="00DD71F4">
      <w:pPr>
        <w:pStyle w:val="ListBullet"/>
        <w:jc w:val="both"/>
        <w:rPr>
          <w:rFonts w:eastAsia="Batang"/>
          <w:b/>
          <w:lang w:val="en-CA"/>
        </w:rPr>
      </w:pPr>
      <w:r w:rsidRPr="00874EA6">
        <w:t>Model 1: is the collection of current and planned industry initiates.</w:t>
      </w:r>
    </w:p>
    <w:p w14:paraId="00565178" w14:textId="77777777" w:rsidR="00125179" w:rsidRPr="00874EA6" w:rsidRDefault="00125179" w:rsidP="00DD71F4">
      <w:pPr>
        <w:pStyle w:val="ListBullet"/>
        <w:jc w:val="both"/>
        <w:rPr>
          <w:rFonts w:eastAsia="Batang"/>
          <w:lang w:val="en-CA"/>
        </w:rPr>
      </w:pPr>
      <w:r w:rsidRPr="00874EA6">
        <w:rPr>
          <w:rFonts w:eastAsia="Batang"/>
          <w:lang w:val="en-CA"/>
        </w:rPr>
        <w:t>Model 2: is based on the expanded role for the industry RTGS operators that acts as “super-correspondents” for settling cross-border payments instead of relying on intermediary banks as corresponding banks.</w:t>
      </w:r>
    </w:p>
    <w:p w14:paraId="0A802A29" w14:textId="77777777" w:rsidR="00125179" w:rsidRPr="00874EA6" w:rsidRDefault="00125179" w:rsidP="00DD71F4">
      <w:pPr>
        <w:pStyle w:val="ListBullet"/>
        <w:jc w:val="both"/>
        <w:rPr>
          <w:rFonts w:eastAsia="Batang"/>
          <w:lang w:val="en-CA"/>
        </w:rPr>
      </w:pPr>
      <w:r w:rsidRPr="00874EA6">
        <w:rPr>
          <w:rFonts w:eastAsia="Batang"/>
          <w:lang w:val="en-CA"/>
        </w:rPr>
        <w:t>Model 3a, 3b and 3c are variations based on the settlement of cross-border payments between banks using W-CBDCs.  These are a tokenized, limited-access form of central bank liabilities used for wholesale interbank payment and settlement transactions.</w:t>
      </w:r>
    </w:p>
    <w:p w14:paraId="09A4494F" w14:textId="5A53E0C1" w:rsidR="00125179" w:rsidRPr="00FF3619" w:rsidRDefault="00125179" w:rsidP="00DD71F4">
      <w:pPr>
        <w:spacing w:after="120" w:line="264" w:lineRule="auto"/>
        <w:jc w:val="both"/>
        <w:rPr>
          <w:rFonts w:cs="Arial"/>
          <w:color w:val="000000" w:themeColor="text1"/>
        </w:rPr>
      </w:pPr>
      <w:r w:rsidRPr="00FF3619">
        <w:rPr>
          <w:rFonts w:cs="Arial"/>
          <w:b/>
          <w:color w:val="000000" w:themeColor="text1"/>
        </w:rPr>
        <w:t xml:space="preserve">Model 3a </w:t>
      </w:r>
      <w:r w:rsidRPr="00FF3619">
        <w:rPr>
          <w:rFonts w:cs="Arial"/>
          <w:color w:val="000000" w:themeColor="text1"/>
        </w:rPr>
        <w:t xml:space="preserve">is based on currency-specific W-CBDCs where these W-CBDCs can be transmitted and exchanged only </w:t>
      </w:r>
      <w:r w:rsidRPr="00FF3619">
        <w:rPr>
          <w:rFonts w:cs="Arial"/>
          <w:b/>
          <w:i/>
          <w:color w:val="000000" w:themeColor="text1"/>
        </w:rPr>
        <w:t>within their home jurisdictions</w:t>
      </w:r>
      <w:r w:rsidRPr="00FF3619">
        <w:rPr>
          <w:rFonts w:cs="Arial"/>
          <w:color w:val="000000" w:themeColor="text1"/>
        </w:rPr>
        <w:t xml:space="preserve"> and cannot be transmitted outside their home jurisdictions. In this model, each central bank provides wallets for W-CBDC only in their own currency. This would require commercial banks to open wallets with multiple central banks if they wish to hold multiple currencies.</w:t>
      </w:r>
    </w:p>
    <w:p w14:paraId="7E9D0A87" w14:textId="77777777" w:rsidR="00125179" w:rsidRDefault="00125179" w:rsidP="00DD71F4">
      <w:pPr>
        <w:spacing w:before="0" w:line="276" w:lineRule="auto"/>
        <w:jc w:val="both"/>
        <w:rPr>
          <w:rFonts w:eastAsia="Batang"/>
          <w:lang w:val="en-CA"/>
        </w:rPr>
      </w:pPr>
      <w:r>
        <w:rPr>
          <w:rFonts w:cs="Arial"/>
          <w:b/>
          <w:noProof/>
          <w:color w:val="000000" w:themeColor="text1"/>
          <w:lang w:eastAsia="en-GB"/>
        </w:rPr>
        <w:drawing>
          <wp:inline distT="0" distB="0" distL="0" distR="0" wp14:anchorId="31511330" wp14:editId="0E59D98E">
            <wp:extent cx="5257800" cy="224118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1765" cy="2242875"/>
                    </a:xfrm>
                    <a:prstGeom prst="rect">
                      <a:avLst/>
                    </a:prstGeom>
                    <a:noFill/>
                  </pic:spPr>
                </pic:pic>
              </a:graphicData>
            </a:graphic>
          </wp:inline>
        </w:drawing>
      </w:r>
    </w:p>
    <w:p w14:paraId="69A9CB09" w14:textId="765BA55F" w:rsidR="00125179" w:rsidRDefault="00125179" w:rsidP="00DD71F4">
      <w:pPr>
        <w:pStyle w:val="Caption"/>
        <w:jc w:val="both"/>
        <w:rPr>
          <w:rFonts w:ascii="Arial" w:eastAsiaTheme="minorEastAsia" w:hAnsi="Arial" w:cs="Arial"/>
          <w:b w:val="0"/>
          <w:color w:val="000000" w:themeColor="text1"/>
          <w:szCs w:val="22"/>
        </w:rPr>
      </w:pPr>
      <w:r>
        <w:t xml:space="preserve">Figure </w:t>
      </w:r>
      <w:r w:rsidR="00A928A0">
        <w:t>5</w:t>
      </w:r>
      <w:r>
        <w:rPr>
          <w:lang w:val="en-US"/>
        </w:rPr>
        <w:t xml:space="preserve">: Model 3a </w:t>
      </w:r>
      <w:r w:rsidR="00217A0F">
        <w:rPr>
          <w:lang w:val="en-US"/>
        </w:rPr>
        <w:t>Cross-Border</w:t>
      </w:r>
      <w:r>
        <w:rPr>
          <w:lang w:val="en-US"/>
        </w:rPr>
        <w:t xml:space="preserve"> Wholesale CBDC</w:t>
      </w:r>
      <w:r w:rsidR="00B65A0C">
        <w:rPr>
          <w:lang w:val="en-US"/>
        </w:rPr>
        <w:t xml:space="preserve"> (</w:t>
      </w:r>
      <w:r w:rsidR="00BF5DD7" w:rsidRPr="00BF5DD7">
        <w:rPr>
          <w:lang w:val="en-US"/>
        </w:rPr>
        <w:t>Source: BoC et al., 2018</w:t>
      </w:r>
      <w:r w:rsidR="00B65A0C" w:rsidRPr="00BF5DD7">
        <w:rPr>
          <w:lang w:val="en-US"/>
        </w:rPr>
        <w:t>)</w:t>
      </w:r>
    </w:p>
    <w:p w14:paraId="31DF0AFC" w14:textId="2FD006B7" w:rsidR="00125179" w:rsidRDefault="00125179" w:rsidP="00DD71F4">
      <w:pPr>
        <w:spacing w:before="0" w:after="120" w:line="264" w:lineRule="auto"/>
        <w:contextualSpacing/>
        <w:jc w:val="both"/>
        <w:rPr>
          <w:rFonts w:eastAsiaTheme="minorEastAsia"/>
          <w:color w:val="000000" w:themeColor="text1"/>
          <w:szCs w:val="22"/>
        </w:rPr>
      </w:pPr>
      <w:r w:rsidRPr="00125179">
        <w:rPr>
          <w:rFonts w:eastAsiaTheme="minorEastAsia"/>
          <w:b/>
          <w:color w:val="000000" w:themeColor="text1"/>
          <w:szCs w:val="22"/>
        </w:rPr>
        <w:t>Model 3b</w:t>
      </w:r>
      <w:r w:rsidRPr="00125179">
        <w:rPr>
          <w:rFonts w:eastAsiaTheme="minorEastAsia"/>
          <w:color w:val="000000" w:themeColor="text1"/>
          <w:szCs w:val="22"/>
        </w:rPr>
        <w:t xml:space="preserve"> is similar to Model 3a but based on currency-specific W-CBDCs that can be transmitted and exchanged </w:t>
      </w:r>
      <w:r w:rsidRPr="00125179">
        <w:rPr>
          <w:rFonts w:eastAsiaTheme="minorEastAsia"/>
          <w:b/>
          <w:i/>
          <w:color w:val="000000" w:themeColor="text1"/>
          <w:szCs w:val="22"/>
        </w:rPr>
        <w:t>beyond their home jurisdictions</w:t>
      </w:r>
      <w:r w:rsidRPr="00125179">
        <w:rPr>
          <w:rFonts w:eastAsiaTheme="minorEastAsia"/>
          <w:b/>
          <w:color w:val="000000" w:themeColor="text1"/>
          <w:szCs w:val="22"/>
        </w:rPr>
        <w:t>.</w:t>
      </w:r>
      <w:r w:rsidRPr="00125179">
        <w:rPr>
          <w:rFonts w:eastAsiaTheme="minorEastAsia"/>
          <w:color w:val="000000" w:themeColor="text1"/>
          <w:szCs w:val="22"/>
        </w:rPr>
        <w:t xml:space="preserve"> In this model, commercial banks can hold multiple W-CBDC wallets with their home central bank (e.g., a bank based in Canada could hold W-CBDC in Canadian dollars, pounds sterling and Singapore dollars in a wallet with the Bank of Canada). This would require each central bank to support multiple W-CBDC tokens.</w:t>
      </w:r>
    </w:p>
    <w:p w14:paraId="54B542E8" w14:textId="77777777" w:rsidR="00125179" w:rsidRPr="00125179" w:rsidRDefault="00125179" w:rsidP="00DD71F4">
      <w:pPr>
        <w:spacing w:before="0" w:after="160" w:line="259" w:lineRule="auto"/>
        <w:contextualSpacing/>
        <w:jc w:val="both"/>
        <w:rPr>
          <w:rFonts w:eastAsiaTheme="minorEastAsia"/>
          <w:color w:val="000000" w:themeColor="text1"/>
          <w:szCs w:val="22"/>
        </w:rPr>
      </w:pPr>
    </w:p>
    <w:p w14:paraId="48D4A48F" w14:textId="77777777" w:rsidR="00125179" w:rsidRDefault="00125179" w:rsidP="00DD71F4">
      <w:pPr>
        <w:spacing w:before="0" w:line="276" w:lineRule="auto"/>
        <w:jc w:val="both"/>
        <w:rPr>
          <w:rFonts w:eastAsia="Batang"/>
          <w:lang w:val="en-CA"/>
        </w:rPr>
      </w:pPr>
      <w:r>
        <w:rPr>
          <w:rFonts w:cs="Arial"/>
          <w:noProof/>
          <w:color w:val="000000" w:themeColor="text1"/>
          <w:lang w:eastAsia="en-GB"/>
        </w:rPr>
        <w:drawing>
          <wp:inline distT="0" distB="0" distL="0" distR="0" wp14:anchorId="27FBCA25" wp14:editId="0186B1B5">
            <wp:extent cx="5000099" cy="205086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5001" cy="2069286"/>
                    </a:xfrm>
                    <a:prstGeom prst="rect">
                      <a:avLst/>
                    </a:prstGeom>
                    <a:noFill/>
                  </pic:spPr>
                </pic:pic>
              </a:graphicData>
            </a:graphic>
          </wp:inline>
        </w:drawing>
      </w:r>
    </w:p>
    <w:p w14:paraId="20B9D978" w14:textId="06AB8372" w:rsidR="00125179" w:rsidRDefault="00125179" w:rsidP="00DD71F4">
      <w:pPr>
        <w:pStyle w:val="Caption"/>
        <w:jc w:val="both"/>
        <w:rPr>
          <w:rFonts w:eastAsia="Batang"/>
          <w:lang w:val="en-CA"/>
        </w:rPr>
      </w:pPr>
      <w:r>
        <w:t xml:space="preserve">Figure </w:t>
      </w:r>
      <w:r w:rsidR="00A928A0">
        <w:t>6</w:t>
      </w:r>
      <w:r>
        <w:rPr>
          <w:lang w:val="en-US"/>
        </w:rPr>
        <w:t xml:space="preserve">: Model 3b </w:t>
      </w:r>
      <w:r w:rsidR="00217A0F">
        <w:rPr>
          <w:lang w:val="en-US"/>
        </w:rPr>
        <w:t>Cross-Border</w:t>
      </w:r>
      <w:r>
        <w:rPr>
          <w:lang w:val="en-US"/>
        </w:rPr>
        <w:t xml:space="preserve"> Wholesale CBDC</w:t>
      </w:r>
      <w:r w:rsidR="00B65A0C">
        <w:rPr>
          <w:lang w:val="en-US"/>
        </w:rPr>
        <w:t xml:space="preserve"> (</w:t>
      </w:r>
      <w:r w:rsidR="00BF5DD7" w:rsidRPr="00BF5DD7">
        <w:rPr>
          <w:lang w:val="en-US"/>
        </w:rPr>
        <w:t>Source: BoC et al., 2018</w:t>
      </w:r>
      <w:r w:rsidR="00B65A0C" w:rsidRPr="00BF5DD7">
        <w:rPr>
          <w:lang w:val="en-US"/>
        </w:rPr>
        <w:t>)</w:t>
      </w:r>
    </w:p>
    <w:p w14:paraId="52356DDD" w14:textId="77777777" w:rsidR="00125179" w:rsidRPr="00AD65D4" w:rsidRDefault="00125179" w:rsidP="00DD71F4">
      <w:pPr>
        <w:spacing w:after="120" w:line="264" w:lineRule="auto"/>
        <w:jc w:val="both"/>
        <w:rPr>
          <w:rFonts w:cs="Arial"/>
          <w:color w:val="000000" w:themeColor="text1"/>
        </w:rPr>
      </w:pPr>
      <w:r w:rsidRPr="00AD65D4">
        <w:rPr>
          <w:rFonts w:cs="Arial"/>
          <w:b/>
          <w:color w:val="000000" w:themeColor="text1"/>
        </w:rPr>
        <w:t xml:space="preserve">Model 3c </w:t>
      </w:r>
      <w:r w:rsidRPr="00AD65D4">
        <w:rPr>
          <w:rFonts w:cs="Arial"/>
          <w:color w:val="000000" w:themeColor="text1"/>
        </w:rPr>
        <w:t>is based on a universal W-CBDC that is backed by a basket of currencies and accepted by all participating jurisdictions. In other words, this model does not involve the use of multiple currency-specific W-CBDCs like Model 3a and Model 3b do; rather, it involves a single universal W-CBDC.</w:t>
      </w:r>
    </w:p>
    <w:p w14:paraId="66C4A042" w14:textId="77777777" w:rsidR="00125179" w:rsidRDefault="00125179" w:rsidP="00DD71F4">
      <w:pPr>
        <w:spacing w:before="0" w:line="276" w:lineRule="auto"/>
        <w:jc w:val="both"/>
        <w:rPr>
          <w:rFonts w:eastAsia="Batang"/>
          <w:lang w:val="en-CA"/>
        </w:rPr>
      </w:pPr>
      <w:r>
        <w:rPr>
          <w:rFonts w:cs="Arial"/>
          <w:noProof/>
          <w:color w:val="000000" w:themeColor="text1"/>
          <w:lang w:eastAsia="en-GB"/>
        </w:rPr>
        <w:drawing>
          <wp:inline distT="0" distB="0" distL="0" distR="0" wp14:anchorId="275C0C13" wp14:editId="11480BE6">
            <wp:extent cx="5231674" cy="1863435"/>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87021" cy="1883149"/>
                    </a:xfrm>
                    <a:prstGeom prst="rect">
                      <a:avLst/>
                    </a:prstGeom>
                    <a:noFill/>
                  </pic:spPr>
                </pic:pic>
              </a:graphicData>
            </a:graphic>
          </wp:inline>
        </w:drawing>
      </w:r>
    </w:p>
    <w:p w14:paraId="2044F02D" w14:textId="179856D6" w:rsidR="00125179" w:rsidRDefault="003A1875" w:rsidP="00DD71F4">
      <w:pPr>
        <w:pStyle w:val="Caption"/>
        <w:jc w:val="both"/>
        <w:rPr>
          <w:rFonts w:eastAsia="Batang"/>
          <w:lang w:val="en-CA"/>
        </w:rPr>
      </w:pPr>
      <w:bookmarkStart w:id="67" w:name="_Hlk11236576"/>
      <w:r>
        <w:t xml:space="preserve">Figure </w:t>
      </w:r>
      <w:r w:rsidR="00A928A0">
        <w:t>7</w:t>
      </w:r>
      <w:r>
        <w:rPr>
          <w:lang w:val="en-US"/>
        </w:rPr>
        <w:t xml:space="preserve">: Model 3c </w:t>
      </w:r>
      <w:r w:rsidR="00217A0F">
        <w:rPr>
          <w:lang w:val="en-US"/>
        </w:rPr>
        <w:t>Cross-Border</w:t>
      </w:r>
      <w:r>
        <w:rPr>
          <w:lang w:val="en-US"/>
        </w:rPr>
        <w:t xml:space="preserve"> Wholesale CBDC</w:t>
      </w:r>
      <w:r w:rsidR="00006EB0">
        <w:rPr>
          <w:lang w:val="en-US"/>
        </w:rPr>
        <w:t xml:space="preserve"> </w:t>
      </w:r>
      <w:r w:rsidR="00006EB0" w:rsidRPr="00BF5DD7">
        <w:rPr>
          <w:lang w:val="en-US"/>
        </w:rPr>
        <w:t>(</w:t>
      </w:r>
      <w:r w:rsidR="00BF5DD7" w:rsidRPr="00BF5DD7">
        <w:rPr>
          <w:lang w:val="en-US"/>
        </w:rPr>
        <w:t>Source: BoC et al., 2018</w:t>
      </w:r>
      <w:r w:rsidR="00006EB0" w:rsidRPr="00BF5DD7">
        <w:rPr>
          <w:lang w:val="en-US"/>
        </w:rPr>
        <w:t>)</w:t>
      </w:r>
    </w:p>
    <w:bookmarkEnd w:id="67"/>
    <w:p w14:paraId="0FBEACEB" w14:textId="77777777" w:rsidR="00125179" w:rsidRPr="000C14EE" w:rsidRDefault="00125179" w:rsidP="00DD71F4">
      <w:pPr>
        <w:tabs>
          <w:tab w:val="num" w:pos="1980"/>
        </w:tabs>
        <w:spacing w:after="120" w:line="264" w:lineRule="auto"/>
        <w:jc w:val="both"/>
        <w:rPr>
          <w:rFonts w:cs="Arial"/>
          <w:color w:val="000000" w:themeColor="text1"/>
        </w:rPr>
      </w:pPr>
      <w:r w:rsidRPr="00874EA6">
        <w:rPr>
          <w:rFonts w:eastAsia="Batang"/>
          <w:b/>
          <w:color w:val="1F497D" w:themeColor="text2"/>
          <w:lang w:val="en-CA"/>
        </w:rPr>
        <w:t xml:space="preserve">The project report emphasizes that it provides a </w:t>
      </w:r>
      <w:r w:rsidRPr="00874EA6">
        <w:rPr>
          <w:rFonts w:cs="Arial"/>
          <w:b/>
          <w:color w:val="1F497D" w:themeColor="text2"/>
        </w:rPr>
        <w:t>starting point for further analysis of these potential future models</w:t>
      </w:r>
      <w:r w:rsidRPr="000C14EE">
        <w:rPr>
          <w:rFonts w:cs="Arial"/>
          <w:color w:val="000000" w:themeColor="text1"/>
        </w:rPr>
        <w:t xml:space="preserve">. </w:t>
      </w:r>
      <w:r>
        <w:rPr>
          <w:rFonts w:cs="Arial"/>
          <w:color w:val="000000" w:themeColor="text1"/>
        </w:rPr>
        <w:t>Further consideration should be given to the following topics</w:t>
      </w:r>
      <w:r w:rsidRPr="000C14EE">
        <w:rPr>
          <w:rFonts w:cs="Arial"/>
          <w:color w:val="000000" w:themeColor="text1"/>
        </w:rPr>
        <w:t>:</w:t>
      </w:r>
    </w:p>
    <w:p w14:paraId="20FC5A30" w14:textId="77777777" w:rsidR="00125179" w:rsidRPr="00874EA6" w:rsidRDefault="00125179" w:rsidP="00DD71F4">
      <w:pPr>
        <w:pStyle w:val="ListBullet"/>
        <w:jc w:val="both"/>
      </w:pPr>
      <w:r w:rsidRPr="00874EA6">
        <w:t>The legal and regulatory requirements and risks associated with each model</w:t>
      </w:r>
    </w:p>
    <w:p w14:paraId="0C1C9A5D" w14:textId="77777777" w:rsidR="00125179" w:rsidRPr="00874EA6" w:rsidRDefault="00125179" w:rsidP="00DD71F4">
      <w:pPr>
        <w:pStyle w:val="ListBullet"/>
        <w:jc w:val="both"/>
      </w:pPr>
      <w:r w:rsidRPr="00874EA6">
        <w:t>The necessary cross-jurisdictional governance framework required to ensure harmonized standards—both in definition and in implementation</w:t>
      </w:r>
    </w:p>
    <w:p w14:paraId="405A9ABB" w14:textId="77777777" w:rsidR="00125179" w:rsidRPr="00874EA6" w:rsidRDefault="00125179" w:rsidP="00DD71F4">
      <w:pPr>
        <w:pStyle w:val="ListBullet"/>
        <w:jc w:val="both"/>
      </w:pPr>
      <w:r w:rsidRPr="00874EA6">
        <w:t>The impact on monetary policy and the degree to which the central bank will continue to exercise control over it</w:t>
      </w:r>
    </w:p>
    <w:p w14:paraId="6EEED391" w14:textId="77777777" w:rsidR="00125179" w:rsidRPr="00874EA6" w:rsidRDefault="00125179" w:rsidP="00DD71F4">
      <w:pPr>
        <w:pStyle w:val="ListBullet"/>
        <w:jc w:val="both"/>
      </w:pPr>
      <w:r w:rsidRPr="00874EA6">
        <w:t>Legislative changes required to recognize W-CBDCs as legal tender for interbank payments and settlements</w:t>
      </w:r>
    </w:p>
    <w:p w14:paraId="5B37677F" w14:textId="77777777" w:rsidR="00125179" w:rsidRPr="00874EA6" w:rsidRDefault="00125179" w:rsidP="00DD71F4">
      <w:pPr>
        <w:pStyle w:val="ListBullet"/>
        <w:jc w:val="both"/>
      </w:pPr>
      <w:r w:rsidRPr="00874EA6">
        <w:t xml:space="preserve">Eligibility criteria for banks to become direct participants in these models, including coordination between central banks to align eligibility criteria  </w:t>
      </w:r>
    </w:p>
    <w:p w14:paraId="778A5CDC" w14:textId="77777777" w:rsidR="00125179" w:rsidRPr="00874EA6" w:rsidRDefault="00125179" w:rsidP="00DD71F4">
      <w:pPr>
        <w:pStyle w:val="ListBullet"/>
        <w:jc w:val="both"/>
      </w:pPr>
      <w:r w:rsidRPr="00874EA6">
        <w:t>Industry adoption of the selected model via incentives and regulatory changes</w:t>
      </w:r>
    </w:p>
    <w:p w14:paraId="12194914" w14:textId="48BD9531" w:rsidR="00125179" w:rsidRDefault="00125179" w:rsidP="00DD71F4">
      <w:pPr>
        <w:spacing w:after="120" w:line="264" w:lineRule="auto"/>
        <w:jc w:val="both"/>
        <w:rPr>
          <w:rFonts w:eastAsia="Batang"/>
          <w:lang w:val="en-CA"/>
        </w:rPr>
      </w:pPr>
      <w:r w:rsidRPr="00874EA6">
        <w:rPr>
          <w:rFonts w:eastAsia="Batang"/>
          <w:b/>
          <w:color w:val="1F497D" w:themeColor="text2"/>
          <w:lang w:val="en-CA"/>
        </w:rPr>
        <w:t>BoC and MAS further collaborated to explore the technical architecture for two of the models (Model 3a and 3b) by building a proof of concept to understand the technical challenges in implementing these models</w:t>
      </w:r>
      <w:r>
        <w:rPr>
          <w:rFonts w:eastAsia="Batang"/>
          <w:lang w:val="en-CA"/>
        </w:rPr>
        <w:t>.</w:t>
      </w:r>
    </w:p>
    <w:p w14:paraId="6F154021" w14:textId="77777777" w:rsidR="00125179" w:rsidRPr="00125179" w:rsidRDefault="00125179" w:rsidP="00DD71F4">
      <w:pPr>
        <w:pStyle w:val="Heading2"/>
        <w:keepNext w:val="0"/>
        <w:tabs>
          <w:tab w:val="clear" w:pos="3978"/>
          <w:tab w:val="num" w:pos="567"/>
        </w:tabs>
        <w:spacing w:before="120" w:after="120" w:line="264" w:lineRule="auto"/>
        <w:ind w:left="567" w:hanging="567"/>
        <w:jc w:val="both"/>
        <w:rPr>
          <w:rFonts w:eastAsia="Batang"/>
          <w:iCs w:val="0"/>
          <w:lang w:val="en-CA"/>
        </w:rPr>
      </w:pPr>
      <w:bookmarkStart w:id="68" w:name="_Toc14190295"/>
      <w:r w:rsidRPr="00125179">
        <w:rPr>
          <w:rFonts w:eastAsia="Batang"/>
          <w:iCs w:val="0"/>
          <w:lang w:val="en-CA"/>
        </w:rPr>
        <w:t>Enabling Cross-Border High Value Transfer Using Distributed Ledger Technologies</w:t>
      </w:r>
      <w:bookmarkEnd w:id="68"/>
    </w:p>
    <w:p w14:paraId="1D4A3737" w14:textId="2856FDDB" w:rsidR="00125179" w:rsidRDefault="00125179" w:rsidP="00DD71F4">
      <w:pPr>
        <w:spacing w:after="120" w:line="264" w:lineRule="auto"/>
        <w:jc w:val="both"/>
        <w:rPr>
          <w:rFonts w:eastAsia="Batang"/>
          <w:lang w:val="en-CA"/>
        </w:rPr>
      </w:pPr>
      <w:r w:rsidRPr="0060119B">
        <w:rPr>
          <w:rFonts w:eastAsia="Batang"/>
          <w:b/>
          <w:color w:val="1F497D" w:themeColor="text2"/>
          <w:lang w:val="en-CA"/>
        </w:rPr>
        <w:t>This project (Jasper-Ubin) is a collaboration between the Bank of Canada (BoC) and the Monetary Authority of Singapore (MAS)</w:t>
      </w:r>
      <w:r w:rsidR="005D1469" w:rsidRPr="0060119B">
        <w:rPr>
          <w:rFonts w:eastAsia="Batang"/>
          <w:b/>
          <w:color w:val="1F497D" w:themeColor="text2"/>
          <w:lang w:val="en-CA"/>
        </w:rPr>
        <w:t>.</w:t>
      </w:r>
      <w:r w:rsidR="005D1469" w:rsidRPr="0060119B">
        <w:rPr>
          <w:rFonts w:eastAsia="Batang"/>
          <w:color w:val="1F497D" w:themeColor="text2"/>
          <w:lang w:val="en-CA"/>
        </w:rPr>
        <w:t xml:space="preserve"> </w:t>
      </w:r>
      <w:r>
        <w:rPr>
          <w:rFonts w:eastAsia="Batang"/>
          <w:lang w:val="en-CA"/>
        </w:rPr>
        <w:t>This project assumes that DLT-based domestic gross settlement (RTGS) system</w:t>
      </w:r>
      <w:r w:rsidR="005D1469">
        <w:rPr>
          <w:rFonts w:eastAsia="Batang"/>
          <w:lang w:val="en-CA"/>
        </w:rPr>
        <w:t>s</w:t>
      </w:r>
      <w:r>
        <w:rPr>
          <w:rFonts w:eastAsia="Batang"/>
          <w:lang w:val="en-CA"/>
        </w:rPr>
        <w:t xml:space="preserve"> sit on different platforms in each country – in this case, on R3’s Corda</w:t>
      </w:r>
      <w:r w:rsidR="005D1469">
        <w:rPr>
          <w:rFonts w:eastAsia="Batang"/>
          <w:lang w:val="en-CA"/>
        </w:rPr>
        <w:t xml:space="preserve"> platform</w:t>
      </w:r>
      <w:r>
        <w:rPr>
          <w:rFonts w:eastAsia="Batang"/>
          <w:lang w:val="en-CA"/>
        </w:rPr>
        <w:t xml:space="preserve"> in Canada and JP Morgan’s Quorum</w:t>
      </w:r>
      <w:r w:rsidR="005D1469">
        <w:rPr>
          <w:rFonts w:eastAsia="Batang"/>
          <w:lang w:val="en-CA"/>
        </w:rPr>
        <w:t xml:space="preserve"> platform</w:t>
      </w:r>
      <w:r>
        <w:rPr>
          <w:rFonts w:eastAsia="Batang"/>
          <w:lang w:val="en-CA"/>
        </w:rPr>
        <w:t xml:space="preserve"> in Singapore. A tokenized form of a wholesale CBDC (W-CBDC) is issued on these DLT networks by </w:t>
      </w:r>
      <w:r w:rsidR="005D1469">
        <w:rPr>
          <w:rFonts w:eastAsia="Batang"/>
          <w:lang w:val="en-CA"/>
        </w:rPr>
        <w:t xml:space="preserve">each </w:t>
      </w:r>
      <w:r>
        <w:rPr>
          <w:rFonts w:eastAsia="Batang"/>
          <w:lang w:val="en-CA"/>
        </w:rPr>
        <w:t xml:space="preserve">respective central bank for use by commercial banks. As part of this project, </w:t>
      </w:r>
      <w:r w:rsidR="005D1469">
        <w:rPr>
          <w:rFonts w:eastAsia="Batang"/>
          <w:lang w:val="en-CA"/>
        </w:rPr>
        <w:t xml:space="preserve">the </w:t>
      </w:r>
      <w:r>
        <w:rPr>
          <w:rFonts w:eastAsia="Batang"/>
          <w:lang w:val="en-CA"/>
        </w:rPr>
        <w:t xml:space="preserve">BoC and MAS, together with Accenture and JP Morgan designed and build proof of concept solutions to realize an atomic transaction for a Canadian Dollar (CAD) – Singapore Dollar (SGD) payment across two DLT platforms, based on </w:t>
      </w:r>
      <w:r w:rsidR="00723C06">
        <w:rPr>
          <w:rFonts w:eastAsia="Batang"/>
          <w:lang w:val="en-CA"/>
        </w:rPr>
        <w:t>HTLCs</w:t>
      </w:r>
      <w:r>
        <w:rPr>
          <w:rFonts w:eastAsia="Batang"/>
          <w:lang w:val="en-CA"/>
        </w:rPr>
        <w:t>, without a trusted third party.</w:t>
      </w:r>
      <w:r w:rsidR="005A043A" w:rsidDel="005A043A">
        <w:rPr>
          <w:rStyle w:val="FootnoteReference"/>
          <w:rFonts w:eastAsia="Batang"/>
          <w:lang w:val="en-CA"/>
        </w:rPr>
        <w:t xml:space="preserve"> </w:t>
      </w:r>
    </w:p>
    <w:p w14:paraId="4334EAF5" w14:textId="594312DB" w:rsidR="00125179" w:rsidRDefault="005D1469" w:rsidP="00DD71F4">
      <w:pPr>
        <w:spacing w:after="120" w:line="264" w:lineRule="auto"/>
        <w:jc w:val="both"/>
        <w:rPr>
          <w:rFonts w:eastAsia="Arial"/>
        </w:rPr>
      </w:pPr>
      <w:r w:rsidRPr="0060119B">
        <w:rPr>
          <w:rFonts w:eastAsia="Arial"/>
          <w:b/>
          <w:color w:val="1F497D" w:themeColor="text2"/>
        </w:rPr>
        <w:t>The p</w:t>
      </w:r>
      <w:r w:rsidR="00125179" w:rsidRPr="0060119B">
        <w:rPr>
          <w:rFonts w:eastAsia="Arial"/>
          <w:b/>
          <w:color w:val="1F497D" w:themeColor="text2"/>
        </w:rPr>
        <w:t>roject proposes three broad conceptual design options for cross-border payments where a sender and a receiver are transacting on different ledgers with different currencies</w:t>
      </w:r>
      <w:r w:rsidR="00125179" w:rsidRPr="00734338">
        <w:rPr>
          <w:rFonts w:eastAsia="Arial"/>
        </w:rPr>
        <w:t xml:space="preserve">. The first </w:t>
      </w:r>
      <w:r w:rsidR="00125179">
        <w:rPr>
          <w:rFonts w:eastAsia="Arial"/>
        </w:rPr>
        <w:t xml:space="preserve">option involves using </w:t>
      </w:r>
      <w:r w:rsidR="00125179" w:rsidRPr="00734338">
        <w:rPr>
          <w:rFonts w:eastAsia="Arial"/>
        </w:rPr>
        <w:t xml:space="preserve">intermediaries, and the second </w:t>
      </w:r>
      <w:r w:rsidR="00125179">
        <w:rPr>
          <w:rFonts w:eastAsia="Arial"/>
        </w:rPr>
        <w:t xml:space="preserve">and third involve granting transacting parties access to </w:t>
      </w:r>
      <w:r w:rsidR="00125179" w:rsidRPr="00734338">
        <w:rPr>
          <w:rFonts w:eastAsia="Arial"/>
        </w:rPr>
        <w:t>the central bank’s liabilities.</w:t>
      </w:r>
    </w:p>
    <w:p w14:paraId="602698C3" w14:textId="77777777" w:rsidR="00125179" w:rsidRDefault="00125179" w:rsidP="00DD71F4">
      <w:pPr>
        <w:spacing w:after="120" w:line="264" w:lineRule="auto"/>
        <w:jc w:val="both"/>
        <w:rPr>
          <w:rFonts w:eastAsia="Arial"/>
        </w:rPr>
      </w:pPr>
    </w:p>
    <w:p w14:paraId="43BF4FED" w14:textId="77777777" w:rsidR="00125179" w:rsidRDefault="00125179" w:rsidP="00DD71F4">
      <w:pPr>
        <w:spacing w:after="120" w:line="264" w:lineRule="auto"/>
        <w:jc w:val="both"/>
        <w:rPr>
          <w:rFonts w:eastAsia="Batang"/>
        </w:rPr>
      </w:pPr>
      <w:r w:rsidRPr="004A5452">
        <w:rPr>
          <w:noProof/>
          <w:lang w:eastAsia="en-GB"/>
        </w:rPr>
        <w:drawing>
          <wp:inline distT="0" distB="0" distL="0" distR="0" wp14:anchorId="13FD311D" wp14:editId="7351EA5B">
            <wp:extent cx="6130644" cy="1566407"/>
            <wp:effectExtent l="0" t="0" r="3810" b="0"/>
            <wp:docPr id="1452470304" name="Picture 145247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57873" cy="1573364"/>
                    </a:xfrm>
                    <a:prstGeom prst="rect">
                      <a:avLst/>
                    </a:prstGeom>
                    <a:noFill/>
                  </pic:spPr>
                </pic:pic>
              </a:graphicData>
            </a:graphic>
          </wp:inline>
        </w:drawing>
      </w:r>
    </w:p>
    <w:p w14:paraId="1D69FDD5" w14:textId="77777777" w:rsidR="00125179" w:rsidRPr="004F2765" w:rsidRDefault="00125179" w:rsidP="00DD71F4">
      <w:pPr>
        <w:spacing w:after="120" w:line="264" w:lineRule="auto"/>
        <w:jc w:val="both"/>
        <w:rPr>
          <w:rFonts w:eastAsia="Batang"/>
        </w:rPr>
      </w:pPr>
    </w:p>
    <w:p w14:paraId="063B99D7" w14:textId="64F68F66" w:rsidR="00125179" w:rsidRPr="00C55ACB" w:rsidRDefault="00A928A0" w:rsidP="00DD71F4">
      <w:pPr>
        <w:pStyle w:val="Caption"/>
        <w:spacing w:line="264" w:lineRule="auto"/>
        <w:jc w:val="both"/>
        <w:rPr>
          <w:rFonts w:eastAsia="Batang"/>
          <w:lang w:val="fr-FR"/>
        </w:rPr>
      </w:pPr>
      <w:r>
        <w:rPr>
          <w:lang w:val="fr-FR"/>
        </w:rPr>
        <w:t>Figure 8</w:t>
      </w:r>
      <w:r w:rsidR="00B65A0C" w:rsidRPr="00C55ACB">
        <w:rPr>
          <w:lang w:val="fr-FR"/>
        </w:rPr>
        <w:t xml:space="preserve">: </w:t>
      </w:r>
      <w:r w:rsidR="00217A0F">
        <w:rPr>
          <w:lang w:val="fr-FR"/>
        </w:rPr>
        <w:t>Cross-Border</w:t>
      </w:r>
      <w:r w:rsidR="004C06AB">
        <w:rPr>
          <w:lang w:val="fr-FR"/>
        </w:rPr>
        <w:t xml:space="preserve"> Transaction Approches</w:t>
      </w:r>
      <w:r w:rsidR="00006EB0" w:rsidRPr="00C55ACB">
        <w:rPr>
          <w:lang w:val="fr-FR"/>
        </w:rPr>
        <w:t xml:space="preserve"> (</w:t>
      </w:r>
      <w:r w:rsidR="00BF5DD7" w:rsidRPr="00C55ACB">
        <w:rPr>
          <w:lang w:val="fr-FR"/>
        </w:rPr>
        <w:t>Source: BoC et al., 201</w:t>
      </w:r>
      <w:r w:rsidR="004C06AB">
        <w:rPr>
          <w:lang w:val="fr-FR"/>
        </w:rPr>
        <w:t>9</w:t>
      </w:r>
      <w:r w:rsidR="00006EB0" w:rsidRPr="00C55ACB">
        <w:rPr>
          <w:lang w:val="fr-FR"/>
        </w:rPr>
        <w:t>)</w:t>
      </w:r>
    </w:p>
    <w:p w14:paraId="52413E0D" w14:textId="6ED16644" w:rsidR="00125179" w:rsidRDefault="00A928A0" w:rsidP="00DD71F4">
      <w:pPr>
        <w:spacing w:before="240" w:after="240" w:line="264" w:lineRule="auto"/>
        <w:jc w:val="both"/>
        <w:rPr>
          <w:rFonts w:eastAsia="Batang"/>
          <w:lang w:val="en-CA"/>
        </w:rPr>
      </w:pPr>
      <w:r w:rsidRPr="00A928A0">
        <w:rPr>
          <w:rFonts w:eastAsia="Batang"/>
          <w:lang w:val="en-CA"/>
        </w:rPr>
        <w:t xml:space="preserve">The following table </w:t>
      </w:r>
      <w:r w:rsidR="00125179" w:rsidRPr="00A928A0">
        <w:rPr>
          <w:rFonts w:eastAsia="Batang"/>
          <w:lang w:val="en-CA"/>
        </w:rPr>
        <w:t>summarizes the characteristics of these three design options</w:t>
      </w:r>
      <w:r w:rsidRPr="00A928A0">
        <w:rPr>
          <w:rFonts w:eastAsia="Batang"/>
          <w:lang w:val="en-CA"/>
        </w:rPr>
        <w:t>.</w:t>
      </w:r>
    </w:p>
    <w:p w14:paraId="724D2CEB" w14:textId="54A1D7F5" w:rsidR="00A928A0" w:rsidRPr="00A928A0" w:rsidRDefault="00A928A0" w:rsidP="00DD71F4">
      <w:pPr>
        <w:spacing w:before="240" w:after="240" w:line="264" w:lineRule="auto"/>
        <w:jc w:val="both"/>
        <w:rPr>
          <w:rFonts w:eastAsia="Batang"/>
          <w:b/>
          <w:lang w:val="en-CA"/>
        </w:rPr>
      </w:pPr>
      <w:r w:rsidRPr="00A928A0">
        <w:rPr>
          <w:rFonts w:eastAsia="Batang"/>
          <w:b/>
          <w:lang w:val="en-CA"/>
        </w:rPr>
        <w:t xml:space="preserve">Table 4: </w:t>
      </w:r>
      <w:r w:rsidRPr="00A928A0">
        <w:rPr>
          <w:b/>
          <w:lang w:val="en-CA"/>
        </w:rPr>
        <w:t>Cross-Border Payments Summary (Source: BoC et al., 2019)</w:t>
      </w:r>
    </w:p>
    <w:tbl>
      <w:tblPr>
        <w:tblStyle w:val="ListTable4-Accent51"/>
        <w:tblW w:w="9771" w:type="dxa"/>
        <w:tblLook w:val="04A0" w:firstRow="1" w:lastRow="0" w:firstColumn="1" w:lastColumn="0" w:noHBand="0" w:noVBand="1"/>
      </w:tblPr>
      <w:tblGrid>
        <w:gridCol w:w="2972"/>
        <w:gridCol w:w="2977"/>
        <w:gridCol w:w="3822"/>
      </w:tblGrid>
      <w:tr w:rsidR="00125179" w:rsidRPr="00734338" w14:paraId="2B566CA3" w14:textId="77777777" w:rsidTr="00125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2BF6484C" w14:textId="77777777" w:rsidR="00125179" w:rsidRPr="00125179" w:rsidRDefault="00125179" w:rsidP="00DD71F4">
            <w:pPr>
              <w:spacing w:after="120" w:line="264" w:lineRule="auto"/>
              <w:jc w:val="both"/>
              <w:rPr>
                <w:b w:val="0"/>
                <w:bCs w:val="0"/>
                <w:szCs w:val="24"/>
              </w:rPr>
            </w:pPr>
            <w:r w:rsidRPr="00125179">
              <w:rPr>
                <w:szCs w:val="24"/>
              </w:rPr>
              <w:t>Intermediaries approach</w:t>
            </w:r>
          </w:p>
        </w:tc>
        <w:tc>
          <w:tcPr>
            <w:tcW w:w="2977" w:type="dxa"/>
            <w:hideMark/>
          </w:tcPr>
          <w:p w14:paraId="224061B4" w14:textId="77777777" w:rsidR="00125179" w:rsidRPr="00125179" w:rsidRDefault="00125179" w:rsidP="00DD71F4">
            <w:pPr>
              <w:spacing w:after="120" w:line="264" w:lineRule="auto"/>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125179">
              <w:rPr>
                <w:szCs w:val="24"/>
              </w:rPr>
              <w:t>Direct</w:t>
            </w:r>
            <w:r>
              <w:rPr>
                <w:b w:val="0"/>
                <w:bCs w:val="0"/>
                <w:szCs w:val="24"/>
              </w:rPr>
              <w:t xml:space="preserve"> </w:t>
            </w:r>
            <w:r w:rsidRPr="00125179">
              <w:rPr>
                <w:szCs w:val="24"/>
              </w:rPr>
              <w:t>widened access</w:t>
            </w:r>
          </w:p>
        </w:tc>
        <w:tc>
          <w:tcPr>
            <w:tcW w:w="3822" w:type="dxa"/>
            <w:hideMark/>
          </w:tcPr>
          <w:p w14:paraId="1AF104EB" w14:textId="77777777" w:rsidR="00125179" w:rsidRPr="00125179" w:rsidRDefault="00125179" w:rsidP="00DD71F4">
            <w:pPr>
              <w:spacing w:after="120" w:line="264" w:lineRule="auto"/>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125179">
              <w:rPr>
                <w:szCs w:val="24"/>
              </w:rPr>
              <w:t>Direct</w:t>
            </w:r>
            <w:r>
              <w:rPr>
                <w:b w:val="0"/>
                <w:bCs w:val="0"/>
                <w:szCs w:val="24"/>
              </w:rPr>
              <w:t xml:space="preserve"> </w:t>
            </w:r>
            <w:r w:rsidRPr="00125179">
              <w:rPr>
                <w:szCs w:val="24"/>
              </w:rPr>
              <w:t>multiple-currencies</w:t>
            </w:r>
          </w:p>
        </w:tc>
      </w:tr>
      <w:tr w:rsidR="00125179" w:rsidRPr="00734338" w14:paraId="5299ADB2" w14:textId="77777777" w:rsidTr="00125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2D9264B6" w14:textId="77777777" w:rsidR="00125179" w:rsidRPr="00125179" w:rsidRDefault="00125179" w:rsidP="00DD71F4">
            <w:pPr>
              <w:pStyle w:val="ListParagraph"/>
              <w:numPr>
                <w:ilvl w:val="0"/>
                <w:numId w:val="15"/>
              </w:numPr>
              <w:spacing w:before="120" w:after="120" w:line="264" w:lineRule="auto"/>
              <w:ind w:left="256" w:hanging="180"/>
              <w:rPr>
                <w:rFonts w:ascii="Times New Roman" w:hAnsi="Times New Roman" w:cs="Times New Roman"/>
                <w:b w:val="0"/>
                <w:bCs w:val="0"/>
              </w:rPr>
            </w:pPr>
            <w:r w:rsidRPr="00125179">
              <w:rPr>
                <w:rFonts w:ascii="Times New Roman" w:hAnsi="Times New Roman" w:cs="Times New Roman"/>
                <w:b w:val="0"/>
                <w:bCs w:val="0"/>
              </w:rPr>
              <w:t>also known as asset swap via intermediary</w:t>
            </w:r>
          </w:p>
          <w:p w14:paraId="642E5622" w14:textId="77777777" w:rsidR="00125179" w:rsidRPr="00125179" w:rsidRDefault="00125179" w:rsidP="00DD71F4">
            <w:pPr>
              <w:pStyle w:val="ListParagraph"/>
              <w:numPr>
                <w:ilvl w:val="0"/>
                <w:numId w:val="15"/>
              </w:numPr>
              <w:spacing w:before="120" w:after="120" w:line="264" w:lineRule="auto"/>
              <w:ind w:left="256" w:hanging="180"/>
              <w:rPr>
                <w:rFonts w:ascii="Times New Roman" w:hAnsi="Times New Roman" w:cs="Times New Roman"/>
              </w:rPr>
            </w:pPr>
            <w:r w:rsidRPr="00125179">
              <w:rPr>
                <w:rFonts w:ascii="Times New Roman" w:hAnsi="Times New Roman" w:cs="Times New Roman"/>
                <w:b w:val="0"/>
                <w:bCs w:val="0"/>
              </w:rPr>
              <w:t>needs intermediary for foreign exchange and transfer</w:t>
            </w:r>
          </w:p>
        </w:tc>
        <w:tc>
          <w:tcPr>
            <w:tcW w:w="2977" w:type="dxa"/>
            <w:hideMark/>
          </w:tcPr>
          <w:p w14:paraId="60AB4325" w14:textId="77777777" w:rsidR="00125179" w:rsidRPr="00125179" w:rsidRDefault="00125179" w:rsidP="00DD71F4">
            <w:pPr>
              <w:pStyle w:val="ListParagraph"/>
              <w:numPr>
                <w:ilvl w:val="0"/>
                <w:numId w:val="15"/>
              </w:numPr>
              <w:spacing w:before="120" w:after="120" w:line="264" w:lineRule="auto"/>
              <w:ind w:left="256"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25179">
              <w:rPr>
                <w:rFonts w:ascii="Times New Roman" w:hAnsi="Times New Roman" w:cs="Times New Roman"/>
              </w:rPr>
              <w:t xml:space="preserve">also known as direct access </w:t>
            </w:r>
          </w:p>
          <w:p w14:paraId="253BD8C1" w14:textId="77777777" w:rsidR="00125179" w:rsidRPr="00125179" w:rsidRDefault="00125179" w:rsidP="00DD71F4">
            <w:pPr>
              <w:pStyle w:val="ListParagraph"/>
              <w:numPr>
                <w:ilvl w:val="0"/>
                <w:numId w:val="15"/>
              </w:numPr>
              <w:spacing w:before="120" w:after="120" w:line="264" w:lineRule="auto"/>
              <w:ind w:left="256"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179">
              <w:rPr>
                <w:rFonts w:ascii="Times New Roman" w:hAnsi="Times New Roman" w:cs="Times New Roman"/>
              </w:rPr>
              <w:t>does not involve intermediary</w:t>
            </w:r>
          </w:p>
        </w:tc>
        <w:tc>
          <w:tcPr>
            <w:tcW w:w="3822" w:type="dxa"/>
            <w:hideMark/>
          </w:tcPr>
          <w:p w14:paraId="03F736B0" w14:textId="77777777" w:rsidR="00125179" w:rsidRPr="00125179" w:rsidRDefault="00125179" w:rsidP="00DD71F4">
            <w:pPr>
              <w:pStyle w:val="ListParagraph"/>
              <w:numPr>
                <w:ilvl w:val="0"/>
                <w:numId w:val="15"/>
              </w:numPr>
              <w:spacing w:before="120" w:after="120" w:line="264" w:lineRule="auto"/>
              <w:ind w:left="256"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25179">
              <w:rPr>
                <w:rFonts w:ascii="Times New Roman" w:hAnsi="Times New Roman" w:cs="Times New Roman"/>
              </w:rPr>
              <w:t xml:space="preserve">also known as </w:t>
            </w:r>
            <w:r w:rsidRPr="00125179">
              <w:rPr>
                <w:rFonts w:ascii="Times New Roman" w:hAnsi="Times New Roman" w:cs="Times New Roman"/>
                <w:b/>
              </w:rPr>
              <w:t>asset transfer</w:t>
            </w:r>
          </w:p>
          <w:p w14:paraId="3DF9B7DC" w14:textId="77777777" w:rsidR="00125179" w:rsidRPr="00125179" w:rsidRDefault="00125179" w:rsidP="00DD71F4">
            <w:pPr>
              <w:pStyle w:val="ListParagraph"/>
              <w:numPr>
                <w:ilvl w:val="0"/>
                <w:numId w:val="15"/>
              </w:numPr>
              <w:spacing w:before="120" w:after="120" w:line="264" w:lineRule="auto"/>
              <w:ind w:left="256"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179">
              <w:rPr>
                <w:rFonts w:ascii="Times New Roman" w:hAnsi="Times New Roman" w:cs="Times New Roman"/>
              </w:rPr>
              <w:t>allows for multiple currencies within the same network</w:t>
            </w:r>
          </w:p>
          <w:p w14:paraId="300F360F" w14:textId="77777777" w:rsidR="00125179" w:rsidRPr="00125179" w:rsidRDefault="00125179" w:rsidP="00DD71F4">
            <w:pPr>
              <w:pStyle w:val="ListParagraph"/>
              <w:numPr>
                <w:ilvl w:val="0"/>
                <w:numId w:val="15"/>
              </w:numPr>
              <w:spacing w:before="120" w:after="120" w:line="264" w:lineRule="auto"/>
              <w:ind w:left="256"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179">
              <w:rPr>
                <w:rFonts w:ascii="Times New Roman" w:hAnsi="Times New Roman" w:cs="Times New Roman"/>
              </w:rPr>
              <w:t>still need intermediary (which could be the central banks) for transfer</w:t>
            </w:r>
          </w:p>
        </w:tc>
      </w:tr>
    </w:tbl>
    <w:p w14:paraId="159B9289" w14:textId="77777777" w:rsidR="00A928A0" w:rsidRDefault="00A928A0" w:rsidP="00DD71F4">
      <w:pPr>
        <w:spacing w:after="120" w:line="264" w:lineRule="auto"/>
        <w:jc w:val="both"/>
        <w:rPr>
          <w:rFonts w:eastAsia="Batang"/>
          <w:b/>
          <w:color w:val="1F497D" w:themeColor="text2"/>
          <w:lang w:val="en-CA"/>
        </w:rPr>
      </w:pPr>
    </w:p>
    <w:p w14:paraId="11FDE254" w14:textId="639CE8CB" w:rsidR="00125179" w:rsidRPr="00B76F64" w:rsidRDefault="00125179" w:rsidP="00DD71F4">
      <w:pPr>
        <w:spacing w:after="120" w:line="264" w:lineRule="auto"/>
        <w:jc w:val="both"/>
        <w:rPr>
          <w:rFonts w:eastAsia="Batang"/>
        </w:rPr>
      </w:pPr>
      <w:r w:rsidRPr="00723C06">
        <w:rPr>
          <w:rFonts w:eastAsia="Batang"/>
          <w:b/>
          <w:color w:val="1F497D" w:themeColor="text2"/>
          <w:lang w:val="en-CA"/>
        </w:rPr>
        <w:t>As part of the project, HTLC sequence flows are designed for these design options and are documented in the report</w:t>
      </w:r>
      <w:r>
        <w:rPr>
          <w:rFonts w:eastAsia="Batang"/>
          <w:lang w:val="en-CA"/>
        </w:rPr>
        <w:t>.</w:t>
      </w:r>
      <w:r w:rsidR="00723C06">
        <w:rPr>
          <w:rFonts w:eastAsia="Batang"/>
          <w:lang w:val="en-CA"/>
        </w:rPr>
        <w:t xml:space="preserve"> </w:t>
      </w:r>
      <w:r>
        <w:rPr>
          <w:rFonts w:eastAsia="Batang"/>
          <w:lang w:val="en-CA"/>
        </w:rPr>
        <w:t xml:space="preserve">To verify the design, a proof of concept was successfully developed to prove the technical feasibility of transacting atomically across two dissimilar blockchain networks using HTLC. </w:t>
      </w:r>
      <w:r w:rsidR="00723C06">
        <w:rPr>
          <w:rFonts w:eastAsia="Batang"/>
          <w:lang w:val="en-CA"/>
        </w:rPr>
        <w:t xml:space="preserve"> </w:t>
      </w:r>
      <w:r w:rsidRPr="00526599">
        <w:t xml:space="preserve">In the Singapore network, local Bank A and Intermediary A </w:t>
      </w:r>
      <w:r>
        <w:t xml:space="preserve">in Singapore </w:t>
      </w:r>
      <w:r w:rsidRPr="00526599">
        <w:t>will use two different Quorum nodes. In the Canada blockchain, Intermediary A and local Bank B</w:t>
      </w:r>
      <w:r>
        <w:t xml:space="preserve"> in Canada</w:t>
      </w:r>
      <w:r w:rsidRPr="00526599">
        <w:t xml:space="preserve"> will use two different Corda nodes. Intermediary A has </w:t>
      </w:r>
      <w:r>
        <w:t xml:space="preserve">a </w:t>
      </w:r>
      <w:r w:rsidRPr="00526599">
        <w:t xml:space="preserve">presence in both networks and acts as an intermediary. </w:t>
      </w:r>
      <w:r w:rsidR="00723C06">
        <w:t>(See Figure 7 for the proof of concept set-up)</w:t>
      </w:r>
    </w:p>
    <w:p w14:paraId="18D9C691" w14:textId="77777777" w:rsidR="00723C06" w:rsidRDefault="00723C06" w:rsidP="00DD71F4">
      <w:pPr>
        <w:spacing w:after="120" w:line="264" w:lineRule="auto"/>
        <w:jc w:val="both"/>
      </w:pPr>
      <w:r w:rsidRPr="00723C06">
        <w:rPr>
          <w:b/>
          <w:color w:val="1F497D" w:themeColor="text2"/>
        </w:rPr>
        <w:t>The project successfully implemented and demonstrated the ability to perform atomic transactions between a Quorum-based network in Singapore and a Corda-based network in Canada using HTLC</w:t>
      </w:r>
      <w:r>
        <w:t>. Following are the key findings, challenges and limitations of these solutions:</w:t>
      </w:r>
    </w:p>
    <w:p w14:paraId="75A377F2" w14:textId="403EFF2B" w:rsidR="00723C06" w:rsidRPr="00125179" w:rsidRDefault="00723C06" w:rsidP="00DD71F4">
      <w:pPr>
        <w:pStyle w:val="ListParagraph"/>
        <w:numPr>
          <w:ilvl w:val="0"/>
          <w:numId w:val="16"/>
        </w:numPr>
        <w:spacing w:after="0" w:line="264" w:lineRule="auto"/>
        <w:contextualSpacing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Pr="00125179">
        <w:rPr>
          <w:rFonts w:ascii="Times New Roman" w:hAnsi="Times New Roman" w:cs="Times New Roman"/>
          <w:color w:val="000000" w:themeColor="text1"/>
          <w:sz w:val="24"/>
          <w:szCs w:val="24"/>
        </w:rPr>
        <w:t>DLT platform must support the specific features (locking, secret disclosure and timeout) to successfully build the HTLC functionality</w:t>
      </w:r>
    </w:p>
    <w:p w14:paraId="1B3D85DD" w14:textId="77777777" w:rsidR="00723C06" w:rsidRPr="00125179" w:rsidRDefault="00723C06" w:rsidP="00DD71F4">
      <w:pPr>
        <w:pStyle w:val="ListParagraph"/>
        <w:numPr>
          <w:ilvl w:val="0"/>
          <w:numId w:val="16"/>
        </w:numPr>
        <w:spacing w:after="0" w:line="264" w:lineRule="auto"/>
        <w:contextualSpacing w:val="0"/>
        <w:rPr>
          <w:rFonts w:ascii="Times New Roman" w:hAnsi="Times New Roman" w:cs="Times New Roman"/>
          <w:color w:val="000000" w:themeColor="text1"/>
          <w:sz w:val="24"/>
          <w:szCs w:val="24"/>
        </w:rPr>
      </w:pPr>
      <w:r w:rsidRPr="00125179">
        <w:rPr>
          <w:rFonts w:ascii="Times New Roman" w:hAnsi="Times New Roman" w:cs="Times New Roman"/>
          <w:color w:val="000000" w:themeColor="text1"/>
          <w:sz w:val="24"/>
          <w:szCs w:val="24"/>
        </w:rPr>
        <w:t>Further study and experiments are required to prove the feasibility of HTLC across more than two networks.</w:t>
      </w:r>
    </w:p>
    <w:p w14:paraId="22452802" w14:textId="77777777" w:rsidR="00723C06" w:rsidRPr="00125179" w:rsidRDefault="00723C06" w:rsidP="00DD71F4">
      <w:pPr>
        <w:pStyle w:val="ListParagraph"/>
        <w:numPr>
          <w:ilvl w:val="0"/>
          <w:numId w:val="16"/>
        </w:numPr>
        <w:spacing w:after="0" w:line="264" w:lineRule="auto"/>
        <w:contextualSpacing w:val="0"/>
        <w:rPr>
          <w:rFonts w:ascii="Times New Roman" w:hAnsi="Times New Roman" w:cs="Times New Roman"/>
          <w:color w:val="000000" w:themeColor="text1"/>
          <w:sz w:val="24"/>
          <w:szCs w:val="24"/>
        </w:rPr>
      </w:pPr>
      <w:r w:rsidRPr="00125179">
        <w:rPr>
          <w:rFonts w:ascii="Times New Roman" w:hAnsi="Times New Roman" w:cs="Times New Roman"/>
          <w:color w:val="000000" w:themeColor="text1"/>
          <w:sz w:val="24"/>
          <w:szCs w:val="24"/>
        </w:rPr>
        <w:t>More study and experiments are required to prove the scalability of the design in real-world scenario where there are hundreds to thousands of participants on each network.</w:t>
      </w:r>
    </w:p>
    <w:p w14:paraId="521C9B75" w14:textId="35A4B937" w:rsidR="00723C06" w:rsidRDefault="00723C06" w:rsidP="00DD71F4">
      <w:pPr>
        <w:pStyle w:val="ListParagraph"/>
        <w:numPr>
          <w:ilvl w:val="0"/>
          <w:numId w:val="16"/>
        </w:numPr>
        <w:spacing w:after="0" w:line="264" w:lineRule="auto"/>
        <w:contextualSpacing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Pr="00125179">
        <w:rPr>
          <w:rFonts w:ascii="Times New Roman" w:hAnsi="Times New Roman" w:cs="Times New Roman"/>
          <w:color w:val="000000" w:themeColor="text1"/>
          <w:sz w:val="24"/>
          <w:szCs w:val="24"/>
        </w:rPr>
        <w:t>HTLC protocol requires off-chain transfer of secret in a timely manner which introduces some failure scenarios that needs to be handled.</w:t>
      </w:r>
    </w:p>
    <w:p w14:paraId="53E06C3C" w14:textId="77777777" w:rsidR="00125179" w:rsidRDefault="00125179" w:rsidP="00DD71F4">
      <w:pPr>
        <w:spacing w:after="120" w:line="264" w:lineRule="auto"/>
        <w:jc w:val="both"/>
        <w:rPr>
          <w:rFonts w:eastAsia="Batang"/>
          <w:lang w:val="en-CA"/>
        </w:rPr>
      </w:pPr>
    </w:p>
    <w:p w14:paraId="63A50AB8" w14:textId="77777777" w:rsidR="00125179" w:rsidRDefault="00125179" w:rsidP="00DD71F4">
      <w:pPr>
        <w:spacing w:after="120" w:line="264" w:lineRule="auto"/>
        <w:jc w:val="both"/>
        <w:rPr>
          <w:rFonts w:eastAsia="Batang"/>
          <w:lang w:val="en-CA"/>
        </w:rPr>
      </w:pPr>
      <w:r>
        <w:rPr>
          <w:noProof/>
          <w:lang w:eastAsia="en-GB"/>
        </w:rPr>
        <w:drawing>
          <wp:inline distT="0" distB="0" distL="0" distR="0" wp14:anchorId="28988BD3" wp14:editId="7F38E8F4">
            <wp:extent cx="5943600" cy="28276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2827655"/>
                    </a:xfrm>
                    <a:prstGeom prst="rect">
                      <a:avLst/>
                    </a:prstGeom>
                  </pic:spPr>
                </pic:pic>
              </a:graphicData>
            </a:graphic>
          </wp:inline>
        </w:drawing>
      </w:r>
    </w:p>
    <w:p w14:paraId="4D991547" w14:textId="2B8AF994" w:rsidR="00125179" w:rsidRPr="00C106AC" w:rsidRDefault="00B65A0C" w:rsidP="00DD71F4">
      <w:pPr>
        <w:pStyle w:val="Caption"/>
        <w:spacing w:line="264" w:lineRule="auto"/>
        <w:jc w:val="both"/>
        <w:rPr>
          <w:rFonts w:eastAsia="Batang"/>
          <w:lang w:val="en-CA"/>
        </w:rPr>
      </w:pPr>
      <w:r w:rsidRPr="00C106AC">
        <w:rPr>
          <w:lang w:val="en-CA"/>
        </w:rPr>
        <w:t xml:space="preserve">Figure </w:t>
      </w:r>
      <w:r w:rsidR="00A928A0">
        <w:rPr>
          <w:lang w:val="en-CA"/>
        </w:rPr>
        <w:t>9</w:t>
      </w:r>
      <w:r w:rsidRPr="00C106AC">
        <w:rPr>
          <w:lang w:val="en-CA"/>
        </w:rPr>
        <w:t xml:space="preserve">: </w:t>
      </w:r>
      <w:r w:rsidR="00217A0F">
        <w:rPr>
          <w:lang w:val="en-CA"/>
        </w:rPr>
        <w:t>Cross-Border</w:t>
      </w:r>
      <w:r w:rsidR="004C06AB" w:rsidRPr="002E7B41">
        <w:rPr>
          <w:lang w:val="en-CA"/>
        </w:rPr>
        <w:t xml:space="preserve"> Payment Proof of</w:t>
      </w:r>
      <w:r w:rsidR="004C06AB">
        <w:rPr>
          <w:lang w:val="en-CA"/>
        </w:rPr>
        <w:t xml:space="preserve"> Concept Setup </w:t>
      </w:r>
      <w:r w:rsidR="00006EB0" w:rsidRPr="00C106AC">
        <w:rPr>
          <w:lang w:val="en-CA"/>
        </w:rPr>
        <w:t>(</w:t>
      </w:r>
      <w:r w:rsidR="00BF5DD7" w:rsidRPr="00C106AC">
        <w:rPr>
          <w:lang w:val="en-CA"/>
        </w:rPr>
        <w:t>Source: BoC et al., 201</w:t>
      </w:r>
      <w:r w:rsidR="004C06AB">
        <w:rPr>
          <w:lang w:val="en-CA"/>
        </w:rPr>
        <w:t>9</w:t>
      </w:r>
      <w:r w:rsidR="00006EB0" w:rsidRPr="00C106AC">
        <w:rPr>
          <w:lang w:val="en-CA"/>
        </w:rPr>
        <w:t>)</w:t>
      </w:r>
    </w:p>
    <w:p w14:paraId="1EEF93BD" w14:textId="77777777" w:rsidR="00E9411E" w:rsidRPr="00E9411E" w:rsidRDefault="00E9411E" w:rsidP="00DD71F4">
      <w:pPr>
        <w:pStyle w:val="Heading2"/>
        <w:keepNext w:val="0"/>
        <w:tabs>
          <w:tab w:val="clear" w:pos="3978"/>
          <w:tab w:val="num" w:pos="567"/>
        </w:tabs>
        <w:spacing w:before="120" w:after="120" w:line="264" w:lineRule="auto"/>
        <w:ind w:left="567" w:hanging="567"/>
        <w:jc w:val="both"/>
        <w:rPr>
          <w:rFonts w:eastAsia="Batang"/>
          <w:iCs w:val="0"/>
          <w:lang w:val="en-CA"/>
        </w:rPr>
      </w:pPr>
      <w:bookmarkStart w:id="69" w:name="_Toc14190296"/>
      <w:r w:rsidRPr="00E9411E">
        <w:rPr>
          <w:rFonts w:eastAsia="Batang"/>
          <w:iCs w:val="0"/>
          <w:lang w:val="en-CA"/>
        </w:rPr>
        <w:t>Utility Settlement Coin</w:t>
      </w:r>
      <w:bookmarkEnd w:id="69"/>
    </w:p>
    <w:p w14:paraId="68037A9F" w14:textId="5EDFFA58" w:rsidR="00E9411E" w:rsidRPr="00DA0F44" w:rsidRDefault="00723C06" w:rsidP="00DD71F4">
      <w:pPr>
        <w:spacing w:after="120" w:line="264" w:lineRule="auto"/>
        <w:jc w:val="both"/>
        <w:rPr>
          <w:rFonts w:eastAsia="Times New Roman"/>
          <w:szCs w:val="24"/>
        </w:rPr>
      </w:pPr>
      <w:r w:rsidRPr="0060119B">
        <w:rPr>
          <w:rFonts w:eastAsia="Times New Roman"/>
          <w:b/>
          <w:color w:val="1F497D" w:themeColor="text2"/>
          <w:szCs w:val="24"/>
        </w:rPr>
        <w:t xml:space="preserve">The </w:t>
      </w:r>
      <w:r w:rsidR="00E9411E" w:rsidRPr="0060119B">
        <w:rPr>
          <w:rFonts w:eastAsia="Times New Roman"/>
          <w:b/>
          <w:color w:val="1F497D" w:themeColor="text2"/>
          <w:szCs w:val="24"/>
        </w:rPr>
        <w:t>Utility Settlement Coin (USC) project involv</w:t>
      </w:r>
      <w:r w:rsidRPr="0060119B">
        <w:rPr>
          <w:rFonts w:eastAsia="Times New Roman"/>
          <w:b/>
          <w:color w:val="1F497D" w:themeColor="text2"/>
          <w:szCs w:val="24"/>
        </w:rPr>
        <w:t>es</w:t>
      </w:r>
      <w:r w:rsidR="00E9411E" w:rsidRPr="0060119B">
        <w:rPr>
          <w:rFonts w:eastAsia="Times New Roman"/>
          <w:b/>
          <w:color w:val="1F497D" w:themeColor="text2"/>
          <w:szCs w:val="24"/>
        </w:rPr>
        <w:t xml:space="preserve"> several of the world’s largest financial institutions (FIs) to provide a tokenized payment instrument on a DLT/blockchain platform</w:t>
      </w:r>
      <w:r w:rsidR="00E9411E" w:rsidRPr="00DA0F44">
        <w:rPr>
          <w:rFonts w:eastAsia="Times New Roman"/>
          <w:szCs w:val="24"/>
        </w:rPr>
        <w:t>.</w:t>
      </w:r>
      <w:r>
        <w:rPr>
          <w:rStyle w:val="FootnoteReference"/>
          <w:rFonts w:eastAsia="Times New Roman"/>
          <w:szCs w:val="24"/>
        </w:rPr>
        <w:footnoteReference w:id="23"/>
      </w:r>
      <w:r w:rsidR="00E9411E" w:rsidRPr="00DA0F44">
        <w:rPr>
          <w:rFonts w:eastAsia="Times New Roman"/>
          <w:szCs w:val="24"/>
        </w:rPr>
        <w:t xml:space="preserve"> The value proposition is based on the hypothesis that the wholesale asset markets are tokenizing and that without an equivalent tokeni</w:t>
      </w:r>
      <w:r>
        <w:rPr>
          <w:rFonts w:eastAsia="Times New Roman"/>
          <w:szCs w:val="24"/>
        </w:rPr>
        <w:t>z</w:t>
      </w:r>
      <w:r w:rsidR="00E9411E" w:rsidRPr="00DA0F44">
        <w:rPr>
          <w:rFonts w:eastAsia="Times New Roman"/>
          <w:szCs w:val="24"/>
        </w:rPr>
        <w:t>ed pay leg, this asset tokenisation is unlikely to completely achieve the desired efficiencies that their business cases promise.  USC is intended to provide the payment leg to those tokeni</w:t>
      </w:r>
      <w:r>
        <w:rPr>
          <w:rFonts w:eastAsia="Times New Roman"/>
          <w:szCs w:val="24"/>
        </w:rPr>
        <w:t>z</w:t>
      </w:r>
      <w:r w:rsidR="00E9411E" w:rsidRPr="00DA0F44">
        <w:rPr>
          <w:rFonts w:eastAsia="Times New Roman"/>
          <w:szCs w:val="24"/>
        </w:rPr>
        <w:t>ed assets. The settlement coin will be a digital currency, backed by the cash assets at a central bank (but is not issu</w:t>
      </w:r>
      <w:r>
        <w:rPr>
          <w:rFonts w:eastAsia="Times New Roman"/>
          <w:szCs w:val="24"/>
        </w:rPr>
        <w:t>ed</w:t>
      </w:r>
      <w:r w:rsidR="00E9411E" w:rsidRPr="00DA0F44">
        <w:rPr>
          <w:rFonts w:eastAsia="Times New Roman"/>
          <w:szCs w:val="24"/>
        </w:rPr>
        <w:t xml:space="preserve"> by, and therefore not a liability of, the central bank), with the objective of easy ownership transfer with reduced process complexity and settlement time.</w:t>
      </w:r>
    </w:p>
    <w:p w14:paraId="6884121B" w14:textId="5193E399" w:rsidR="00E9411E" w:rsidRDefault="00E9411E" w:rsidP="00DD71F4">
      <w:pPr>
        <w:spacing w:after="120" w:line="264" w:lineRule="auto"/>
        <w:jc w:val="both"/>
      </w:pPr>
      <w:r w:rsidRPr="0060119B">
        <w:rPr>
          <w:rFonts w:eastAsia="Times New Roman"/>
          <w:b/>
          <w:color w:val="1F497D" w:themeColor="text2"/>
          <w:szCs w:val="24"/>
        </w:rPr>
        <w:t>USC uses the DLT framework (Autonity) provided by Clearmatics and is based on an Ethereum Fork</w:t>
      </w:r>
      <w:r w:rsidRPr="00DA0F44">
        <w:rPr>
          <w:rFonts w:eastAsia="Times New Roman"/>
          <w:szCs w:val="24"/>
        </w:rPr>
        <w:t>. Autonity supports deterministic finality, and the ability to permission validators and network access. Autonity works in harmony with Ion, a general interoperability framework, to support interoperability between Ethereum chains, and even Ethereum and non-Ethereum platforms.</w:t>
      </w:r>
    </w:p>
    <w:p w14:paraId="2DB788AD" w14:textId="28D87F05" w:rsidR="00E9411E" w:rsidRDefault="00E9411E" w:rsidP="00DD71F4">
      <w:pPr>
        <w:spacing w:after="120" w:line="264" w:lineRule="auto"/>
        <w:jc w:val="both"/>
      </w:pPr>
      <w:r w:rsidRPr="0060119B">
        <w:rPr>
          <w:rFonts w:eastAsia="Times New Roman"/>
          <w:b/>
          <w:color w:val="1F497D" w:themeColor="text2"/>
          <w:szCs w:val="24"/>
        </w:rPr>
        <w:t>Unlike Bitcoin, USC will not be a cryptocurrency</w:t>
      </w:r>
      <w:r w:rsidRPr="00DA0F44">
        <w:rPr>
          <w:rFonts w:eastAsia="Times New Roman"/>
          <w:szCs w:val="24"/>
        </w:rPr>
        <w:t xml:space="preserve">. It will be a digital cash equivalent of each of the major currencies backed by central bank money, such as a dollar or euro. Each USC would represent fiat currency on a one-to-one basis and would thus be 100% backed by collateral at the domestic central bank. It will act as a convertible stand-in for major currencies. </w:t>
      </w:r>
    </w:p>
    <w:p w14:paraId="13E9EDA1" w14:textId="57E7A5E9" w:rsidR="008A15C4" w:rsidRDefault="00E9411E" w:rsidP="00DD71F4">
      <w:pPr>
        <w:spacing w:after="120" w:line="264" w:lineRule="auto"/>
        <w:jc w:val="both"/>
        <w:rPr>
          <w:rFonts w:eastAsia="Batang"/>
          <w:iCs/>
          <w:lang w:val="en-CA"/>
        </w:rPr>
      </w:pPr>
      <w:r w:rsidRPr="0060119B">
        <w:rPr>
          <w:rFonts w:eastAsia="Times New Roman"/>
          <w:b/>
          <w:color w:val="1F497D" w:themeColor="text2"/>
          <w:szCs w:val="24"/>
        </w:rPr>
        <w:t>The USC consortium is taking a phased approach for designing and implementing USC</w:t>
      </w:r>
      <w:r w:rsidRPr="00DA0F44">
        <w:rPr>
          <w:rFonts w:eastAsia="Times New Roman"/>
          <w:szCs w:val="24"/>
        </w:rPr>
        <w:t xml:space="preserve"> from concept (Phase 1) to legal and regulatory compliance (Phase II) to test (Phase III) and finally to live implementation (phase IV)</w:t>
      </w:r>
      <w:r w:rsidR="008A15C4">
        <w:rPr>
          <w:rFonts w:eastAsia="Times New Roman"/>
          <w:szCs w:val="24"/>
        </w:rPr>
        <w:t xml:space="preserve">. In June 2019 </w:t>
      </w:r>
      <w:r w:rsidRPr="00DA0F44">
        <w:rPr>
          <w:rFonts w:eastAsia="Times New Roman"/>
          <w:szCs w:val="24"/>
        </w:rPr>
        <w:t>the USC consortium close</w:t>
      </w:r>
      <w:r w:rsidR="008A15C4">
        <w:rPr>
          <w:rFonts w:eastAsia="Times New Roman"/>
          <w:szCs w:val="24"/>
        </w:rPr>
        <w:t>d</w:t>
      </w:r>
      <w:r w:rsidRPr="00DA0F44">
        <w:rPr>
          <w:rFonts w:eastAsia="Times New Roman"/>
          <w:szCs w:val="24"/>
        </w:rPr>
        <w:t xml:space="preserve"> </w:t>
      </w:r>
      <w:r w:rsidR="008A15C4">
        <w:rPr>
          <w:rFonts w:eastAsia="Times New Roman"/>
          <w:szCs w:val="24"/>
        </w:rPr>
        <w:t xml:space="preserve">a </w:t>
      </w:r>
      <w:r w:rsidR="008A15C4" w:rsidRPr="008A15C4">
        <w:rPr>
          <w:rFonts w:eastAsia="Times New Roman"/>
          <w:szCs w:val="24"/>
        </w:rPr>
        <w:t>£50</w:t>
      </w:r>
      <w:r w:rsidR="008A15C4">
        <w:rPr>
          <w:rFonts w:eastAsia="Times New Roman"/>
          <w:szCs w:val="24"/>
        </w:rPr>
        <w:t xml:space="preserve"> million</w:t>
      </w:r>
      <w:r w:rsidR="008A15C4" w:rsidRPr="008A15C4">
        <w:rPr>
          <w:rFonts w:eastAsia="Times New Roman"/>
          <w:szCs w:val="24"/>
        </w:rPr>
        <w:t xml:space="preserve"> Series A equity </w:t>
      </w:r>
      <w:r w:rsidR="008A15C4">
        <w:rPr>
          <w:rFonts w:eastAsia="Times New Roman"/>
          <w:szCs w:val="24"/>
        </w:rPr>
        <w:t xml:space="preserve">funding </w:t>
      </w:r>
      <w:r w:rsidR="008A15C4" w:rsidRPr="008A15C4">
        <w:rPr>
          <w:rFonts w:eastAsia="Times New Roman"/>
          <w:szCs w:val="24"/>
        </w:rPr>
        <w:t>round of</w:t>
      </w:r>
      <w:r w:rsidR="008A15C4">
        <w:rPr>
          <w:rFonts w:eastAsia="Times New Roman"/>
          <w:szCs w:val="24"/>
        </w:rPr>
        <w:t xml:space="preserve"> </w:t>
      </w:r>
      <w:r w:rsidRPr="00DA0F44">
        <w:rPr>
          <w:rFonts w:eastAsia="Times New Roman"/>
          <w:szCs w:val="24"/>
        </w:rPr>
        <w:t>and is pursuing regulatory clearance.</w:t>
      </w:r>
      <w:r w:rsidR="008A15C4">
        <w:rPr>
          <w:rStyle w:val="FootnoteReference"/>
          <w:rFonts w:eastAsia="Times New Roman"/>
          <w:szCs w:val="24"/>
        </w:rPr>
        <w:footnoteReference w:id="24"/>
      </w:r>
      <w:r w:rsidRPr="00DA0F44">
        <w:rPr>
          <w:rFonts w:eastAsia="Times New Roman"/>
          <w:szCs w:val="24"/>
        </w:rPr>
        <w:t xml:space="preserve"> </w:t>
      </w:r>
    </w:p>
    <w:p w14:paraId="5055F274" w14:textId="6C35BCD5" w:rsidR="00FE7DCA" w:rsidRDefault="00FE7DCA" w:rsidP="00DD71F4">
      <w:pPr>
        <w:pStyle w:val="Heading2"/>
        <w:keepNext w:val="0"/>
        <w:tabs>
          <w:tab w:val="clear" w:pos="3978"/>
          <w:tab w:val="num" w:pos="567"/>
        </w:tabs>
        <w:spacing w:before="120" w:after="120" w:line="264" w:lineRule="auto"/>
        <w:ind w:left="567" w:hanging="567"/>
        <w:jc w:val="both"/>
        <w:rPr>
          <w:rFonts w:eastAsia="Batang"/>
          <w:iCs w:val="0"/>
          <w:lang w:val="en-CA"/>
        </w:rPr>
      </w:pPr>
      <w:bookmarkStart w:id="70" w:name="_Toc14190297"/>
      <w:r>
        <w:rPr>
          <w:rFonts w:eastAsia="Batang"/>
          <w:iCs w:val="0"/>
          <w:lang w:val="en-CA"/>
        </w:rPr>
        <w:t>Cross Border Settlement with Central Bank Money</w:t>
      </w:r>
      <w:bookmarkEnd w:id="70"/>
    </w:p>
    <w:p w14:paraId="59F2DFE3" w14:textId="079166F3" w:rsidR="00FE7DCA" w:rsidRDefault="00FE7DCA" w:rsidP="00DD71F4">
      <w:pPr>
        <w:jc w:val="both"/>
      </w:pPr>
      <w:r>
        <w:t>R3 conducted a study, “Cross-Border Settlement Systems: Blockchain Models Involving Central Bank Money,” intended to invite further development of new, different approaches for improving wholesale cross-border settlement using distributed ledger technology (DLT). While the first group of proposed mode</w:t>
      </w:r>
      <w:r w:rsidR="00816F35">
        <w:t>l</w:t>
      </w:r>
      <w:r>
        <w:t xml:space="preserve">s would heavily involve central banks, the second group would involve a trusted third party and a more passive role for central banks. </w:t>
      </w:r>
    </w:p>
    <w:p w14:paraId="5583E234" w14:textId="77777777" w:rsidR="00FE7DCA" w:rsidRDefault="00FE7DCA" w:rsidP="00DD71F4">
      <w:pPr>
        <w:jc w:val="both"/>
      </w:pPr>
      <w:r>
        <w:t xml:space="preserve">The models were evaluated based on monetary supply implications, impact on liquidity management for commercial banks, settlement risk, credit risk, and complexity for central banks. For each option, the components of the method, the actions undertaken, and conceptual evaluations of the method are presented. </w:t>
      </w:r>
    </w:p>
    <w:p w14:paraId="3F89BD75" w14:textId="77777777" w:rsidR="00FE7DCA" w:rsidRPr="002E0427" w:rsidRDefault="00FE7DCA" w:rsidP="00DD71F4">
      <w:pPr>
        <w:jc w:val="both"/>
        <w:rPr>
          <w:b/>
        </w:rPr>
      </w:pPr>
      <w:r w:rsidRPr="002E0427">
        <w:rPr>
          <w:b/>
        </w:rPr>
        <w:t>Intermediate Cryptocurrency</w:t>
      </w:r>
    </w:p>
    <w:p w14:paraId="2235FFCE" w14:textId="16EC8927" w:rsidR="00FE7DCA" w:rsidRDefault="00FE7DCA" w:rsidP="00DD71F4">
      <w:pPr>
        <w:jc w:val="both"/>
        <w:rPr>
          <w:rFonts w:asciiTheme="majorBidi" w:hAnsiTheme="majorBidi" w:cstheme="majorBidi"/>
        </w:rPr>
      </w:pPr>
      <w:r>
        <w:t xml:space="preserve">The paper </w:t>
      </w:r>
      <w:r w:rsidRPr="00C106AC">
        <w:rPr>
          <w:rFonts w:asciiTheme="majorBidi" w:hAnsiTheme="majorBidi" w:cstheme="majorBidi"/>
        </w:rPr>
        <w:t xml:space="preserve">proposes an intermediate cryptocurrency, which would circulate only within the interbank market, accessible solely to financial institutions.  Such an approach has several fundamental requirements: </w:t>
      </w:r>
    </w:p>
    <w:p w14:paraId="4F4AA5B0" w14:textId="77777777" w:rsidR="00816F35" w:rsidRPr="00C106AC" w:rsidRDefault="00816F35" w:rsidP="00DD71F4">
      <w:pPr>
        <w:jc w:val="both"/>
        <w:rPr>
          <w:rFonts w:asciiTheme="majorBidi" w:hAnsiTheme="majorBidi" w:cstheme="majorBidi"/>
        </w:rPr>
      </w:pPr>
    </w:p>
    <w:p w14:paraId="0CA3548F" w14:textId="77777777" w:rsidR="00FE7DCA" w:rsidRPr="00C106AC" w:rsidRDefault="00FE7DCA" w:rsidP="00DD71F4">
      <w:pPr>
        <w:pStyle w:val="ListParagraph"/>
        <w:numPr>
          <w:ilvl w:val="0"/>
          <w:numId w:val="46"/>
        </w:numPr>
        <w:spacing w:after="160" w:line="259" w:lineRule="auto"/>
        <w:rPr>
          <w:rFonts w:asciiTheme="majorBidi" w:hAnsiTheme="majorBidi" w:cstheme="majorBidi"/>
          <w:sz w:val="24"/>
        </w:rPr>
      </w:pPr>
      <w:r w:rsidRPr="00C106AC">
        <w:rPr>
          <w:rFonts w:asciiTheme="majorBidi" w:hAnsiTheme="majorBidi" w:cstheme="majorBidi"/>
          <w:b/>
          <w:bCs/>
          <w:sz w:val="24"/>
        </w:rPr>
        <w:t>Wide adoption</w:t>
      </w:r>
      <w:r w:rsidRPr="00C106AC">
        <w:rPr>
          <w:rFonts w:asciiTheme="majorBidi" w:hAnsiTheme="majorBidi" w:cstheme="majorBidi"/>
          <w:sz w:val="24"/>
        </w:rPr>
        <w:t xml:space="preserve">: An intermediate cryptocurrency should be honored as a valid settlement asset across multiple currency jurisdictions at least. Some examples would be universally accessible. </w:t>
      </w:r>
    </w:p>
    <w:p w14:paraId="70EFB9CE" w14:textId="0B56676D" w:rsidR="00FE7DCA" w:rsidRPr="00C106AC" w:rsidRDefault="00FE7DCA" w:rsidP="00DD71F4">
      <w:pPr>
        <w:pStyle w:val="ListParagraph"/>
        <w:numPr>
          <w:ilvl w:val="0"/>
          <w:numId w:val="46"/>
        </w:numPr>
        <w:spacing w:after="160" w:line="259" w:lineRule="auto"/>
        <w:rPr>
          <w:rFonts w:asciiTheme="majorBidi" w:hAnsiTheme="majorBidi" w:cstheme="majorBidi"/>
          <w:sz w:val="24"/>
        </w:rPr>
      </w:pPr>
      <w:r w:rsidRPr="00C106AC">
        <w:rPr>
          <w:rFonts w:asciiTheme="majorBidi" w:hAnsiTheme="majorBidi" w:cstheme="majorBidi"/>
          <w:b/>
          <w:bCs/>
          <w:sz w:val="24"/>
        </w:rPr>
        <w:t>Stable market value</w:t>
      </w:r>
      <w:r w:rsidRPr="00C106AC">
        <w:rPr>
          <w:rFonts w:asciiTheme="majorBidi" w:hAnsiTheme="majorBidi" w:cstheme="majorBidi"/>
          <w:sz w:val="24"/>
        </w:rPr>
        <w:t xml:space="preserve">: An intermediate cryptocurrency should have stable market value to fulfill the function of value storage and facilitate value transfer across currency zones.  Therefore, an intermediate cryptocurrency issued by a central bank should be pegged and convertible with the fiat currency issued by the central bank at par. The value of the cryptocurrency would be solidly supported by the value of the corresponding domestic fiat currency. The cryptocurrency also inherits the popularity from domestic money and would fit better with existing market infrastructures. </w:t>
      </w:r>
    </w:p>
    <w:p w14:paraId="37B7F518" w14:textId="77777777" w:rsidR="00FE7DCA" w:rsidRPr="00C106AC" w:rsidRDefault="00FE7DCA" w:rsidP="00DD71F4">
      <w:pPr>
        <w:pStyle w:val="ListParagraph"/>
        <w:numPr>
          <w:ilvl w:val="0"/>
          <w:numId w:val="46"/>
        </w:numPr>
        <w:spacing w:after="160" w:line="259" w:lineRule="auto"/>
        <w:rPr>
          <w:rFonts w:asciiTheme="majorBidi" w:hAnsiTheme="majorBidi" w:cstheme="majorBidi"/>
          <w:sz w:val="24"/>
        </w:rPr>
      </w:pPr>
      <w:r w:rsidRPr="00C106AC">
        <w:rPr>
          <w:rFonts w:asciiTheme="majorBidi" w:hAnsiTheme="majorBidi" w:cstheme="majorBidi"/>
          <w:b/>
          <w:bCs/>
          <w:sz w:val="24"/>
        </w:rPr>
        <w:t>Deep liquidity</w:t>
      </w:r>
      <w:r w:rsidRPr="00C106AC">
        <w:rPr>
          <w:rFonts w:asciiTheme="majorBidi" w:hAnsiTheme="majorBidi" w:cstheme="majorBidi"/>
          <w:sz w:val="24"/>
        </w:rPr>
        <w:t>: As both the volume and value of transactions are large through the cross-border wholesale payment system, there should be large and fluctuating demand for converting between the intermediate cryptocurrency and desired local currencies, which requires the existence of market makers to provide sufficient liquidity.</w:t>
      </w:r>
    </w:p>
    <w:p w14:paraId="27426ADE" w14:textId="77777777" w:rsidR="00FE7DCA" w:rsidRPr="00C106AC" w:rsidRDefault="00FE7DCA" w:rsidP="00DD71F4">
      <w:pPr>
        <w:jc w:val="both"/>
        <w:rPr>
          <w:rFonts w:asciiTheme="majorBidi" w:hAnsiTheme="majorBidi" w:cstheme="majorBidi"/>
          <w:b/>
        </w:rPr>
      </w:pPr>
      <w:r w:rsidRPr="00C106AC">
        <w:rPr>
          <w:rFonts w:asciiTheme="majorBidi" w:hAnsiTheme="majorBidi" w:cstheme="majorBidi"/>
          <w:b/>
        </w:rPr>
        <w:t>Central Bank Issuer</w:t>
      </w:r>
    </w:p>
    <w:p w14:paraId="3A0A95A0" w14:textId="77777777" w:rsidR="00FE7DCA" w:rsidRDefault="00FE7DCA" w:rsidP="00DD71F4">
      <w:pPr>
        <w:jc w:val="both"/>
      </w:pPr>
      <w:r>
        <w:t>Three models proposed assume active involvement of central banks. The first model involves central banks issuing their own cryptocurrencies. The second model involves central banks coordinating to issue a dual-registered cryptocurrency for a specific currency pair. The third model involves credit lines.  The first two models were determined to be particularly useful to continue to develop. Conversely, the third significantly departs from the traditional role of the central bank, and has the potential to dramatically expand the central bank’s balance sheet and influence the money supply.</w:t>
      </w:r>
    </w:p>
    <w:p w14:paraId="431ADFD6" w14:textId="77777777" w:rsidR="00FE7DCA" w:rsidRPr="002E0427" w:rsidRDefault="00FE7DCA" w:rsidP="00DD71F4">
      <w:pPr>
        <w:jc w:val="both"/>
        <w:rPr>
          <w:b/>
        </w:rPr>
      </w:pPr>
      <w:r w:rsidRPr="002E0427">
        <w:rPr>
          <w:b/>
        </w:rPr>
        <w:t>Trusted Third Party (TTP) Issuer Models</w:t>
      </w:r>
    </w:p>
    <w:p w14:paraId="7909DDDE" w14:textId="0CCA744D" w:rsidR="00FE7DCA" w:rsidRDefault="00FE7DCA" w:rsidP="00DD71F4">
      <w:pPr>
        <w:jc w:val="both"/>
      </w:pPr>
      <w:r>
        <w:t xml:space="preserve">In contrast to the central bank focus </w:t>
      </w:r>
      <w:r w:rsidR="00816F35">
        <w:t>of</w:t>
      </w:r>
      <w:r>
        <w:t xml:space="preserve"> the previous models, the second set of four models use a trusted third party that is not a central bank. They are differentiated based on how the issuer of the DR is involved in the process of clearing and settlement and who bears what kinds of risk. The paper evaluated a private sector-issued intermediate cryptocurrency, a pre-funded escrow account approach, a CLS-like model, and a deficit-funded account model.</w:t>
      </w:r>
    </w:p>
    <w:p w14:paraId="3ECDE141" w14:textId="4411DFB8" w:rsidR="005157BE" w:rsidRPr="00DD71F4" w:rsidRDefault="00FE7DCA" w:rsidP="00DD71F4">
      <w:pPr>
        <w:jc w:val="both"/>
      </w:pPr>
      <w:r>
        <w:t>For this approach, there would be value in having regulators play a role as coordinators. This would bring market participants together to develop best practices and standards for TTPs. The regulator could monitor transaction activity on the ledger and see how market structure may change with the introduction of DLT. Regulators (and also central banks) would need to at least have a passive role in the develop</w:t>
      </w:r>
      <w:r w:rsidR="00DD71F4">
        <w:t>ment of any of these solutions.</w:t>
      </w:r>
    </w:p>
    <w:p w14:paraId="138503B6" w14:textId="77777777" w:rsidR="006D19CF" w:rsidRPr="00051DF1" w:rsidRDefault="006D19CF" w:rsidP="002E5911">
      <w:pPr>
        <w:pStyle w:val="Heading1"/>
        <w:numPr>
          <w:ilvl w:val="0"/>
          <w:numId w:val="0"/>
        </w:numPr>
        <w:ind w:left="432" w:hanging="432"/>
        <w:rPr>
          <w:rFonts w:eastAsia="Batang"/>
          <w:lang w:val="en-CA"/>
        </w:rPr>
      </w:pPr>
      <w:bookmarkStart w:id="71" w:name="_Toc14190298"/>
      <w:r w:rsidRPr="00051DF1">
        <w:rPr>
          <w:rFonts w:eastAsia="Batang"/>
          <w:lang w:val="en-CA"/>
        </w:rPr>
        <w:t>Annex 1: Potential configurations of DLT arrangements (Source: BIS 2017)</w:t>
      </w:r>
      <w:bookmarkEnd w:id="71"/>
    </w:p>
    <w:p w14:paraId="70EC1F34" w14:textId="77777777" w:rsidR="006D19CF" w:rsidRPr="00497C70" w:rsidRDefault="00182389" w:rsidP="006D19CF">
      <w:pPr>
        <w:spacing w:before="0"/>
        <w:rPr>
          <w:rFonts w:eastAsia="Batang"/>
          <w:b/>
        </w:rPr>
      </w:pPr>
      <w:r w:rsidRPr="00477D51">
        <w:rPr>
          <w:noProof/>
          <w:lang w:eastAsia="en-GB"/>
        </w:rPr>
        <w:drawing>
          <wp:anchor distT="0" distB="0" distL="114300" distR="114300" simplePos="0" relativeHeight="251659264" behindDoc="1" locked="0" layoutInCell="1" allowOverlap="1" wp14:anchorId="287F8FE9" wp14:editId="755FB633">
            <wp:simplePos x="0" y="0"/>
            <wp:positionH relativeFrom="column">
              <wp:posOffset>-17780</wp:posOffset>
            </wp:positionH>
            <wp:positionV relativeFrom="paragraph">
              <wp:posOffset>197485</wp:posOffset>
            </wp:positionV>
            <wp:extent cx="6086475" cy="2854325"/>
            <wp:effectExtent l="19050" t="19050" r="28575" b="22225"/>
            <wp:wrapTight wrapText="bothSides">
              <wp:wrapPolygon edited="0">
                <wp:start x="-68" y="-144"/>
                <wp:lineTo x="-68" y="21624"/>
                <wp:lineTo x="21634" y="21624"/>
                <wp:lineTo x="21634" y="-144"/>
                <wp:lineTo x="-68" y="-14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a:extLst>
                        <a:ext uri="{28A0092B-C50C-407E-A947-70E740481C1C}">
                          <a14:useLocalDpi xmlns:a14="http://schemas.microsoft.com/office/drawing/2010/main" val="0"/>
                        </a:ext>
                      </a:extLst>
                    </a:blip>
                    <a:srcRect t="12503" b="1846"/>
                    <a:stretch/>
                  </pic:blipFill>
                  <pic:spPr bwMode="auto">
                    <a:xfrm>
                      <a:off x="0" y="0"/>
                      <a:ext cx="6086475" cy="2854325"/>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2D75EFAC" w14:textId="78777725" w:rsidR="00497C70" w:rsidRDefault="00497C70" w:rsidP="006D19CF">
      <w:pPr>
        <w:pStyle w:val="ListParagraph"/>
        <w:jc w:val="center"/>
        <w:rPr>
          <w:color w:val="000000"/>
          <w:lang w:val="en-US"/>
        </w:rPr>
      </w:pPr>
    </w:p>
    <w:p w14:paraId="207874F9" w14:textId="77777777" w:rsidR="006D19CF" w:rsidRDefault="006D19CF" w:rsidP="00497C70">
      <w:pPr>
        <w:pStyle w:val="ListParagraph"/>
        <w:rPr>
          <w:color w:val="000000"/>
          <w:lang w:val="en-US"/>
        </w:rPr>
      </w:pPr>
    </w:p>
    <w:p w14:paraId="482C45FB" w14:textId="77777777" w:rsidR="00497C70" w:rsidRDefault="00497C70" w:rsidP="00497C70">
      <w:pPr>
        <w:pStyle w:val="ListParagraph"/>
        <w:rPr>
          <w:color w:val="000000"/>
          <w:lang w:val="en-US"/>
        </w:rPr>
      </w:pPr>
    </w:p>
    <w:p w14:paraId="658579A2" w14:textId="77777777" w:rsidR="006D19CF" w:rsidRDefault="006D19CF">
      <w:pPr>
        <w:spacing w:before="0"/>
        <w:rPr>
          <w:rFonts w:eastAsia="Batang"/>
          <w:b/>
        </w:rPr>
      </w:pPr>
      <w:r>
        <w:rPr>
          <w:rFonts w:eastAsia="Batang"/>
          <w:b/>
        </w:rPr>
        <w:br w:type="page"/>
      </w:r>
    </w:p>
    <w:p w14:paraId="4C9838AF" w14:textId="0B5A86DF" w:rsidR="006D19CF" w:rsidRDefault="006D19CF" w:rsidP="005157BE">
      <w:pPr>
        <w:pStyle w:val="Heading1"/>
        <w:numPr>
          <w:ilvl w:val="0"/>
          <w:numId w:val="0"/>
        </w:numPr>
        <w:rPr>
          <w:b w:val="0"/>
        </w:rPr>
      </w:pPr>
      <w:bookmarkStart w:id="72" w:name="_Toc14190299"/>
      <w:r w:rsidRPr="00051DF1">
        <w:rPr>
          <w:rFonts w:eastAsia="Batang"/>
          <w:bCs w:val="0"/>
          <w:lang w:val="en-CA"/>
        </w:rPr>
        <w:t xml:space="preserve">Annex 2: </w:t>
      </w:r>
      <w:r w:rsidRPr="00051DF1">
        <w:rPr>
          <w:rFonts w:eastAsia="Batang"/>
          <w:lang w:val="en-CA"/>
        </w:rPr>
        <w:t>Retail</w:t>
      </w:r>
      <w:r w:rsidRPr="00051DF1">
        <w:rPr>
          <w:rFonts w:eastAsia="Batang"/>
          <w:bCs w:val="0"/>
          <w:lang w:val="en-CA"/>
        </w:rPr>
        <w:t xml:space="preserve"> CBDC Use Cases</w:t>
      </w:r>
      <w:bookmarkEnd w:id="72"/>
      <w:r w:rsidRPr="006D19CF">
        <w:t xml:space="preserve"> </w:t>
      </w:r>
    </w:p>
    <w:p w14:paraId="06C35C95" w14:textId="77777777" w:rsidR="006D19CF" w:rsidRDefault="006D19CF" w:rsidP="006D19CF">
      <w:pPr>
        <w:spacing w:before="0"/>
      </w:pPr>
    </w:p>
    <w:p w14:paraId="0FC36CCA" w14:textId="31170AEF" w:rsidR="000C1F5E" w:rsidRPr="006D19CF" w:rsidRDefault="005157BE" w:rsidP="005157BE">
      <w:pPr>
        <w:pStyle w:val="Heading2"/>
        <w:keepNext w:val="0"/>
        <w:numPr>
          <w:ilvl w:val="0"/>
          <w:numId w:val="47"/>
        </w:numPr>
        <w:tabs>
          <w:tab w:val="left" w:pos="0"/>
        </w:tabs>
        <w:spacing w:before="120" w:after="120" w:line="264" w:lineRule="auto"/>
        <w:ind w:left="0" w:firstLine="0"/>
        <w:rPr>
          <w:b w:val="0"/>
        </w:rPr>
      </w:pPr>
      <w:r>
        <w:t xml:space="preserve"> </w:t>
      </w:r>
      <w:bookmarkStart w:id="73" w:name="_Toc14190300"/>
      <w:r w:rsidR="000C1F5E" w:rsidRPr="006D19CF">
        <w:t xml:space="preserve">E-Piso Use </w:t>
      </w:r>
      <w:r w:rsidR="000C1F5E" w:rsidRPr="00051DF1">
        <w:rPr>
          <w:rFonts w:eastAsia="Batang"/>
          <w:iCs w:val="0"/>
          <w:lang w:val="en-CA"/>
        </w:rPr>
        <w:t>Cases</w:t>
      </w:r>
      <w:bookmarkEnd w:id="73"/>
    </w:p>
    <w:p w14:paraId="57313EBF" w14:textId="77777777" w:rsidR="000C1F5E" w:rsidRDefault="000C1F5E" w:rsidP="0060119B">
      <w:pPr>
        <w:spacing w:after="120" w:line="264" w:lineRule="auto"/>
        <w:rPr>
          <w:lang w:eastAsia="ja-JP"/>
        </w:rPr>
      </w:pPr>
      <w:r>
        <w:rPr>
          <w:lang w:eastAsia="ja-JP"/>
        </w:rPr>
        <w:t>The following set of DFC use cases are based on a commercial implementation of a system in which a commercial bank, utilizing its banking license which allows it to create different forms of money, creates some of that money in a form of digital objects possessing all the characteristics of DFC. The use cases are complementary and should be reviewed as a set, which in its whole, reproduces the attributes and behaviours of cash issued in digital form.</w:t>
      </w:r>
    </w:p>
    <w:p w14:paraId="17411C87" w14:textId="77777777" w:rsidR="000C1F5E" w:rsidRPr="00720D6F" w:rsidRDefault="000C1F5E" w:rsidP="0060119B">
      <w:pPr>
        <w:spacing w:after="120" w:line="264" w:lineRule="auto"/>
      </w:pPr>
      <w:r>
        <w:rPr>
          <w:lang w:eastAsia="ja-JP"/>
        </w:rPr>
        <w:t xml:space="preserve">The commercial bank operating this system under a permission of the </w:t>
      </w:r>
      <w:r w:rsidRPr="00172417">
        <w:rPr>
          <w:lang w:eastAsia="ja-JP"/>
        </w:rPr>
        <w:t>Bangko Sentral ng Pilipinas</w:t>
      </w:r>
      <w:r>
        <w:rPr>
          <w:lang w:eastAsia="ja-JP"/>
        </w:rPr>
        <w:t xml:space="preserve"> (BSP) is the Rizal Commercial Banking Corporation in Manila. E-Piso is used as the digital cash brand name. </w:t>
      </w:r>
    </w:p>
    <w:p w14:paraId="101C7EAA" w14:textId="289370DB" w:rsidR="00701906" w:rsidRPr="00C55ACB" w:rsidRDefault="000C1F5E" w:rsidP="005157BE">
      <w:pPr>
        <w:pStyle w:val="Heading3"/>
        <w:numPr>
          <w:ilvl w:val="0"/>
          <w:numId w:val="0"/>
        </w:numPr>
      </w:pPr>
      <w:bookmarkStart w:id="74" w:name="_Toc12961936"/>
      <w:bookmarkStart w:id="75" w:name="_Toc14190301"/>
      <w:r>
        <w:t xml:space="preserve">E-Piso </w:t>
      </w:r>
      <w:r w:rsidR="00421B73">
        <w:t>U</w:t>
      </w:r>
      <w:r>
        <w:t xml:space="preserve">se </w:t>
      </w:r>
      <w:r w:rsidR="00421B73">
        <w:t>C</w:t>
      </w:r>
      <w:r>
        <w:t xml:space="preserve">ase: </w:t>
      </w:r>
      <w:r w:rsidRPr="003A1875">
        <w:t xml:space="preserve">Issuing </w:t>
      </w:r>
      <w:r>
        <w:t>DFC</w:t>
      </w:r>
      <w:bookmarkEnd w:id="74"/>
      <w:bookmarkEnd w:id="75"/>
    </w:p>
    <w:tbl>
      <w:tblPr>
        <w:tblpPr w:leftFromText="180" w:rightFromText="180" w:vertAnchor="text" w:horzAnchor="margin" w:tblpY="147"/>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32"/>
        <w:gridCol w:w="2816"/>
        <w:gridCol w:w="2499"/>
        <w:gridCol w:w="2126"/>
      </w:tblGrid>
      <w:tr w:rsidR="000C1F5E" w:rsidRPr="00BC2010" w14:paraId="56FDF453" w14:textId="77777777" w:rsidTr="00F8181D">
        <w:tc>
          <w:tcPr>
            <w:tcW w:w="9773" w:type="dxa"/>
            <w:gridSpan w:val="4"/>
            <w:tcBorders>
              <w:top w:val="single" w:sz="6" w:space="0" w:color="auto"/>
              <w:left w:val="single" w:sz="6" w:space="0" w:color="auto"/>
              <w:bottom w:val="single" w:sz="6" w:space="0" w:color="auto"/>
              <w:right w:val="single" w:sz="6" w:space="0" w:color="auto"/>
            </w:tcBorders>
            <w:shd w:val="pct15" w:color="auto" w:fill="FFFFFF"/>
            <w:hideMark/>
          </w:tcPr>
          <w:p w14:paraId="30340704" w14:textId="77777777" w:rsidR="000C1F5E" w:rsidRPr="00BC2010" w:rsidRDefault="000C1F5E" w:rsidP="00F8181D">
            <w:pPr>
              <w:pStyle w:val="FigureTitle"/>
              <w:keepLines w:val="0"/>
              <w:spacing w:before="0" w:after="0"/>
              <w:rPr>
                <w:sz w:val="24"/>
                <w:szCs w:val="24"/>
              </w:rPr>
            </w:pPr>
            <w:r w:rsidRPr="00BC2010">
              <w:rPr>
                <w:sz w:val="24"/>
                <w:szCs w:val="24"/>
              </w:rPr>
              <w:t xml:space="preserve">Use Case </w:t>
            </w:r>
            <w:r>
              <w:rPr>
                <w:sz w:val="24"/>
                <w:szCs w:val="24"/>
              </w:rPr>
              <w:t>Summary</w:t>
            </w:r>
          </w:p>
        </w:tc>
      </w:tr>
      <w:tr w:rsidR="000C1F5E" w:rsidRPr="00BC2010" w14:paraId="3218B1E2"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6793061E" w14:textId="77777777" w:rsidR="000C1F5E" w:rsidRPr="00BC2010" w:rsidRDefault="000C1F5E" w:rsidP="00F8181D">
            <w:pPr>
              <w:pStyle w:val="FigureTitle"/>
              <w:keepLines w:val="0"/>
              <w:spacing w:before="0" w:after="0"/>
              <w:jc w:val="left"/>
              <w:rPr>
                <w:sz w:val="24"/>
                <w:szCs w:val="24"/>
              </w:rPr>
            </w:pPr>
            <w:r w:rsidRPr="00BC2010">
              <w:rPr>
                <w:sz w:val="24"/>
                <w:szCs w:val="24"/>
              </w:rPr>
              <w:t>Use Case ID:</w:t>
            </w:r>
          </w:p>
        </w:tc>
        <w:tc>
          <w:tcPr>
            <w:tcW w:w="2816" w:type="dxa"/>
            <w:tcBorders>
              <w:top w:val="single" w:sz="6" w:space="0" w:color="auto"/>
              <w:left w:val="single" w:sz="6" w:space="0" w:color="auto"/>
              <w:bottom w:val="single" w:sz="6" w:space="0" w:color="auto"/>
              <w:right w:val="single" w:sz="6" w:space="0" w:color="auto"/>
            </w:tcBorders>
            <w:hideMark/>
          </w:tcPr>
          <w:p w14:paraId="0E5E914E" w14:textId="77777777" w:rsidR="000C1F5E" w:rsidRPr="00BC2010" w:rsidRDefault="000C1F5E" w:rsidP="00F8181D">
            <w:pPr>
              <w:pStyle w:val="BodyText"/>
              <w:rPr>
                <w:lang w:val="en-US"/>
              </w:rPr>
            </w:pPr>
          </w:p>
        </w:tc>
        <w:tc>
          <w:tcPr>
            <w:tcW w:w="2499" w:type="dxa"/>
            <w:tcBorders>
              <w:top w:val="single" w:sz="6" w:space="0" w:color="auto"/>
              <w:left w:val="single" w:sz="6" w:space="0" w:color="auto"/>
              <w:bottom w:val="single" w:sz="6" w:space="0" w:color="auto"/>
              <w:right w:val="single" w:sz="6" w:space="0" w:color="auto"/>
            </w:tcBorders>
            <w:shd w:val="pct15" w:color="auto" w:fill="FFFFFF"/>
            <w:hideMark/>
          </w:tcPr>
          <w:p w14:paraId="5CF92018" w14:textId="77777777" w:rsidR="000C1F5E" w:rsidRPr="00BC2010" w:rsidRDefault="000C1F5E" w:rsidP="00F8181D">
            <w:pPr>
              <w:pStyle w:val="FigureTitle"/>
              <w:keepLines w:val="0"/>
              <w:spacing w:before="0" w:after="0"/>
              <w:jc w:val="left"/>
              <w:rPr>
                <w:sz w:val="24"/>
                <w:szCs w:val="24"/>
              </w:rPr>
            </w:pPr>
            <w:r w:rsidRPr="00BC2010">
              <w:rPr>
                <w:sz w:val="24"/>
                <w:szCs w:val="24"/>
              </w:rPr>
              <w:t>Use Case Type:</w:t>
            </w:r>
          </w:p>
        </w:tc>
        <w:tc>
          <w:tcPr>
            <w:tcW w:w="2126" w:type="dxa"/>
            <w:tcBorders>
              <w:top w:val="single" w:sz="6" w:space="0" w:color="auto"/>
              <w:left w:val="single" w:sz="6" w:space="0" w:color="auto"/>
              <w:bottom w:val="single" w:sz="6" w:space="0" w:color="auto"/>
              <w:right w:val="single" w:sz="6" w:space="0" w:color="auto"/>
            </w:tcBorders>
          </w:tcPr>
          <w:p w14:paraId="5C5132DA" w14:textId="77777777" w:rsidR="000C1F5E" w:rsidRPr="00703E67" w:rsidRDefault="000C1F5E" w:rsidP="00F8181D">
            <w:pPr>
              <w:pStyle w:val="FigureTitle"/>
              <w:keepLines w:val="0"/>
              <w:spacing w:before="0" w:after="0"/>
              <w:jc w:val="left"/>
              <w:rPr>
                <w:b w:val="0"/>
                <w:sz w:val="24"/>
                <w:szCs w:val="24"/>
              </w:rPr>
            </w:pPr>
          </w:p>
        </w:tc>
      </w:tr>
      <w:tr w:rsidR="000C1F5E" w:rsidRPr="00BC2010" w14:paraId="4D52F4AC" w14:textId="77777777" w:rsidTr="00F8181D">
        <w:tc>
          <w:tcPr>
            <w:tcW w:w="233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86CF906" w14:textId="77777777" w:rsidR="000C1F5E" w:rsidRPr="00A60C72" w:rsidRDefault="000C1F5E" w:rsidP="00F8181D">
            <w:pPr>
              <w:pStyle w:val="FigureTitle"/>
              <w:keepLines w:val="0"/>
              <w:tabs>
                <w:tab w:val="left" w:pos="1944"/>
              </w:tabs>
              <w:spacing w:before="0" w:after="0"/>
              <w:jc w:val="left"/>
              <w:rPr>
                <w:sz w:val="24"/>
                <w:szCs w:val="24"/>
              </w:rPr>
            </w:pPr>
            <w:r>
              <w:rPr>
                <w:sz w:val="24"/>
                <w:szCs w:val="24"/>
              </w:rPr>
              <w:t>Submission Date</w:t>
            </w:r>
            <w:r w:rsidRPr="00A60C72">
              <w:rPr>
                <w:sz w:val="24"/>
                <w:szCs w:val="24"/>
              </w:rPr>
              <w:t>:</w:t>
            </w:r>
            <w:r>
              <w:rPr>
                <w:sz w:val="24"/>
                <w:szCs w:val="24"/>
              </w:rPr>
              <w:tab/>
            </w:r>
          </w:p>
        </w:tc>
        <w:tc>
          <w:tcPr>
            <w:tcW w:w="2816" w:type="dxa"/>
            <w:tcBorders>
              <w:top w:val="single" w:sz="6" w:space="0" w:color="auto"/>
              <w:left w:val="single" w:sz="6" w:space="0" w:color="auto"/>
              <w:bottom w:val="single" w:sz="6" w:space="0" w:color="auto"/>
              <w:right w:val="single" w:sz="6" w:space="0" w:color="auto"/>
            </w:tcBorders>
            <w:shd w:val="clear" w:color="auto" w:fill="auto"/>
          </w:tcPr>
          <w:p w14:paraId="079A57CA" w14:textId="77777777" w:rsidR="000C1F5E" w:rsidRPr="00703E67" w:rsidRDefault="000C1F5E" w:rsidP="00F8181D">
            <w:pPr>
              <w:pStyle w:val="FigureTitle"/>
              <w:keepLines w:val="0"/>
              <w:tabs>
                <w:tab w:val="left" w:pos="1944"/>
              </w:tabs>
              <w:spacing w:before="0" w:after="0"/>
              <w:jc w:val="left"/>
              <w:rPr>
                <w:b w:val="0"/>
                <w:sz w:val="24"/>
                <w:szCs w:val="24"/>
              </w:rPr>
            </w:pPr>
            <w:r>
              <w:rPr>
                <w:b w:val="0"/>
                <w:sz w:val="24"/>
                <w:szCs w:val="24"/>
              </w:rPr>
              <w:t>13 June,</w:t>
            </w:r>
            <w:r w:rsidRPr="00703E67">
              <w:rPr>
                <w:b w:val="0"/>
                <w:sz w:val="24"/>
                <w:szCs w:val="24"/>
              </w:rPr>
              <w:t xml:space="preserve"> 201</w:t>
            </w:r>
            <w:r>
              <w:rPr>
                <w:b w:val="0"/>
                <w:sz w:val="24"/>
                <w:szCs w:val="24"/>
              </w:rPr>
              <w:t>9</w:t>
            </w:r>
          </w:p>
        </w:tc>
        <w:tc>
          <w:tcPr>
            <w:tcW w:w="2499" w:type="dxa"/>
            <w:tcBorders>
              <w:top w:val="single" w:sz="6" w:space="0" w:color="auto"/>
              <w:left w:val="single" w:sz="6" w:space="0" w:color="auto"/>
              <w:bottom w:val="single" w:sz="6" w:space="0" w:color="auto"/>
              <w:right w:val="single" w:sz="6" w:space="0" w:color="auto"/>
            </w:tcBorders>
            <w:shd w:val="pct15" w:color="auto" w:fill="FFFFFF"/>
          </w:tcPr>
          <w:p w14:paraId="4726968E" w14:textId="77777777" w:rsidR="000C1F5E" w:rsidRPr="00BC2010" w:rsidRDefault="000C1F5E" w:rsidP="00F8181D">
            <w:pPr>
              <w:pStyle w:val="FigureTitle"/>
              <w:keepLines w:val="0"/>
              <w:spacing w:before="0" w:after="0"/>
              <w:jc w:val="left"/>
              <w:rPr>
                <w:sz w:val="24"/>
                <w:szCs w:val="24"/>
              </w:rPr>
            </w:pPr>
            <w:r>
              <w:rPr>
                <w:sz w:val="24"/>
                <w:szCs w:val="24"/>
              </w:rPr>
              <w:t>Is Use Case supporting SDGs</w:t>
            </w:r>
          </w:p>
        </w:tc>
        <w:tc>
          <w:tcPr>
            <w:tcW w:w="2126" w:type="dxa"/>
            <w:tcBorders>
              <w:top w:val="single" w:sz="6" w:space="0" w:color="auto"/>
              <w:left w:val="single" w:sz="6" w:space="0" w:color="auto"/>
              <w:bottom w:val="single" w:sz="6" w:space="0" w:color="auto"/>
              <w:right w:val="single" w:sz="6" w:space="0" w:color="auto"/>
            </w:tcBorders>
          </w:tcPr>
          <w:p w14:paraId="2E6AABF0" w14:textId="77777777" w:rsidR="000C1F5E" w:rsidRPr="00703E67" w:rsidRDefault="000C1F5E" w:rsidP="00F8181D">
            <w:pPr>
              <w:pStyle w:val="FigureTitle"/>
              <w:keepLines w:val="0"/>
              <w:spacing w:before="0" w:after="0"/>
              <w:jc w:val="left"/>
              <w:rPr>
                <w:b w:val="0"/>
                <w:sz w:val="24"/>
                <w:szCs w:val="24"/>
              </w:rPr>
            </w:pPr>
          </w:p>
        </w:tc>
      </w:tr>
      <w:tr w:rsidR="000C1F5E" w:rsidRPr="003A1875" w14:paraId="5361FBFB"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02814633" w14:textId="77777777" w:rsidR="000C1F5E" w:rsidRPr="003A1875" w:rsidRDefault="000C1F5E" w:rsidP="00F8181D">
            <w:pPr>
              <w:pStyle w:val="FigureTitle"/>
              <w:keepLines w:val="0"/>
              <w:spacing w:before="0" w:after="0"/>
              <w:jc w:val="left"/>
              <w:rPr>
                <w:sz w:val="24"/>
                <w:szCs w:val="24"/>
              </w:rPr>
            </w:pPr>
            <w:r w:rsidRPr="003A1875">
              <w:rPr>
                <w:sz w:val="24"/>
                <w:szCs w:val="24"/>
              </w:rPr>
              <w:t>Use Case Title:</w:t>
            </w:r>
          </w:p>
        </w:tc>
        <w:tc>
          <w:tcPr>
            <w:tcW w:w="2816" w:type="dxa"/>
            <w:tcBorders>
              <w:top w:val="single" w:sz="6" w:space="0" w:color="auto"/>
              <w:left w:val="single" w:sz="6" w:space="0" w:color="auto"/>
              <w:bottom w:val="single" w:sz="6" w:space="0" w:color="auto"/>
              <w:right w:val="single" w:sz="6" w:space="0" w:color="auto"/>
            </w:tcBorders>
          </w:tcPr>
          <w:p w14:paraId="346ED298" w14:textId="77777777" w:rsidR="000C1F5E" w:rsidRPr="003A1875" w:rsidRDefault="000C1F5E" w:rsidP="00F8181D">
            <w:pPr>
              <w:pStyle w:val="BodyText"/>
              <w:rPr>
                <w:rFonts w:ascii="Times New Roman" w:hAnsi="Times New Roman" w:cs="Times New Roman"/>
                <w:sz w:val="24"/>
                <w:szCs w:val="24"/>
                <w:lang w:val="en-US"/>
              </w:rPr>
            </w:pPr>
            <w:r w:rsidRPr="003A1875">
              <w:rPr>
                <w:rFonts w:ascii="Times New Roman" w:hAnsi="Times New Roman" w:cs="Times New Roman"/>
                <w:sz w:val="24"/>
                <w:szCs w:val="24"/>
              </w:rPr>
              <w:t>Secure DFC issuance</w:t>
            </w:r>
          </w:p>
        </w:tc>
        <w:tc>
          <w:tcPr>
            <w:tcW w:w="2499" w:type="dxa"/>
            <w:tcBorders>
              <w:top w:val="single" w:sz="6" w:space="0" w:color="auto"/>
              <w:left w:val="single" w:sz="6" w:space="0" w:color="auto"/>
              <w:bottom w:val="single" w:sz="6" w:space="0" w:color="auto"/>
              <w:right w:val="single" w:sz="6" w:space="0" w:color="auto"/>
            </w:tcBorders>
            <w:shd w:val="pct15" w:color="auto" w:fill="FFFFFF"/>
          </w:tcPr>
          <w:p w14:paraId="1A91D050" w14:textId="77777777" w:rsidR="000C1F5E" w:rsidRPr="003A1875" w:rsidRDefault="000C1F5E" w:rsidP="00F8181D">
            <w:pPr>
              <w:pStyle w:val="FigureTitle"/>
              <w:keepLines w:val="0"/>
              <w:spacing w:before="0" w:after="0"/>
              <w:jc w:val="left"/>
              <w:rPr>
                <w:sz w:val="24"/>
                <w:szCs w:val="24"/>
              </w:rPr>
            </w:pPr>
            <w:r w:rsidRPr="003A1875">
              <w:rPr>
                <w:sz w:val="24"/>
                <w:szCs w:val="24"/>
              </w:rPr>
              <w:t>Domain:</w:t>
            </w:r>
          </w:p>
        </w:tc>
        <w:tc>
          <w:tcPr>
            <w:tcW w:w="2126" w:type="dxa"/>
            <w:tcBorders>
              <w:top w:val="single" w:sz="6" w:space="0" w:color="auto"/>
              <w:left w:val="single" w:sz="6" w:space="0" w:color="auto"/>
              <w:bottom w:val="single" w:sz="6" w:space="0" w:color="auto"/>
              <w:right w:val="single" w:sz="6" w:space="0" w:color="auto"/>
            </w:tcBorders>
          </w:tcPr>
          <w:p w14:paraId="66F1554B" w14:textId="77777777" w:rsidR="000C1F5E" w:rsidRPr="003A1875" w:rsidRDefault="000C1F5E" w:rsidP="00F8181D">
            <w:pPr>
              <w:pStyle w:val="FigureTitle"/>
              <w:keepLines w:val="0"/>
              <w:spacing w:before="0" w:after="0"/>
              <w:jc w:val="left"/>
              <w:rPr>
                <w:b w:val="0"/>
                <w:sz w:val="24"/>
                <w:szCs w:val="24"/>
              </w:rPr>
            </w:pPr>
            <w:r w:rsidRPr="003A1875">
              <w:rPr>
                <w:b w:val="0"/>
                <w:sz w:val="24"/>
                <w:szCs w:val="24"/>
              </w:rPr>
              <w:t>Public, private, central bank, e-money</w:t>
            </w:r>
          </w:p>
        </w:tc>
      </w:tr>
      <w:tr w:rsidR="000C1F5E" w:rsidRPr="003A1875" w14:paraId="593ECA65"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710CAEF0" w14:textId="77777777" w:rsidR="000C1F5E" w:rsidRPr="003A1875" w:rsidRDefault="000C1F5E" w:rsidP="00F8181D">
            <w:pPr>
              <w:pStyle w:val="FigureTitle"/>
              <w:keepLines w:val="0"/>
              <w:spacing w:before="0" w:after="0"/>
              <w:jc w:val="left"/>
              <w:rPr>
                <w:sz w:val="24"/>
                <w:szCs w:val="24"/>
              </w:rPr>
            </w:pPr>
            <w:r w:rsidRPr="003A1875">
              <w:rPr>
                <w:sz w:val="24"/>
                <w:szCs w:val="24"/>
              </w:rPr>
              <w:t>Status of Case</w:t>
            </w:r>
          </w:p>
        </w:tc>
        <w:tc>
          <w:tcPr>
            <w:tcW w:w="2816" w:type="dxa"/>
            <w:tcBorders>
              <w:top w:val="single" w:sz="6" w:space="0" w:color="auto"/>
              <w:left w:val="single" w:sz="6" w:space="0" w:color="auto"/>
              <w:bottom w:val="single" w:sz="6" w:space="0" w:color="auto"/>
              <w:right w:val="single" w:sz="6" w:space="0" w:color="auto"/>
            </w:tcBorders>
          </w:tcPr>
          <w:p w14:paraId="0EA01677" w14:textId="77777777" w:rsidR="000C1F5E" w:rsidRPr="003A1875" w:rsidRDefault="000C1F5E" w:rsidP="00F8181D">
            <w:pPr>
              <w:pStyle w:val="BodyText"/>
              <w:rPr>
                <w:rFonts w:ascii="Times New Roman" w:hAnsi="Times New Roman" w:cs="Times New Roman"/>
                <w:sz w:val="24"/>
                <w:szCs w:val="24"/>
                <w:lang w:val="en-US"/>
              </w:rPr>
            </w:pPr>
            <w:r w:rsidRPr="003A1875">
              <w:rPr>
                <w:rFonts w:ascii="Times New Roman" w:hAnsi="Times New Roman" w:cs="Times New Roman"/>
                <w:sz w:val="24"/>
                <w:szCs w:val="24"/>
                <w:lang w:val="en-US"/>
              </w:rPr>
              <w:t>Commercially implemented</w:t>
            </w:r>
          </w:p>
        </w:tc>
        <w:tc>
          <w:tcPr>
            <w:tcW w:w="2499" w:type="dxa"/>
            <w:tcBorders>
              <w:top w:val="single" w:sz="6" w:space="0" w:color="auto"/>
              <w:left w:val="single" w:sz="6" w:space="0" w:color="auto"/>
              <w:bottom w:val="single" w:sz="6" w:space="0" w:color="auto"/>
              <w:right w:val="single" w:sz="6" w:space="0" w:color="auto"/>
            </w:tcBorders>
            <w:shd w:val="pct15" w:color="auto" w:fill="FFFFFF"/>
          </w:tcPr>
          <w:p w14:paraId="2E8A8EA6" w14:textId="77777777" w:rsidR="000C1F5E" w:rsidRPr="003A1875" w:rsidRDefault="000C1F5E" w:rsidP="00F8181D">
            <w:pPr>
              <w:pStyle w:val="FigureTitle"/>
              <w:keepLines w:val="0"/>
              <w:spacing w:before="0" w:after="0"/>
              <w:jc w:val="left"/>
              <w:rPr>
                <w:sz w:val="24"/>
                <w:szCs w:val="24"/>
              </w:rPr>
            </w:pPr>
            <w:r w:rsidRPr="003A1875">
              <w:rPr>
                <w:sz w:val="24"/>
                <w:szCs w:val="24"/>
              </w:rPr>
              <w:t>Sub-Domain</w:t>
            </w:r>
          </w:p>
        </w:tc>
        <w:tc>
          <w:tcPr>
            <w:tcW w:w="2126" w:type="dxa"/>
            <w:tcBorders>
              <w:top w:val="single" w:sz="6" w:space="0" w:color="auto"/>
              <w:left w:val="single" w:sz="6" w:space="0" w:color="auto"/>
              <w:bottom w:val="single" w:sz="6" w:space="0" w:color="auto"/>
              <w:right w:val="single" w:sz="6" w:space="0" w:color="auto"/>
            </w:tcBorders>
          </w:tcPr>
          <w:p w14:paraId="148F51B8" w14:textId="77777777" w:rsidR="000C1F5E" w:rsidRPr="003A1875" w:rsidRDefault="000C1F5E" w:rsidP="00F8181D">
            <w:pPr>
              <w:pStyle w:val="FigureTitle"/>
              <w:keepLines w:val="0"/>
              <w:spacing w:before="0" w:after="0"/>
              <w:jc w:val="left"/>
              <w:rPr>
                <w:b w:val="0"/>
                <w:sz w:val="24"/>
                <w:szCs w:val="24"/>
              </w:rPr>
            </w:pPr>
          </w:p>
        </w:tc>
      </w:tr>
      <w:tr w:rsidR="000C1F5E" w:rsidRPr="003A1875" w14:paraId="1B4AF64A"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58E77AA1" w14:textId="77777777" w:rsidR="000C1F5E" w:rsidRPr="003A1875" w:rsidRDefault="000C1F5E" w:rsidP="00F8181D">
            <w:pPr>
              <w:pStyle w:val="FigureTitle"/>
              <w:keepLines w:val="0"/>
              <w:spacing w:before="0" w:after="0"/>
              <w:jc w:val="left"/>
              <w:rPr>
                <w:color w:val="000000"/>
                <w:sz w:val="24"/>
                <w:szCs w:val="24"/>
                <w:lang w:val="en-GB"/>
              </w:rPr>
            </w:pPr>
            <w:r w:rsidRPr="003A1875">
              <w:rPr>
                <w:color w:val="000000"/>
                <w:sz w:val="24"/>
                <w:szCs w:val="24"/>
                <w:lang w:val="en-GB"/>
              </w:rPr>
              <w:t>Contact information of person submitting/</w:t>
            </w:r>
          </w:p>
          <w:p w14:paraId="43584895" w14:textId="77777777" w:rsidR="000C1F5E" w:rsidRPr="003A1875" w:rsidRDefault="000C1F5E" w:rsidP="00F8181D">
            <w:pPr>
              <w:pStyle w:val="FigureTitle"/>
              <w:keepLines w:val="0"/>
              <w:spacing w:before="0" w:after="0"/>
              <w:jc w:val="left"/>
              <w:rPr>
                <w:sz w:val="24"/>
                <w:szCs w:val="24"/>
              </w:rPr>
            </w:pPr>
            <w:r w:rsidRPr="003A1875">
              <w:rPr>
                <w:color w:val="000000"/>
                <w:sz w:val="24"/>
                <w:szCs w:val="24"/>
                <w:lang w:val="en-GB"/>
              </w:rPr>
              <w:t>managing the use-case</w:t>
            </w:r>
          </w:p>
        </w:tc>
        <w:tc>
          <w:tcPr>
            <w:tcW w:w="7441" w:type="dxa"/>
            <w:gridSpan w:val="3"/>
            <w:tcBorders>
              <w:top w:val="single" w:sz="6" w:space="0" w:color="auto"/>
              <w:left w:val="single" w:sz="6" w:space="0" w:color="auto"/>
              <w:bottom w:val="single" w:sz="6" w:space="0" w:color="auto"/>
              <w:right w:val="single" w:sz="6" w:space="0" w:color="auto"/>
            </w:tcBorders>
          </w:tcPr>
          <w:p w14:paraId="2CE54AA8" w14:textId="77777777" w:rsidR="000C1F5E" w:rsidRPr="00C106AC" w:rsidRDefault="000C1F5E" w:rsidP="00F8181D">
            <w:pPr>
              <w:rPr>
                <w:szCs w:val="24"/>
                <w:lang w:val="en-US"/>
              </w:rPr>
            </w:pPr>
            <w:r w:rsidRPr="00C106AC">
              <w:rPr>
                <w:szCs w:val="24"/>
                <w:lang w:val="en-US"/>
              </w:rPr>
              <w:t>Full Name: Thomas Kudrycki (eCurrency)</w:t>
            </w:r>
          </w:p>
          <w:p w14:paraId="736DD04A" w14:textId="77777777" w:rsidR="000C1F5E" w:rsidRPr="003A1875" w:rsidRDefault="000C1F5E" w:rsidP="00F8181D">
            <w:pPr>
              <w:rPr>
                <w:szCs w:val="24"/>
              </w:rPr>
            </w:pPr>
            <w:r w:rsidRPr="003A1875">
              <w:rPr>
                <w:szCs w:val="24"/>
              </w:rPr>
              <w:t>Job Title: Chief Technology Officer</w:t>
            </w:r>
          </w:p>
          <w:p w14:paraId="56DCAF1A" w14:textId="77777777" w:rsidR="000C1F5E" w:rsidRPr="003A1875" w:rsidRDefault="000C1F5E" w:rsidP="00F8181D">
            <w:pPr>
              <w:rPr>
                <w:szCs w:val="24"/>
              </w:rPr>
            </w:pPr>
            <w:r w:rsidRPr="003A1875">
              <w:rPr>
                <w:szCs w:val="24"/>
              </w:rPr>
              <w:t xml:space="preserve">E-mail address: </w:t>
            </w:r>
            <w:r w:rsidRPr="00C106AC">
              <w:rPr>
                <w:szCs w:val="24"/>
                <w:lang w:val="en-US"/>
              </w:rPr>
              <w:t xml:space="preserve"> tom.k@ecurrency.net</w:t>
            </w:r>
          </w:p>
          <w:p w14:paraId="679A08A8" w14:textId="77777777" w:rsidR="000C1F5E" w:rsidRPr="003A1875" w:rsidRDefault="000C1F5E" w:rsidP="00F8181D">
            <w:pPr>
              <w:pStyle w:val="BodyText"/>
              <w:rPr>
                <w:rFonts w:ascii="Times New Roman" w:hAnsi="Times New Roman" w:cs="Times New Roman"/>
                <w:i/>
                <w:sz w:val="24"/>
                <w:szCs w:val="24"/>
                <w:lang w:val="en-US"/>
              </w:rPr>
            </w:pPr>
            <w:r w:rsidRPr="003A1875">
              <w:rPr>
                <w:rFonts w:ascii="Times New Roman" w:hAnsi="Times New Roman" w:cs="Times New Roman"/>
                <w:color w:val="000000"/>
                <w:sz w:val="24"/>
                <w:szCs w:val="24"/>
              </w:rPr>
              <w:t xml:space="preserve">Web site: </w:t>
            </w:r>
            <w:r w:rsidRPr="003A1875">
              <w:rPr>
                <w:rFonts w:ascii="Times New Roman" w:hAnsi="Times New Roman" w:cs="Times New Roman"/>
                <w:sz w:val="24"/>
                <w:szCs w:val="24"/>
              </w:rPr>
              <w:t xml:space="preserve"> </w:t>
            </w:r>
            <w:hyperlink r:id="rId71" w:history="1">
              <w:r w:rsidRPr="003A1875">
                <w:rPr>
                  <w:rStyle w:val="Hyperlink"/>
                  <w:rFonts w:ascii="Times New Roman" w:hAnsi="Times New Roman" w:cs="Times New Roman"/>
                  <w:sz w:val="24"/>
                  <w:szCs w:val="24"/>
                </w:rPr>
                <w:t>https://www.ecurrency.net</w:t>
              </w:r>
            </w:hyperlink>
          </w:p>
        </w:tc>
      </w:tr>
      <w:tr w:rsidR="000C1F5E" w:rsidRPr="003A1875" w14:paraId="05922209"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25D745E2" w14:textId="77777777" w:rsidR="000C1F5E" w:rsidRPr="003A1875" w:rsidRDefault="000C1F5E" w:rsidP="00F8181D">
            <w:pPr>
              <w:pStyle w:val="FigureTitle"/>
              <w:keepLines w:val="0"/>
              <w:spacing w:before="0" w:after="0"/>
              <w:jc w:val="left"/>
              <w:rPr>
                <w:sz w:val="24"/>
                <w:szCs w:val="24"/>
              </w:rPr>
            </w:pPr>
            <w:r w:rsidRPr="003A1875">
              <w:rPr>
                <w:color w:val="000000"/>
                <w:sz w:val="24"/>
                <w:szCs w:val="24"/>
                <w:lang w:val="en-GB"/>
              </w:rPr>
              <w:t>Proposing Organization</w:t>
            </w:r>
          </w:p>
        </w:tc>
        <w:tc>
          <w:tcPr>
            <w:tcW w:w="7441" w:type="dxa"/>
            <w:gridSpan w:val="3"/>
            <w:tcBorders>
              <w:top w:val="single" w:sz="6" w:space="0" w:color="auto"/>
              <w:left w:val="single" w:sz="6" w:space="0" w:color="auto"/>
              <w:bottom w:val="single" w:sz="6" w:space="0" w:color="auto"/>
              <w:right w:val="single" w:sz="6" w:space="0" w:color="auto"/>
            </w:tcBorders>
          </w:tcPr>
          <w:p w14:paraId="4EA0B024" w14:textId="77777777" w:rsidR="000C1F5E" w:rsidRPr="003A1875" w:rsidRDefault="000C1F5E" w:rsidP="00F8181D">
            <w:pPr>
              <w:pStyle w:val="FigureTitle"/>
              <w:keepLines w:val="0"/>
              <w:spacing w:before="0" w:after="0"/>
              <w:jc w:val="left"/>
              <w:rPr>
                <w:b w:val="0"/>
                <w:sz w:val="24"/>
                <w:szCs w:val="24"/>
              </w:rPr>
            </w:pPr>
            <w:r w:rsidRPr="003A1875">
              <w:rPr>
                <w:b w:val="0"/>
                <w:color w:val="000000"/>
                <w:sz w:val="24"/>
                <w:szCs w:val="24"/>
                <w:lang w:val="en-GB"/>
              </w:rPr>
              <w:t>eCurrency, USA</w:t>
            </w:r>
          </w:p>
        </w:tc>
      </w:tr>
      <w:tr w:rsidR="000C1F5E" w:rsidRPr="003A1875" w14:paraId="1F1ADB51"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52305549" w14:textId="77777777" w:rsidR="000C1F5E" w:rsidRPr="003A1875" w:rsidRDefault="000C1F5E" w:rsidP="00F8181D">
            <w:pPr>
              <w:pStyle w:val="FigureTitle"/>
              <w:keepLines w:val="0"/>
              <w:spacing w:before="0" w:after="0"/>
              <w:jc w:val="left"/>
              <w:rPr>
                <w:sz w:val="24"/>
                <w:szCs w:val="24"/>
              </w:rPr>
            </w:pPr>
            <w:r w:rsidRPr="003A1875">
              <w:rPr>
                <w:color w:val="000000"/>
                <w:sz w:val="24"/>
                <w:szCs w:val="24"/>
                <w:lang w:val="en-GB"/>
              </w:rPr>
              <w:t>Short Description</w:t>
            </w:r>
          </w:p>
        </w:tc>
        <w:tc>
          <w:tcPr>
            <w:tcW w:w="7441" w:type="dxa"/>
            <w:gridSpan w:val="3"/>
            <w:tcBorders>
              <w:top w:val="single" w:sz="6" w:space="0" w:color="auto"/>
              <w:left w:val="single" w:sz="6" w:space="0" w:color="auto"/>
              <w:bottom w:val="single" w:sz="6" w:space="0" w:color="auto"/>
              <w:right w:val="single" w:sz="6" w:space="0" w:color="auto"/>
            </w:tcBorders>
          </w:tcPr>
          <w:p w14:paraId="2344BD32" w14:textId="6FC2FDD4" w:rsidR="000C1F5E" w:rsidRPr="003A1875" w:rsidRDefault="000C1F5E" w:rsidP="005157BE">
            <w:pPr>
              <w:rPr>
                <w:szCs w:val="24"/>
              </w:rPr>
            </w:pPr>
            <w:r w:rsidRPr="003A1875">
              <w:rPr>
                <w:szCs w:val="24"/>
              </w:rPr>
              <w:t>Secure creation of a fixed DFC supply amount in accordance with central bank monetary policies. The issuance is akin to printing physical banknotes. It creates a supply of DFC to be subsequently distributed through payment channels.</w:t>
            </w:r>
            <w:r w:rsidR="00AB69E8">
              <w:rPr>
                <w:szCs w:val="24"/>
              </w:rPr>
              <w:t xml:space="preserve"> </w:t>
            </w:r>
          </w:p>
        </w:tc>
      </w:tr>
      <w:tr w:rsidR="000C1F5E" w:rsidRPr="003A1875" w14:paraId="70BE750E"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645C7616" w14:textId="77777777" w:rsidR="000C1F5E" w:rsidRPr="003A1875" w:rsidRDefault="000C1F5E" w:rsidP="00F8181D">
            <w:pPr>
              <w:pStyle w:val="FigureTitle"/>
              <w:keepLines w:val="0"/>
              <w:spacing w:before="0" w:after="0"/>
              <w:jc w:val="left"/>
              <w:rPr>
                <w:sz w:val="24"/>
                <w:szCs w:val="24"/>
              </w:rPr>
            </w:pPr>
            <w:r w:rsidRPr="003A1875">
              <w:rPr>
                <w:color w:val="000000"/>
                <w:sz w:val="24"/>
                <w:szCs w:val="24"/>
                <w:lang w:val="en-GB"/>
              </w:rPr>
              <w:t>Long description</w:t>
            </w:r>
          </w:p>
        </w:tc>
        <w:tc>
          <w:tcPr>
            <w:tcW w:w="7441" w:type="dxa"/>
            <w:gridSpan w:val="3"/>
            <w:tcBorders>
              <w:top w:val="single" w:sz="6" w:space="0" w:color="auto"/>
              <w:left w:val="single" w:sz="6" w:space="0" w:color="auto"/>
              <w:bottom w:val="single" w:sz="6" w:space="0" w:color="auto"/>
              <w:right w:val="single" w:sz="6" w:space="0" w:color="auto"/>
            </w:tcBorders>
          </w:tcPr>
          <w:p w14:paraId="4A2B04A8" w14:textId="6F08B053" w:rsidR="000C1F5E" w:rsidRPr="003A1875" w:rsidRDefault="000C1F5E" w:rsidP="00F8181D">
            <w:pPr>
              <w:rPr>
                <w:szCs w:val="24"/>
              </w:rPr>
            </w:pPr>
            <w:r w:rsidRPr="003A1875">
              <w:rPr>
                <w:szCs w:val="24"/>
              </w:rPr>
              <w:t>One of the main characteristics required of DFC by the central banks is similarity to the existing physical cash processes</w:t>
            </w:r>
            <w:r w:rsidR="00AB69E8">
              <w:rPr>
                <w:szCs w:val="24"/>
              </w:rPr>
              <w:t>. S</w:t>
            </w:r>
            <w:r w:rsidRPr="003A1875">
              <w:rPr>
                <w:szCs w:val="24"/>
              </w:rPr>
              <w:t xml:space="preserve">ee for example </w:t>
            </w:r>
            <w:r w:rsidR="004970D6">
              <w:rPr>
                <w:szCs w:val="24"/>
              </w:rPr>
              <w:t xml:space="preserve">see </w:t>
            </w:r>
            <w:r w:rsidR="00CD4C8F">
              <w:rPr>
                <w:szCs w:val="24"/>
              </w:rPr>
              <w:t>the Swedish Riksbank eKrona landing page (</w:t>
            </w:r>
            <w:hyperlink r:id="rId72" w:history="1">
              <w:r w:rsidR="00CD4C8F" w:rsidRPr="006725DD">
                <w:rPr>
                  <w:rStyle w:val="Hyperlink"/>
                  <w:szCs w:val="24"/>
                </w:rPr>
                <w:t>https://www.riksbank.se/en-gb/payments--cash/e-krona/</w:t>
              </w:r>
            </w:hyperlink>
            <w:r w:rsidR="00CD4C8F">
              <w:rPr>
                <w:szCs w:val="24"/>
              </w:rPr>
              <w:t xml:space="preserve">) </w:t>
            </w:r>
            <w:r w:rsidRPr="003A1875">
              <w:rPr>
                <w:szCs w:val="24"/>
              </w:rPr>
              <w:t xml:space="preserve">and </w:t>
            </w:r>
            <w:r w:rsidR="00AB69E8">
              <w:rPr>
                <w:szCs w:val="24"/>
              </w:rPr>
              <w:t xml:space="preserve">the </w:t>
            </w:r>
            <w:r w:rsidRPr="003A1875">
              <w:rPr>
                <w:szCs w:val="24"/>
              </w:rPr>
              <w:t xml:space="preserve">South African Reserve Bank </w:t>
            </w:r>
            <w:r w:rsidR="00CD4C8F">
              <w:rPr>
                <w:szCs w:val="24"/>
              </w:rPr>
              <w:t xml:space="preserve">CBDC </w:t>
            </w:r>
            <w:r w:rsidR="004970D6">
              <w:rPr>
                <w:szCs w:val="24"/>
              </w:rPr>
              <w:t xml:space="preserve">expressions of interest </w:t>
            </w:r>
            <w:r w:rsidR="00CD4C8F">
              <w:rPr>
                <w:szCs w:val="24"/>
              </w:rPr>
              <w:t xml:space="preserve">documents </w:t>
            </w:r>
            <w:r w:rsidR="004970D6">
              <w:rPr>
                <w:szCs w:val="24"/>
              </w:rPr>
              <w:t>(</w:t>
            </w:r>
            <w:r w:rsidR="00AB69E8">
              <w:rPr>
                <w:szCs w:val="24"/>
              </w:rPr>
              <w:t>SARB, 2019)</w:t>
            </w:r>
            <w:r w:rsidRPr="003A1875">
              <w:rPr>
                <w:szCs w:val="24"/>
              </w:rPr>
              <w:t xml:space="preserve">. The key element of this similarity is the initial issuance process by which a supply of the DFC is created by the issuing entity. </w:t>
            </w:r>
          </w:p>
          <w:p w14:paraId="6F5E72A0" w14:textId="77777777" w:rsidR="000C1F5E" w:rsidRPr="003A1875" w:rsidRDefault="000C1F5E" w:rsidP="00F8181D">
            <w:pPr>
              <w:rPr>
                <w:szCs w:val="24"/>
              </w:rPr>
            </w:pPr>
            <w:r w:rsidRPr="003A1875">
              <w:rPr>
                <w:szCs w:val="24"/>
              </w:rPr>
              <w:t>The main considerations for the issuance process are:</w:t>
            </w:r>
          </w:p>
          <w:p w14:paraId="15605CEA" w14:textId="77777777" w:rsidR="000C1F5E" w:rsidRPr="003A1875"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3A1875">
              <w:rPr>
                <w:rFonts w:ascii="Times New Roman" w:hAnsi="Times New Roman" w:cs="Times New Roman"/>
                <w:sz w:val="24"/>
                <w:szCs w:val="24"/>
              </w:rPr>
              <w:t>Security of the process</w:t>
            </w:r>
          </w:p>
          <w:p w14:paraId="2CD928FE" w14:textId="77777777" w:rsidR="000C1F5E" w:rsidRPr="003A1875"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3A1875">
              <w:rPr>
                <w:rFonts w:ascii="Times New Roman" w:hAnsi="Times New Roman" w:cs="Times New Roman"/>
                <w:sz w:val="24"/>
                <w:szCs w:val="24"/>
              </w:rPr>
              <w:t xml:space="preserve">Security of the created supply </w:t>
            </w:r>
          </w:p>
          <w:p w14:paraId="220663A7" w14:textId="77777777" w:rsidR="000C1F5E" w:rsidRPr="003A1875"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3A1875">
              <w:rPr>
                <w:rFonts w:ascii="Times New Roman" w:hAnsi="Times New Roman" w:cs="Times New Roman"/>
                <w:sz w:val="24"/>
                <w:szCs w:val="24"/>
              </w:rPr>
              <w:t>Controls on the process, such as presence of multiple participants, storage and handling of the tool used</w:t>
            </w:r>
          </w:p>
          <w:p w14:paraId="6A29CD2A" w14:textId="77777777" w:rsidR="000C1F5E" w:rsidRPr="003A1875"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3A1875">
              <w:rPr>
                <w:rFonts w:ascii="Times New Roman" w:hAnsi="Times New Roman" w:cs="Times New Roman"/>
                <w:sz w:val="24"/>
                <w:szCs w:val="24"/>
              </w:rPr>
              <w:t xml:space="preserve">Controls on the created supply such as means of delivery of the supply into storage and further delivery into circulation </w:t>
            </w:r>
          </w:p>
          <w:p w14:paraId="60B0B9BE" w14:textId="77777777" w:rsidR="000C1F5E" w:rsidRPr="003A1875"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3A1875">
              <w:rPr>
                <w:rFonts w:ascii="Times New Roman" w:hAnsi="Times New Roman" w:cs="Times New Roman"/>
                <w:sz w:val="24"/>
                <w:szCs w:val="24"/>
              </w:rPr>
              <w:t>Chain of custody on all inputs and resulting artefacts</w:t>
            </w:r>
          </w:p>
          <w:p w14:paraId="76D2A708" w14:textId="77777777" w:rsidR="000C1F5E" w:rsidRPr="003A1875"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3A1875">
              <w:rPr>
                <w:rFonts w:ascii="Times New Roman" w:hAnsi="Times New Roman" w:cs="Times New Roman"/>
                <w:sz w:val="24"/>
                <w:szCs w:val="24"/>
              </w:rPr>
              <w:t>Auditability and traceability of the process</w:t>
            </w:r>
          </w:p>
          <w:p w14:paraId="0A5EC529" w14:textId="77777777" w:rsidR="000C1F5E" w:rsidRPr="003A1875"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3A1875">
              <w:rPr>
                <w:rFonts w:ascii="Times New Roman" w:hAnsi="Times New Roman" w:cs="Times New Roman"/>
                <w:sz w:val="24"/>
                <w:szCs w:val="24"/>
              </w:rPr>
              <w:t>Permanence and storage of the audit trail</w:t>
            </w:r>
          </w:p>
        </w:tc>
      </w:tr>
      <w:tr w:rsidR="000C1F5E" w:rsidRPr="003A1875" w14:paraId="7580ABC3"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559D9F02" w14:textId="77777777" w:rsidR="000C1F5E" w:rsidRPr="003A1875" w:rsidRDefault="000C1F5E" w:rsidP="00F8181D">
            <w:pPr>
              <w:pStyle w:val="FigureTitle"/>
              <w:keepLines w:val="0"/>
              <w:spacing w:before="0" w:after="0"/>
              <w:jc w:val="left"/>
              <w:rPr>
                <w:sz w:val="24"/>
                <w:szCs w:val="24"/>
              </w:rPr>
            </w:pPr>
            <w:r w:rsidRPr="003A1875">
              <w:rPr>
                <w:sz w:val="24"/>
                <w:szCs w:val="24"/>
              </w:rPr>
              <w:t>Value Transfer:</w:t>
            </w:r>
          </w:p>
        </w:tc>
        <w:tc>
          <w:tcPr>
            <w:tcW w:w="7441" w:type="dxa"/>
            <w:gridSpan w:val="3"/>
            <w:tcBorders>
              <w:top w:val="single" w:sz="6" w:space="0" w:color="auto"/>
              <w:left w:val="single" w:sz="6" w:space="0" w:color="auto"/>
              <w:bottom w:val="single" w:sz="6" w:space="0" w:color="auto"/>
              <w:right w:val="single" w:sz="6" w:space="0" w:color="auto"/>
            </w:tcBorders>
          </w:tcPr>
          <w:p w14:paraId="1AE9F28F" w14:textId="77777777" w:rsidR="000C1F5E" w:rsidRPr="003A1875" w:rsidRDefault="000C1F5E" w:rsidP="00F8181D">
            <w:pPr>
              <w:pStyle w:val="BodyText"/>
              <w:rPr>
                <w:rFonts w:ascii="Times New Roman" w:hAnsi="Times New Roman" w:cs="Times New Roman"/>
                <w:sz w:val="24"/>
                <w:szCs w:val="24"/>
              </w:rPr>
            </w:pPr>
            <w:r w:rsidRPr="003A1875">
              <w:rPr>
                <w:rFonts w:ascii="Times New Roman" w:hAnsi="Times New Roman" w:cs="Times New Roman"/>
                <w:sz w:val="24"/>
                <w:szCs w:val="24"/>
              </w:rPr>
              <w:t>DFC, just like cash, is created by an edict of a sovereign entity, therefore value is not transferred in this use case. It is created.</w:t>
            </w:r>
          </w:p>
          <w:p w14:paraId="1C0B21D5" w14:textId="77777777" w:rsidR="000C1F5E" w:rsidRPr="003A1875" w:rsidRDefault="000C1F5E" w:rsidP="00F8181D">
            <w:pPr>
              <w:pStyle w:val="BodyText"/>
              <w:rPr>
                <w:rFonts w:ascii="Times New Roman" w:hAnsi="Times New Roman" w:cs="Times New Roman"/>
                <w:sz w:val="24"/>
                <w:szCs w:val="24"/>
              </w:rPr>
            </w:pPr>
            <w:r w:rsidRPr="003A1875">
              <w:rPr>
                <w:rFonts w:ascii="Times New Roman" w:hAnsi="Times New Roman" w:cs="Times New Roman"/>
                <w:sz w:val="24"/>
                <w:szCs w:val="24"/>
              </w:rPr>
              <w:t>More precisely, only a potential value is created at this time. The output of this process does not have any actual value until it is injected into circulation and thus increases the money supply. This is exactly analogous to printing physical paper banknotes and storing them in a secure vault at the central bank as a form of “inventory”, until it is injected into circulation and must at that point be accounted for.</w:t>
            </w:r>
          </w:p>
          <w:p w14:paraId="721D9F99" w14:textId="77777777" w:rsidR="000C1F5E" w:rsidRPr="003A1875" w:rsidRDefault="000C1F5E" w:rsidP="00F8181D">
            <w:pPr>
              <w:pStyle w:val="BodyText"/>
              <w:rPr>
                <w:rFonts w:ascii="Times New Roman" w:hAnsi="Times New Roman" w:cs="Times New Roman"/>
                <w:sz w:val="24"/>
                <w:szCs w:val="24"/>
              </w:rPr>
            </w:pPr>
            <w:r w:rsidRPr="003A1875">
              <w:rPr>
                <w:rFonts w:ascii="Times New Roman" w:hAnsi="Times New Roman" w:cs="Times New Roman"/>
                <w:sz w:val="24"/>
                <w:szCs w:val="24"/>
              </w:rPr>
              <w:t>The creating entity must account for the value, but the value is a seed at the root of the hierarchy and thus accounting for it is done in external systems, outside of the DFC realm. This may be considered a boundary condition, or “event zero”.</w:t>
            </w:r>
          </w:p>
        </w:tc>
      </w:tr>
      <w:tr w:rsidR="000C1F5E" w:rsidRPr="003A1875" w14:paraId="697A08A1"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644A495B" w14:textId="77777777" w:rsidR="000C1F5E" w:rsidRPr="003A1875" w:rsidRDefault="000C1F5E" w:rsidP="00F8181D">
            <w:pPr>
              <w:pStyle w:val="FigureTitle"/>
              <w:keepLines w:val="0"/>
              <w:spacing w:before="0" w:after="0"/>
              <w:jc w:val="left"/>
              <w:rPr>
                <w:sz w:val="24"/>
                <w:szCs w:val="24"/>
              </w:rPr>
            </w:pPr>
            <w:r w:rsidRPr="003A1875">
              <w:rPr>
                <w:sz w:val="24"/>
                <w:szCs w:val="24"/>
              </w:rPr>
              <w:t>Transfer Frequency</w:t>
            </w:r>
          </w:p>
        </w:tc>
        <w:tc>
          <w:tcPr>
            <w:tcW w:w="2816" w:type="dxa"/>
            <w:tcBorders>
              <w:top w:val="single" w:sz="6" w:space="0" w:color="auto"/>
              <w:left w:val="single" w:sz="6" w:space="0" w:color="auto"/>
              <w:bottom w:val="single" w:sz="6" w:space="0" w:color="auto"/>
              <w:right w:val="single" w:sz="6" w:space="0" w:color="auto"/>
            </w:tcBorders>
          </w:tcPr>
          <w:p w14:paraId="10ED0918" w14:textId="77777777" w:rsidR="000C1F5E" w:rsidRPr="003A1875" w:rsidRDefault="000C1F5E" w:rsidP="00F8181D">
            <w:pPr>
              <w:pStyle w:val="BodyText"/>
              <w:rPr>
                <w:rFonts w:ascii="Times New Roman" w:hAnsi="Times New Roman" w:cs="Times New Roman"/>
                <w:sz w:val="24"/>
                <w:szCs w:val="24"/>
              </w:rPr>
            </w:pPr>
            <w:r w:rsidRPr="003A1875">
              <w:rPr>
                <w:rFonts w:ascii="Times New Roman" w:hAnsi="Times New Roman" w:cs="Times New Roman"/>
                <w:sz w:val="24"/>
                <w:szCs w:val="24"/>
              </w:rPr>
              <w:t>Weekly to yearly</w:t>
            </w:r>
          </w:p>
        </w:tc>
        <w:tc>
          <w:tcPr>
            <w:tcW w:w="2499" w:type="dxa"/>
            <w:tcBorders>
              <w:top w:val="single" w:sz="6" w:space="0" w:color="auto"/>
              <w:left w:val="single" w:sz="6" w:space="0" w:color="auto"/>
              <w:bottom w:val="single" w:sz="6" w:space="0" w:color="auto"/>
              <w:right w:val="single" w:sz="6" w:space="0" w:color="auto"/>
            </w:tcBorders>
            <w:shd w:val="pct15" w:color="auto" w:fill="FFFFFF"/>
          </w:tcPr>
          <w:p w14:paraId="708299CF" w14:textId="77777777" w:rsidR="000C1F5E" w:rsidRPr="003A1875" w:rsidRDefault="000C1F5E" w:rsidP="00F8181D">
            <w:pPr>
              <w:pStyle w:val="BodyText"/>
              <w:rPr>
                <w:rFonts w:ascii="Times New Roman" w:hAnsi="Times New Roman" w:cs="Times New Roman"/>
                <w:sz w:val="24"/>
                <w:szCs w:val="24"/>
              </w:rPr>
            </w:pPr>
            <w:r w:rsidRPr="003A1875">
              <w:rPr>
                <w:rFonts w:ascii="Times New Roman" w:hAnsi="Times New Roman" w:cs="Times New Roman"/>
                <w:sz w:val="24"/>
                <w:szCs w:val="24"/>
              </w:rPr>
              <w:t>N</w:t>
            </w:r>
            <w:r w:rsidRPr="003A1875">
              <w:rPr>
                <w:rFonts w:ascii="Times New Roman" w:hAnsi="Times New Roman" w:cs="Times New Roman"/>
                <w:b/>
                <w:sz w:val="24"/>
                <w:szCs w:val="24"/>
              </w:rPr>
              <w:t>umber of Actors:</w:t>
            </w:r>
          </w:p>
        </w:tc>
        <w:tc>
          <w:tcPr>
            <w:tcW w:w="2126" w:type="dxa"/>
            <w:tcBorders>
              <w:top w:val="single" w:sz="6" w:space="0" w:color="auto"/>
              <w:left w:val="single" w:sz="6" w:space="0" w:color="auto"/>
              <w:bottom w:val="single" w:sz="6" w:space="0" w:color="auto"/>
              <w:right w:val="single" w:sz="6" w:space="0" w:color="auto"/>
            </w:tcBorders>
          </w:tcPr>
          <w:p w14:paraId="5D538DF6" w14:textId="77777777" w:rsidR="000C1F5E" w:rsidRPr="003A1875" w:rsidRDefault="000C1F5E" w:rsidP="00F8181D">
            <w:pPr>
              <w:pStyle w:val="BodyText"/>
              <w:rPr>
                <w:rFonts w:ascii="Times New Roman" w:hAnsi="Times New Roman" w:cs="Times New Roman"/>
                <w:sz w:val="24"/>
                <w:szCs w:val="24"/>
              </w:rPr>
            </w:pPr>
            <w:r w:rsidRPr="003A1875">
              <w:rPr>
                <w:rFonts w:ascii="Times New Roman" w:hAnsi="Times New Roman" w:cs="Times New Roman"/>
                <w:sz w:val="24"/>
                <w:szCs w:val="24"/>
              </w:rPr>
              <w:t>10 to 30</w:t>
            </w:r>
          </w:p>
        </w:tc>
      </w:tr>
      <w:tr w:rsidR="000C1F5E" w:rsidRPr="003A1875" w14:paraId="541576BC"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09AA08C5" w14:textId="77777777" w:rsidR="000C1F5E" w:rsidRPr="003A1875" w:rsidRDefault="000C1F5E" w:rsidP="00F8181D">
            <w:pPr>
              <w:pStyle w:val="FigureTitle"/>
              <w:keepLines w:val="0"/>
              <w:spacing w:before="0" w:after="0"/>
              <w:jc w:val="left"/>
              <w:rPr>
                <w:sz w:val="24"/>
                <w:szCs w:val="24"/>
              </w:rPr>
            </w:pPr>
            <w:r w:rsidRPr="003A1875">
              <w:rPr>
                <w:sz w:val="24"/>
                <w:szCs w:val="24"/>
              </w:rPr>
              <w:t>Stakeholders:</w:t>
            </w:r>
          </w:p>
        </w:tc>
        <w:tc>
          <w:tcPr>
            <w:tcW w:w="7441" w:type="dxa"/>
            <w:gridSpan w:val="3"/>
            <w:tcBorders>
              <w:top w:val="single" w:sz="6" w:space="0" w:color="auto"/>
              <w:left w:val="single" w:sz="6" w:space="0" w:color="auto"/>
              <w:bottom w:val="single" w:sz="6" w:space="0" w:color="auto"/>
              <w:right w:val="single" w:sz="6" w:space="0" w:color="auto"/>
            </w:tcBorders>
          </w:tcPr>
          <w:p w14:paraId="5B1F1FD8" w14:textId="77777777" w:rsidR="000C1F5E" w:rsidRPr="003A1875" w:rsidRDefault="000C1F5E" w:rsidP="00F8181D">
            <w:pPr>
              <w:pStyle w:val="BodyText"/>
              <w:rPr>
                <w:rFonts w:ascii="Times New Roman" w:hAnsi="Times New Roman" w:cs="Times New Roman"/>
                <w:sz w:val="24"/>
                <w:szCs w:val="24"/>
                <w:lang w:val="en-US"/>
              </w:rPr>
            </w:pPr>
            <w:r w:rsidRPr="003A1875">
              <w:rPr>
                <w:rFonts w:ascii="Times New Roman" w:hAnsi="Times New Roman" w:cs="Times New Roman"/>
                <w:sz w:val="24"/>
                <w:szCs w:val="24"/>
              </w:rPr>
              <w:t>High-level central bank personnel, ministry of finance officials, offices of the president or prime minister</w:t>
            </w:r>
          </w:p>
        </w:tc>
      </w:tr>
      <w:tr w:rsidR="000C1F5E" w:rsidRPr="003A1875" w14:paraId="747BE36D"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5678FF42" w14:textId="77777777" w:rsidR="000C1F5E" w:rsidRPr="003A1875" w:rsidRDefault="000C1F5E" w:rsidP="00F8181D">
            <w:pPr>
              <w:pStyle w:val="FigureTitle"/>
              <w:keepLines w:val="0"/>
              <w:spacing w:before="0" w:after="0"/>
              <w:jc w:val="left"/>
              <w:rPr>
                <w:sz w:val="24"/>
                <w:szCs w:val="24"/>
              </w:rPr>
            </w:pPr>
            <w:r w:rsidRPr="003A1875">
              <w:rPr>
                <w:sz w:val="24"/>
                <w:szCs w:val="24"/>
              </w:rPr>
              <w:t>Inputs:</w:t>
            </w:r>
          </w:p>
        </w:tc>
        <w:tc>
          <w:tcPr>
            <w:tcW w:w="7441" w:type="dxa"/>
            <w:gridSpan w:val="3"/>
            <w:tcBorders>
              <w:top w:val="single" w:sz="6" w:space="0" w:color="auto"/>
              <w:left w:val="single" w:sz="6" w:space="0" w:color="auto"/>
              <w:bottom w:val="single" w:sz="6" w:space="0" w:color="auto"/>
              <w:right w:val="single" w:sz="6" w:space="0" w:color="auto"/>
            </w:tcBorders>
          </w:tcPr>
          <w:p w14:paraId="7AE57591" w14:textId="77777777" w:rsidR="000C1F5E" w:rsidRPr="003A1875" w:rsidRDefault="000C1F5E" w:rsidP="00F8181D">
            <w:pPr>
              <w:pStyle w:val="BodyText"/>
              <w:rPr>
                <w:rFonts w:ascii="Times New Roman" w:hAnsi="Times New Roman" w:cs="Times New Roman"/>
                <w:sz w:val="24"/>
                <w:szCs w:val="24"/>
              </w:rPr>
            </w:pPr>
            <w:r w:rsidRPr="003A1875">
              <w:rPr>
                <w:rFonts w:ascii="Times New Roman" w:hAnsi="Times New Roman" w:cs="Times New Roman"/>
                <w:sz w:val="24"/>
                <w:szCs w:val="24"/>
              </w:rPr>
              <w:t>Issuance being the initial seeding process, the inputs exist outside of the strict DFC environment. Inputs may include:</w:t>
            </w:r>
          </w:p>
          <w:p w14:paraId="4FDC3FC6" w14:textId="77777777" w:rsidR="000C1F5E" w:rsidRPr="003A1875" w:rsidRDefault="000C1F5E" w:rsidP="00A24280">
            <w:pPr>
              <w:pStyle w:val="ListParagraph"/>
              <w:numPr>
                <w:ilvl w:val="0"/>
                <w:numId w:val="18"/>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3A1875">
              <w:rPr>
                <w:rFonts w:ascii="Times New Roman" w:hAnsi="Times New Roman" w:cs="Times New Roman"/>
                <w:sz w:val="24"/>
                <w:szCs w:val="24"/>
              </w:rPr>
              <w:t>Estimate of the required supply based on demand for this form of cash</w:t>
            </w:r>
          </w:p>
          <w:p w14:paraId="4F8771C2" w14:textId="77777777" w:rsidR="000C1F5E" w:rsidRPr="003A1875" w:rsidRDefault="000C1F5E" w:rsidP="00A24280">
            <w:pPr>
              <w:pStyle w:val="ListParagraph"/>
              <w:numPr>
                <w:ilvl w:val="0"/>
                <w:numId w:val="18"/>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3A1875">
              <w:rPr>
                <w:rFonts w:ascii="Times New Roman" w:hAnsi="Times New Roman" w:cs="Times New Roman"/>
                <w:sz w:val="24"/>
                <w:szCs w:val="24"/>
              </w:rPr>
              <w:t>A formal agreement between the central bank and the ministry of finance</w:t>
            </w:r>
          </w:p>
          <w:p w14:paraId="1A240FB9" w14:textId="0B140576" w:rsidR="000C1F5E" w:rsidRPr="003A1875" w:rsidRDefault="000C1F5E" w:rsidP="005157BE">
            <w:pPr>
              <w:pStyle w:val="ListParagraph"/>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p>
        </w:tc>
      </w:tr>
      <w:tr w:rsidR="000C1F5E" w:rsidRPr="003A1875" w14:paraId="197DFC29"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4FD0C7C7" w14:textId="77777777" w:rsidR="000C1F5E" w:rsidRPr="003A1875" w:rsidRDefault="000C1F5E" w:rsidP="00F8181D">
            <w:pPr>
              <w:pStyle w:val="FigureTitle"/>
              <w:keepLines w:val="0"/>
              <w:spacing w:before="0" w:after="0"/>
              <w:jc w:val="left"/>
              <w:rPr>
                <w:sz w:val="24"/>
                <w:szCs w:val="24"/>
              </w:rPr>
            </w:pPr>
            <w:r w:rsidRPr="003A1875">
              <w:rPr>
                <w:sz w:val="24"/>
                <w:szCs w:val="24"/>
              </w:rPr>
              <w:t>Actors:</w:t>
            </w:r>
          </w:p>
        </w:tc>
        <w:tc>
          <w:tcPr>
            <w:tcW w:w="7441" w:type="dxa"/>
            <w:gridSpan w:val="3"/>
            <w:tcBorders>
              <w:top w:val="single" w:sz="6" w:space="0" w:color="auto"/>
              <w:left w:val="single" w:sz="6" w:space="0" w:color="auto"/>
              <w:bottom w:val="single" w:sz="6" w:space="0" w:color="auto"/>
              <w:right w:val="single" w:sz="6" w:space="0" w:color="auto"/>
            </w:tcBorders>
          </w:tcPr>
          <w:p w14:paraId="178D0ED0" w14:textId="021978F2" w:rsidR="000C1F5E" w:rsidRPr="003A1875" w:rsidRDefault="000C1F5E" w:rsidP="005157BE">
            <w:pPr>
              <w:pStyle w:val="BodyText"/>
              <w:rPr>
                <w:rFonts w:ascii="Times New Roman" w:hAnsi="Times New Roman" w:cs="Times New Roman"/>
                <w:i/>
                <w:sz w:val="24"/>
                <w:szCs w:val="24"/>
                <w:lang w:val="en-US"/>
              </w:rPr>
            </w:pPr>
            <w:r w:rsidRPr="003A1875">
              <w:rPr>
                <w:rFonts w:ascii="Times New Roman" w:hAnsi="Times New Roman" w:cs="Times New Roman"/>
                <w:sz w:val="24"/>
                <w:szCs w:val="24"/>
              </w:rPr>
              <w:t>High-level central bank personnel, ministry of finance officials, security personnel, external auditors and similar. In some cases, international organizations may supervise or participate in the process.</w:t>
            </w:r>
            <w:r w:rsidR="0082035B">
              <w:rPr>
                <w:rFonts w:ascii="Times New Roman" w:hAnsi="Times New Roman" w:cs="Times New Roman"/>
                <w:sz w:val="24"/>
                <w:szCs w:val="24"/>
              </w:rPr>
              <w:t xml:space="preserve"> </w:t>
            </w:r>
          </w:p>
        </w:tc>
      </w:tr>
      <w:tr w:rsidR="000C1F5E" w:rsidRPr="003A1875" w14:paraId="49B488EC"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113F6606" w14:textId="77777777" w:rsidR="000C1F5E" w:rsidRPr="003A1875" w:rsidRDefault="000C1F5E" w:rsidP="00F8181D">
            <w:pPr>
              <w:pStyle w:val="FigureTitle"/>
              <w:keepLines w:val="0"/>
              <w:spacing w:before="0" w:after="0"/>
              <w:jc w:val="left"/>
              <w:rPr>
                <w:sz w:val="24"/>
                <w:szCs w:val="24"/>
              </w:rPr>
            </w:pPr>
            <w:r w:rsidRPr="003A1875">
              <w:rPr>
                <w:sz w:val="24"/>
                <w:szCs w:val="24"/>
              </w:rPr>
              <w:t>Tools</w:t>
            </w:r>
          </w:p>
        </w:tc>
        <w:tc>
          <w:tcPr>
            <w:tcW w:w="7441" w:type="dxa"/>
            <w:gridSpan w:val="3"/>
            <w:tcBorders>
              <w:top w:val="single" w:sz="6" w:space="0" w:color="auto"/>
              <w:left w:val="single" w:sz="6" w:space="0" w:color="auto"/>
              <w:bottom w:val="single" w:sz="6" w:space="0" w:color="auto"/>
              <w:right w:val="single" w:sz="6" w:space="0" w:color="auto"/>
            </w:tcBorders>
          </w:tcPr>
          <w:p w14:paraId="5148FD7A" w14:textId="77777777" w:rsidR="005157BE" w:rsidRDefault="000C1F5E" w:rsidP="005157BE">
            <w:pPr>
              <w:pStyle w:val="BodyText"/>
              <w:rPr>
                <w:rFonts w:ascii="Times New Roman" w:hAnsi="Times New Roman" w:cs="Times New Roman"/>
                <w:sz w:val="24"/>
                <w:szCs w:val="24"/>
              </w:rPr>
            </w:pPr>
            <w:r w:rsidRPr="003A1875">
              <w:rPr>
                <w:rFonts w:ascii="Times New Roman" w:hAnsi="Times New Roman" w:cs="Times New Roman"/>
                <w:sz w:val="24"/>
                <w:szCs w:val="24"/>
              </w:rPr>
              <w:t>The following elements are assembled:</w:t>
            </w:r>
            <w:r w:rsidR="0082035B">
              <w:rPr>
                <w:rFonts w:ascii="Times New Roman" w:hAnsi="Times New Roman" w:cs="Times New Roman"/>
                <w:sz w:val="24"/>
                <w:szCs w:val="24"/>
              </w:rPr>
              <w:t xml:space="preserve"> </w:t>
            </w:r>
          </w:p>
          <w:p w14:paraId="65A2980E" w14:textId="762A5698" w:rsidR="000C1F5E" w:rsidRPr="003A1875" w:rsidRDefault="000C1F5E" w:rsidP="005157BE">
            <w:pPr>
              <w:pStyle w:val="BodyText"/>
              <w:rPr>
                <w:rFonts w:ascii="Times New Roman" w:hAnsi="Times New Roman" w:cs="Times New Roman"/>
                <w:sz w:val="24"/>
                <w:szCs w:val="24"/>
              </w:rPr>
            </w:pPr>
            <w:r w:rsidRPr="003A1875">
              <w:rPr>
                <w:rFonts w:ascii="Times New Roman" w:hAnsi="Times New Roman" w:cs="Times New Roman"/>
                <w:sz w:val="24"/>
                <w:szCs w:val="24"/>
              </w:rPr>
              <w:t>Cryptographic computer (“printing device”) used to create the DFC value</w:t>
            </w:r>
          </w:p>
          <w:p w14:paraId="29B04DEB" w14:textId="77777777" w:rsidR="000C1F5E" w:rsidRPr="003A1875" w:rsidRDefault="000C1F5E" w:rsidP="00A24280">
            <w:pPr>
              <w:pStyle w:val="BodyText"/>
              <w:numPr>
                <w:ilvl w:val="0"/>
                <w:numId w:val="20"/>
              </w:numPr>
              <w:tabs>
                <w:tab w:val="left" w:pos="794"/>
                <w:tab w:val="left" w:pos="1191"/>
                <w:tab w:val="left" w:pos="1588"/>
                <w:tab w:val="left" w:pos="1985"/>
              </w:tabs>
              <w:overflowPunct w:val="0"/>
              <w:autoSpaceDE w:val="0"/>
              <w:autoSpaceDN w:val="0"/>
              <w:adjustRightInd w:val="0"/>
              <w:spacing w:before="120" w:line="240" w:lineRule="auto"/>
              <w:textAlignment w:val="baseline"/>
              <w:rPr>
                <w:rFonts w:ascii="Times New Roman" w:hAnsi="Times New Roman" w:cs="Times New Roman"/>
                <w:sz w:val="24"/>
                <w:szCs w:val="24"/>
              </w:rPr>
            </w:pPr>
            <w:r w:rsidRPr="003A1875">
              <w:rPr>
                <w:rFonts w:ascii="Times New Roman" w:hAnsi="Times New Roman" w:cs="Times New Roman"/>
                <w:sz w:val="24"/>
                <w:szCs w:val="24"/>
              </w:rPr>
              <w:t>Associated</w:t>
            </w:r>
            <w:r>
              <w:rPr>
                <w:rFonts w:ascii="Times New Roman" w:hAnsi="Times New Roman" w:cs="Times New Roman"/>
                <w:sz w:val="24"/>
                <w:szCs w:val="24"/>
              </w:rPr>
              <w:t xml:space="preserve"> infrastructure and</w:t>
            </w:r>
            <w:r w:rsidRPr="003A1875">
              <w:rPr>
                <w:rFonts w:ascii="Times New Roman" w:hAnsi="Times New Roman" w:cs="Times New Roman"/>
                <w:sz w:val="24"/>
                <w:szCs w:val="24"/>
              </w:rPr>
              <w:t xml:space="preserve"> equipment to operate the printing device, such as UI, power etc</w:t>
            </w:r>
          </w:p>
          <w:p w14:paraId="6BA9FB5F" w14:textId="77777777" w:rsidR="000C1F5E" w:rsidRPr="003A1875" w:rsidRDefault="000C1F5E" w:rsidP="00A24280">
            <w:pPr>
              <w:pStyle w:val="BodyText"/>
              <w:numPr>
                <w:ilvl w:val="0"/>
                <w:numId w:val="20"/>
              </w:numPr>
              <w:tabs>
                <w:tab w:val="left" w:pos="794"/>
                <w:tab w:val="left" w:pos="1191"/>
                <w:tab w:val="left" w:pos="1588"/>
                <w:tab w:val="left" w:pos="1985"/>
              </w:tabs>
              <w:overflowPunct w:val="0"/>
              <w:autoSpaceDE w:val="0"/>
              <w:autoSpaceDN w:val="0"/>
              <w:adjustRightInd w:val="0"/>
              <w:spacing w:before="120" w:line="240" w:lineRule="auto"/>
              <w:textAlignment w:val="baseline"/>
              <w:rPr>
                <w:rFonts w:ascii="Times New Roman" w:hAnsi="Times New Roman" w:cs="Times New Roman"/>
                <w:sz w:val="24"/>
                <w:szCs w:val="24"/>
              </w:rPr>
            </w:pPr>
            <w:r w:rsidRPr="003A1875">
              <w:rPr>
                <w:rFonts w:ascii="Times New Roman" w:hAnsi="Times New Roman" w:cs="Times New Roman"/>
                <w:sz w:val="24"/>
                <w:szCs w:val="24"/>
              </w:rPr>
              <w:t>Recording devices to monitor the process</w:t>
            </w:r>
          </w:p>
          <w:p w14:paraId="731D64E5" w14:textId="77777777" w:rsidR="000C1F5E" w:rsidRPr="003A1875" w:rsidRDefault="000C1F5E" w:rsidP="00A24280">
            <w:pPr>
              <w:pStyle w:val="BodyText"/>
              <w:numPr>
                <w:ilvl w:val="0"/>
                <w:numId w:val="20"/>
              </w:numPr>
              <w:tabs>
                <w:tab w:val="left" w:pos="794"/>
                <w:tab w:val="left" w:pos="1191"/>
                <w:tab w:val="left" w:pos="1588"/>
                <w:tab w:val="left" w:pos="1985"/>
              </w:tabs>
              <w:overflowPunct w:val="0"/>
              <w:autoSpaceDE w:val="0"/>
              <w:autoSpaceDN w:val="0"/>
              <w:adjustRightInd w:val="0"/>
              <w:spacing w:before="120" w:line="240" w:lineRule="auto"/>
              <w:textAlignment w:val="baseline"/>
              <w:rPr>
                <w:rFonts w:ascii="Times New Roman" w:hAnsi="Times New Roman" w:cs="Times New Roman"/>
                <w:sz w:val="24"/>
                <w:szCs w:val="24"/>
              </w:rPr>
            </w:pPr>
            <w:r w:rsidRPr="003A1875">
              <w:rPr>
                <w:rFonts w:ascii="Times New Roman" w:hAnsi="Times New Roman" w:cs="Times New Roman"/>
                <w:sz w:val="24"/>
                <w:szCs w:val="24"/>
              </w:rPr>
              <w:t>Cryptographic computer to accept the DFC supply and store it for distribution (“the supply storage”)</w:t>
            </w:r>
          </w:p>
        </w:tc>
      </w:tr>
      <w:tr w:rsidR="000C1F5E" w:rsidRPr="003A1875" w14:paraId="618AC66E"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2DF59695" w14:textId="77777777" w:rsidR="000C1F5E" w:rsidRPr="003A1875" w:rsidRDefault="000C1F5E" w:rsidP="00F8181D">
            <w:pPr>
              <w:pStyle w:val="FigureTitle"/>
              <w:keepLines w:val="0"/>
              <w:spacing w:before="0" w:after="0"/>
              <w:jc w:val="left"/>
              <w:rPr>
                <w:sz w:val="24"/>
                <w:szCs w:val="24"/>
              </w:rPr>
            </w:pPr>
            <w:r w:rsidRPr="003A1875">
              <w:rPr>
                <w:sz w:val="24"/>
                <w:szCs w:val="24"/>
              </w:rPr>
              <w:t>Outputs:</w:t>
            </w:r>
          </w:p>
        </w:tc>
        <w:tc>
          <w:tcPr>
            <w:tcW w:w="7441" w:type="dxa"/>
            <w:gridSpan w:val="3"/>
            <w:tcBorders>
              <w:top w:val="single" w:sz="6" w:space="0" w:color="auto"/>
              <w:left w:val="single" w:sz="6" w:space="0" w:color="auto"/>
              <w:bottom w:val="single" w:sz="6" w:space="0" w:color="auto"/>
              <w:right w:val="single" w:sz="6" w:space="0" w:color="auto"/>
            </w:tcBorders>
          </w:tcPr>
          <w:p w14:paraId="419EAB98" w14:textId="77777777" w:rsidR="000C1F5E" w:rsidRPr="003A1875" w:rsidRDefault="000C1F5E" w:rsidP="00F8181D">
            <w:pPr>
              <w:pStyle w:val="BodyText"/>
              <w:rPr>
                <w:rFonts w:ascii="Times New Roman" w:hAnsi="Times New Roman" w:cs="Times New Roman"/>
                <w:sz w:val="24"/>
                <w:szCs w:val="24"/>
                <w:lang w:val="en-US"/>
              </w:rPr>
            </w:pPr>
            <w:r w:rsidRPr="003A1875">
              <w:rPr>
                <w:rFonts w:ascii="Times New Roman" w:hAnsi="Times New Roman" w:cs="Times New Roman"/>
                <w:sz w:val="24"/>
                <w:szCs w:val="24"/>
                <w:lang w:val="en-US"/>
              </w:rPr>
              <w:t>The following artefacts are generated by the process:</w:t>
            </w:r>
          </w:p>
          <w:p w14:paraId="7F29BB69" w14:textId="77777777" w:rsidR="000C1F5E" w:rsidRPr="003A1875" w:rsidRDefault="000C1F5E" w:rsidP="00A24280">
            <w:pPr>
              <w:pStyle w:val="BodyText"/>
              <w:numPr>
                <w:ilvl w:val="0"/>
                <w:numId w:val="18"/>
              </w:numPr>
              <w:tabs>
                <w:tab w:val="left" w:pos="794"/>
                <w:tab w:val="left" w:pos="1191"/>
                <w:tab w:val="left" w:pos="1588"/>
                <w:tab w:val="left" w:pos="1985"/>
              </w:tabs>
              <w:overflowPunct w:val="0"/>
              <w:autoSpaceDE w:val="0"/>
              <w:autoSpaceDN w:val="0"/>
              <w:adjustRightInd w:val="0"/>
              <w:spacing w:before="120" w:line="240" w:lineRule="auto"/>
              <w:textAlignment w:val="baseline"/>
              <w:rPr>
                <w:rFonts w:ascii="Times New Roman" w:hAnsi="Times New Roman" w:cs="Times New Roman"/>
                <w:sz w:val="24"/>
                <w:szCs w:val="24"/>
                <w:lang w:val="en-US"/>
              </w:rPr>
            </w:pPr>
            <w:r w:rsidRPr="003A1875">
              <w:rPr>
                <w:rFonts w:ascii="Times New Roman" w:hAnsi="Times New Roman" w:cs="Times New Roman"/>
                <w:sz w:val="24"/>
                <w:szCs w:val="24"/>
                <w:lang w:val="en-US"/>
              </w:rPr>
              <w:t>DFC supply: a cryptographic token representing the created value</w:t>
            </w:r>
          </w:p>
          <w:p w14:paraId="7F079923" w14:textId="77777777" w:rsidR="000C1F5E" w:rsidRPr="003A1875" w:rsidRDefault="000C1F5E" w:rsidP="00A24280">
            <w:pPr>
              <w:pStyle w:val="BodyText"/>
              <w:numPr>
                <w:ilvl w:val="0"/>
                <w:numId w:val="18"/>
              </w:numPr>
              <w:tabs>
                <w:tab w:val="left" w:pos="794"/>
                <w:tab w:val="left" w:pos="1191"/>
                <w:tab w:val="left" w:pos="1588"/>
                <w:tab w:val="left" w:pos="1985"/>
              </w:tabs>
              <w:overflowPunct w:val="0"/>
              <w:autoSpaceDE w:val="0"/>
              <w:autoSpaceDN w:val="0"/>
              <w:adjustRightInd w:val="0"/>
              <w:spacing w:before="120" w:line="240" w:lineRule="auto"/>
              <w:textAlignment w:val="baseline"/>
              <w:rPr>
                <w:rFonts w:ascii="Times New Roman" w:hAnsi="Times New Roman" w:cs="Times New Roman"/>
                <w:sz w:val="24"/>
                <w:szCs w:val="24"/>
                <w:lang w:val="en-US"/>
              </w:rPr>
            </w:pPr>
            <w:r w:rsidRPr="003A1875">
              <w:rPr>
                <w:rFonts w:ascii="Times New Roman" w:hAnsi="Times New Roman" w:cs="Times New Roman"/>
                <w:sz w:val="24"/>
                <w:szCs w:val="24"/>
                <w:lang w:val="en-US"/>
              </w:rPr>
              <w:t>An electronic record of the process, including the full identity and selected biometrics of the participants, time, location and similar</w:t>
            </w:r>
          </w:p>
        </w:tc>
      </w:tr>
    </w:tbl>
    <w:p w14:paraId="23EB4766" w14:textId="77777777" w:rsidR="000C1F5E" w:rsidRPr="003A1875" w:rsidRDefault="000C1F5E" w:rsidP="000C1F5E">
      <w:pPr>
        <w:rPr>
          <w:b/>
          <w:szCs w:val="24"/>
        </w:rPr>
      </w:pP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81"/>
      </w:tblGrid>
      <w:tr w:rsidR="000C1F5E" w:rsidRPr="003A1875" w14:paraId="7EC1FC94" w14:textId="77777777" w:rsidTr="00F8181D">
        <w:tc>
          <w:tcPr>
            <w:tcW w:w="9781" w:type="dxa"/>
            <w:tcBorders>
              <w:top w:val="single" w:sz="6" w:space="0" w:color="000000"/>
              <w:left w:val="single" w:sz="6" w:space="0" w:color="000000"/>
              <w:bottom w:val="single" w:sz="6" w:space="0" w:color="000000"/>
              <w:right w:val="single" w:sz="6" w:space="0" w:color="000000"/>
            </w:tcBorders>
            <w:shd w:val="clear" w:color="auto" w:fill="D9D9D9"/>
          </w:tcPr>
          <w:p w14:paraId="141EDAF1" w14:textId="77777777" w:rsidR="000C1F5E" w:rsidRPr="003A1875" w:rsidRDefault="000C1F5E" w:rsidP="00F8181D">
            <w:pPr>
              <w:spacing w:before="0"/>
              <w:rPr>
                <w:b/>
                <w:szCs w:val="24"/>
              </w:rPr>
            </w:pPr>
            <w:r w:rsidRPr="003A1875">
              <w:rPr>
                <w:b/>
                <w:szCs w:val="24"/>
              </w:rPr>
              <w:t>Overview of the Process</w:t>
            </w:r>
          </w:p>
        </w:tc>
      </w:tr>
      <w:tr w:rsidR="000C1F5E" w:rsidRPr="003A1875" w14:paraId="5DDA9D5A" w14:textId="77777777" w:rsidTr="00F8181D">
        <w:tc>
          <w:tcPr>
            <w:tcW w:w="9781" w:type="dxa"/>
            <w:tcBorders>
              <w:top w:val="single" w:sz="6" w:space="0" w:color="000000"/>
              <w:left w:val="single" w:sz="6" w:space="0" w:color="000000"/>
              <w:bottom w:val="single" w:sz="6" w:space="0" w:color="000000"/>
              <w:right w:val="single" w:sz="6" w:space="0" w:color="000000"/>
            </w:tcBorders>
          </w:tcPr>
          <w:p w14:paraId="7303C056" w14:textId="77777777" w:rsidR="000C1F5E" w:rsidRPr="003A1875" w:rsidRDefault="000C1F5E" w:rsidP="00F8181D">
            <w:pPr>
              <w:jc w:val="both"/>
              <w:rPr>
                <w:szCs w:val="24"/>
              </w:rPr>
            </w:pPr>
            <w:r w:rsidRPr="003A1875">
              <w:rPr>
                <w:szCs w:val="24"/>
              </w:rPr>
              <w:t>The process proceeds as follows:</w:t>
            </w:r>
          </w:p>
          <w:p w14:paraId="71F685C5" w14:textId="77777777" w:rsidR="000C1F5E" w:rsidRPr="003A1875" w:rsidRDefault="000C1F5E" w:rsidP="00A24280">
            <w:pPr>
              <w:pStyle w:val="ListParagraph"/>
              <w:numPr>
                <w:ilvl w:val="0"/>
                <w:numId w:val="19"/>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3A1875">
              <w:rPr>
                <w:rFonts w:ascii="Times New Roman" w:hAnsi="Times New Roman" w:cs="Times New Roman"/>
                <w:sz w:val="24"/>
                <w:szCs w:val="24"/>
              </w:rPr>
              <w:t>The actors described above gather at a secure facility of the issuing authority, such as a secured conference room at a central bank</w:t>
            </w:r>
          </w:p>
          <w:p w14:paraId="1976D160" w14:textId="77777777" w:rsidR="000C1F5E" w:rsidRPr="003A1875" w:rsidRDefault="000C1F5E" w:rsidP="00A24280">
            <w:pPr>
              <w:pStyle w:val="ListParagraph"/>
              <w:numPr>
                <w:ilvl w:val="0"/>
                <w:numId w:val="19"/>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3A1875">
              <w:rPr>
                <w:rFonts w:ascii="Times New Roman" w:hAnsi="Times New Roman" w:cs="Times New Roman"/>
                <w:sz w:val="24"/>
                <w:szCs w:val="24"/>
              </w:rPr>
              <w:t>Actors’ identities are verified</w:t>
            </w:r>
          </w:p>
          <w:p w14:paraId="7E4B1E9F" w14:textId="77777777" w:rsidR="000C1F5E" w:rsidRPr="003A1875" w:rsidRDefault="000C1F5E" w:rsidP="00A24280">
            <w:pPr>
              <w:pStyle w:val="ListParagraph"/>
              <w:numPr>
                <w:ilvl w:val="0"/>
                <w:numId w:val="19"/>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3A1875">
              <w:rPr>
                <w:rFonts w:ascii="Times New Roman" w:hAnsi="Times New Roman" w:cs="Times New Roman"/>
                <w:sz w:val="24"/>
                <w:szCs w:val="24"/>
              </w:rPr>
              <w:t>Tools are recovered from secure storage as per policy and best practices, for example the tools are delivered by armed security guards</w:t>
            </w:r>
          </w:p>
          <w:p w14:paraId="22E2B64B" w14:textId="77777777" w:rsidR="000C1F5E" w:rsidRPr="003A1875" w:rsidRDefault="000C1F5E" w:rsidP="00A24280">
            <w:pPr>
              <w:pStyle w:val="ListParagraph"/>
              <w:numPr>
                <w:ilvl w:val="0"/>
                <w:numId w:val="19"/>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3A1875">
              <w:rPr>
                <w:rFonts w:ascii="Times New Roman" w:hAnsi="Times New Roman" w:cs="Times New Roman"/>
                <w:sz w:val="24"/>
                <w:szCs w:val="24"/>
              </w:rPr>
              <w:t>The actors verify that the tools have not been tampered with and that the inputs are proper</w:t>
            </w:r>
          </w:p>
          <w:p w14:paraId="6E7830E3" w14:textId="77777777" w:rsidR="000C1F5E" w:rsidRPr="003A1875" w:rsidRDefault="000C1F5E" w:rsidP="00A24280">
            <w:pPr>
              <w:pStyle w:val="ListParagraph"/>
              <w:numPr>
                <w:ilvl w:val="0"/>
                <w:numId w:val="19"/>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3A1875">
              <w:rPr>
                <w:rFonts w:ascii="Times New Roman" w:hAnsi="Times New Roman" w:cs="Times New Roman"/>
                <w:sz w:val="24"/>
                <w:szCs w:val="24"/>
              </w:rPr>
              <w:t>The actors perform the DFC creation process as defined in the policies of the issuing authority</w:t>
            </w:r>
          </w:p>
          <w:p w14:paraId="13F865E9" w14:textId="77777777" w:rsidR="000C1F5E" w:rsidRPr="003A1875" w:rsidRDefault="000C1F5E" w:rsidP="00A24280">
            <w:pPr>
              <w:pStyle w:val="ListParagraph"/>
              <w:numPr>
                <w:ilvl w:val="0"/>
                <w:numId w:val="19"/>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3A1875">
              <w:rPr>
                <w:rFonts w:ascii="Times New Roman" w:hAnsi="Times New Roman" w:cs="Times New Roman"/>
                <w:sz w:val="24"/>
                <w:szCs w:val="24"/>
              </w:rPr>
              <w:t>The resulting DFC supply is securely injected into the supply storage vault</w:t>
            </w:r>
          </w:p>
          <w:p w14:paraId="3B6A4F6C" w14:textId="77777777" w:rsidR="000C1F5E" w:rsidRPr="003A1875" w:rsidRDefault="000C1F5E" w:rsidP="00A24280">
            <w:pPr>
              <w:pStyle w:val="ListParagraph"/>
              <w:numPr>
                <w:ilvl w:val="0"/>
                <w:numId w:val="19"/>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3A1875">
              <w:rPr>
                <w:rFonts w:ascii="Times New Roman" w:hAnsi="Times New Roman" w:cs="Times New Roman"/>
                <w:sz w:val="24"/>
                <w:szCs w:val="24"/>
              </w:rPr>
              <w:t>The tools are returned to secure storage as required by the policy of the issuing authority</w:t>
            </w:r>
          </w:p>
          <w:p w14:paraId="7875A96A" w14:textId="77777777" w:rsidR="000C1F5E" w:rsidRPr="003A1875" w:rsidRDefault="000C1F5E" w:rsidP="00A24280">
            <w:pPr>
              <w:pStyle w:val="ListParagraph"/>
              <w:numPr>
                <w:ilvl w:val="0"/>
                <w:numId w:val="19"/>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3A1875">
              <w:rPr>
                <w:rFonts w:ascii="Times New Roman" w:hAnsi="Times New Roman" w:cs="Times New Roman"/>
                <w:sz w:val="24"/>
                <w:szCs w:val="24"/>
              </w:rPr>
              <w:t>The audit record is verified to be correct and is signed and sealed</w:t>
            </w:r>
          </w:p>
          <w:p w14:paraId="54F136C6" w14:textId="77777777" w:rsidR="000C1F5E" w:rsidRPr="003A1875" w:rsidRDefault="000C1F5E" w:rsidP="00A24280">
            <w:pPr>
              <w:pStyle w:val="ListParagraph"/>
              <w:numPr>
                <w:ilvl w:val="0"/>
                <w:numId w:val="19"/>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3A1875">
              <w:rPr>
                <w:rFonts w:ascii="Times New Roman" w:hAnsi="Times New Roman" w:cs="Times New Roman"/>
                <w:sz w:val="24"/>
                <w:szCs w:val="24"/>
              </w:rPr>
              <w:t>The audit record is published to an appropriate audience as per the policy</w:t>
            </w:r>
          </w:p>
          <w:p w14:paraId="44CF4017" w14:textId="77777777" w:rsidR="000C1F5E" w:rsidRPr="003A1875" w:rsidRDefault="000C1F5E" w:rsidP="00F8181D">
            <w:pPr>
              <w:jc w:val="both"/>
              <w:rPr>
                <w:szCs w:val="24"/>
              </w:rPr>
            </w:pPr>
          </w:p>
        </w:tc>
      </w:tr>
    </w:tbl>
    <w:p w14:paraId="26D36E39" w14:textId="77777777" w:rsidR="000C1F5E" w:rsidRPr="003A1875" w:rsidRDefault="000C1F5E" w:rsidP="000C1F5E">
      <w:pPr>
        <w:rPr>
          <w:b/>
          <w:szCs w:val="24"/>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73"/>
      </w:tblGrid>
      <w:tr w:rsidR="000C1F5E" w:rsidRPr="003A1875" w14:paraId="4172C703" w14:textId="77777777" w:rsidTr="00F8181D">
        <w:trPr>
          <w:trHeight w:val="280"/>
        </w:trPr>
        <w:tc>
          <w:tcPr>
            <w:tcW w:w="9773" w:type="dxa"/>
            <w:tcBorders>
              <w:top w:val="single" w:sz="6" w:space="0" w:color="000000"/>
              <w:left w:val="single" w:sz="6" w:space="0" w:color="000000"/>
              <w:bottom w:val="nil"/>
              <w:right w:val="single" w:sz="6" w:space="0" w:color="000000"/>
            </w:tcBorders>
            <w:shd w:val="clear" w:color="auto" w:fill="D9D9D9"/>
          </w:tcPr>
          <w:p w14:paraId="18384319" w14:textId="3923FA25" w:rsidR="000C1F5E" w:rsidRPr="003A1875" w:rsidRDefault="000C1F5E" w:rsidP="005157BE">
            <w:pPr>
              <w:spacing w:before="0"/>
              <w:rPr>
                <w:b/>
                <w:szCs w:val="24"/>
              </w:rPr>
            </w:pPr>
            <w:r w:rsidRPr="003A1875">
              <w:rPr>
                <w:b/>
                <w:szCs w:val="24"/>
              </w:rPr>
              <w:t>Process schematic</w:t>
            </w:r>
            <w:r w:rsidR="0082035B">
              <w:rPr>
                <w:b/>
                <w:szCs w:val="24"/>
              </w:rPr>
              <w:t xml:space="preserve"> </w:t>
            </w:r>
          </w:p>
        </w:tc>
      </w:tr>
      <w:tr w:rsidR="000C1F5E" w:rsidRPr="003A1875" w14:paraId="7F1A50DD" w14:textId="77777777" w:rsidTr="00F8181D">
        <w:trPr>
          <w:trHeight w:val="540"/>
        </w:trPr>
        <w:tc>
          <w:tcPr>
            <w:tcW w:w="9773" w:type="dxa"/>
            <w:tcBorders>
              <w:top w:val="single" w:sz="6" w:space="0" w:color="000000"/>
              <w:left w:val="single" w:sz="6" w:space="0" w:color="000000"/>
              <w:bottom w:val="single" w:sz="6" w:space="0" w:color="000000"/>
              <w:right w:val="single" w:sz="6" w:space="0" w:color="000000"/>
            </w:tcBorders>
          </w:tcPr>
          <w:p w14:paraId="6B498904" w14:textId="77777777" w:rsidR="000C1F5E" w:rsidRPr="003A1875" w:rsidRDefault="000C1F5E" w:rsidP="00F8181D">
            <w:pPr>
              <w:rPr>
                <w:color w:val="0000FF"/>
                <w:szCs w:val="24"/>
              </w:rPr>
            </w:pPr>
            <w:r w:rsidRPr="003A1875">
              <w:rPr>
                <w:color w:val="0000FF"/>
                <w:szCs w:val="24"/>
              </w:rPr>
              <w:t xml:space="preserve"> </w:t>
            </w:r>
            <w:r w:rsidRPr="003A1875">
              <w:rPr>
                <w:noProof/>
                <w:color w:val="0000FF"/>
                <w:szCs w:val="24"/>
                <w:lang w:eastAsia="en-GB"/>
              </w:rPr>
              <w:drawing>
                <wp:inline distT="0" distB="0" distL="0" distR="0" wp14:anchorId="38A9B9BA" wp14:editId="6246D8FA">
                  <wp:extent cx="2864532" cy="2988227"/>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23 at 19.19.37 .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80410" cy="3004791"/>
                          </a:xfrm>
                          <a:prstGeom prst="rect">
                            <a:avLst/>
                          </a:prstGeom>
                        </pic:spPr>
                      </pic:pic>
                    </a:graphicData>
                  </a:graphic>
                </wp:inline>
              </w:drawing>
            </w:r>
          </w:p>
        </w:tc>
      </w:tr>
    </w:tbl>
    <w:p w14:paraId="2F9D3C93" w14:textId="77777777" w:rsidR="000C1F5E" w:rsidRPr="003A1875" w:rsidRDefault="000C1F5E" w:rsidP="000C1F5E">
      <w:pPr>
        <w:rPr>
          <w:b/>
          <w:szCs w:val="24"/>
        </w:rPr>
      </w:pP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81"/>
      </w:tblGrid>
      <w:tr w:rsidR="000C1F5E" w:rsidRPr="003A1875" w14:paraId="5F8BF955" w14:textId="77777777" w:rsidTr="00F8181D">
        <w:tc>
          <w:tcPr>
            <w:tcW w:w="9781" w:type="dxa"/>
            <w:tcBorders>
              <w:top w:val="single" w:sz="6" w:space="0" w:color="000000"/>
              <w:left w:val="single" w:sz="6" w:space="0" w:color="000000"/>
              <w:bottom w:val="single" w:sz="6" w:space="0" w:color="000000"/>
              <w:right w:val="single" w:sz="6" w:space="0" w:color="000000"/>
            </w:tcBorders>
            <w:shd w:val="clear" w:color="auto" w:fill="D9D9D9"/>
          </w:tcPr>
          <w:p w14:paraId="3E29AAD8" w14:textId="77777777" w:rsidR="000C1F5E" w:rsidRPr="003A1875" w:rsidRDefault="000C1F5E" w:rsidP="00F8181D">
            <w:pPr>
              <w:spacing w:before="0"/>
              <w:rPr>
                <w:b/>
                <w:szCs w:val="24"/>
              </w:rPr>
            </w:pPr>
            <w:r w:rsidRPr="003A1875">
              <w:rPr>
                <w:b/>
                <w:szCs w:val="24"/>
              </w:rPr>
              <w:t>Implementation dependencies</w:t>
            </w:r>
          </w:p>
        </w:tc>
      </w:tr>
      <w:tr w:rsidR="000C1F5E" w:rsidRPr="003A1875" w14:paraId="67B3C481" w14:textId="77777777" w:rsidTr="00F8181D">
        <w:tc>
          <w:tcPr>
            <w:tcW w:w="9781" w:type="dxa"/>
            <w:tcBorders>
              <w:top w:val="single" w:sz="6" w:space="0" w:color="000000"/>
              <w:left w:val="single" w:sz="6" w:space="0" w:color="000000"/>
              <w:bottom w:val="single" w:sz="6" w:space="0" w:color="000000"/>
              <w:right w:val="single" w:sz="6" w:space="0" w:color="000000"/>
            </w:tcBorders>
          </w:tcPr>
          <w:p w14:paraId="17E91C0E" w14:textId="77777777" w:rsidR="000C1F5E" w:rsidRPr="003A1875" w:rsidRDefault="000C1F5E" w:rsidP="00F8181D">
            <w:pPr>
              <w:spacing w:after="60"/>
              <w:rPr>
                <w:szCs w:val="24"/>
              </w:rPr>
            </w:pPr>
            <w:r w:rsidRPr="003A1875">
              <w:rPr>
                <w:szCs w:val="24"/>
              </w:rPr>
              <w:t>A variety of technologies can be used to implement this use case. Discussion of possible implementation techniques is beyond the scope of this use case definition.</w:t>
            </w:r>
          </w:p>
          <w:p w14:paraId="64E60752" w14:textId="77777777" w:rsidR="000C1F5E" w:rsidRPr="003A1875" w:rsidRDefault="000C1F5E" w:rsidP="00F8181D">
            <w:pPr>
              <w:spacing w:after="60"/>
              <w:rPr>
                <w:i/>
                <w:szCs w:val="24"/>
              </w:rPr>
            </w:pPr>
            <w:r w:rsidRPr="003A1875">
              <w:rPr>
                <w:szCs w:val="24"/>
              </w:rPr>
              <w:t>In the commercial implementation of this use case, the role of the central bank is played by RCBC.</w:t>
            </w:r>
          </w:p>
        </w:tc>
      </w:tr>
    </w:tbl>
    <w:p w14:paraId="76868265" w14:textId="77777777" w:rsidR="000C1F5E" w:rsidRDefault="000C1F5E" w:rsidP="000C1F5E">
      <w:pPr>
        <w:rPr>
          <w:b/>
        </w:rPr>
      </w:pPr>
    </w:p>
    <w:p w14:paraId="21454E5C" w14:textId="77777777" w:rsidR="000C1F5E" w:rsidRPr="003A1875" w:rsidRDefault="000C1F5E" w:rsidP="005157BE">
      <w:pPr>
        <w:pStyle w:val="Heading3"/>
        <w:numPr>
          <w:ilvl w:val="0"/>
          <w:numId w:val="0"/>
        </w:numPr>
        <w:ind w:left="720" w:hanging="720"/>
      </w:pPr>
      <w:bookmarkStart w:id="76" w:name="_Toc12961937"/>
      <w:bookmarkStart w:id="77" w:name="_Toc14190302"/>
      <w:r w:rsidRPr="003A1875">
        <w:t>E-Piso Use Case: Distribut</w:t>
      </w:r>
      <w:r>
        <w:t>ing</w:t>
      </w:r>
      <w:r w:rsidRPr="003A1875">
        <w:t xml:space="preserve"> </w:t>
      </w:r>
      <w:r>
        <w:t>DFC</w:t>
      </w:r>
      <w:bookmarkEnd w:id="76"/>
      <w:bookmarkEnd w:id="77"/>
    </w:p>
    <w:tbl>
      <w:tblPr>
        <w:tblpPr w:leftFromText="180" w:rightFromText="180" w:vertAnchor="text" w:horzAnchor="margin" w:tblpY="147"/>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52"/>
        <w:gridCol w:w="2996"/>
        <w:gridCol w:w="2499"/>
        <w:gridCol w:w="2126"/>
      </w:tblGrid>
      <w:tr w:rsidR="000C1F5E" w:rsidRPr="00BC2010" w14:paraId="61612EC1" w14:textId="77777777" w:rsidTr="00F8181D">
        <w:tc>
          <w:tcPr>
            <w:tcW w:w="9773" w:type="dxa"/>
            <w:gridSpan w:val="4"/>
            <w:tcBorders>
              <w:top w:val="single" w:sz="6" w:space="0" w:color="auto"/>
              <w:left w:val="single" w:sz="6" w:space="0" w:color="auto"/>
              <w:bottom w:val="single" w:sz="6" w:space="0" w:color="auto"/>
              <w:right w:val="single" w:sz="6" w:space="0" w:color="auto"/>
            </w:tcBorders>
            <w:shd w:val="pct15" w:color="auto" w:fill="FFFFFF"/>
            <w:hideMark/>
          </w:tcPr>
          <w:p w14:paraId="7ADBE806" w14:textId="77777777" w:rsidR="000C1F5E" w:rsidRPr="00BC2010" w:rsidRDefault="000C1F5E" w:rsidP="00F8181D">
            <w:pPr>
              <w:pStyle w:val="FigureTitle"/>
              <w:keepLines w:val="0"/>
              <w:spacing w:before="0" w:after="0"/>
              <w:rPr>
                <w:sz w:val="24"/>
                <w:szCs w:val="24"/>
              </w:rPr>
            </w:pPr>
            <w:r w:rsidRPr="00BC2010">
              <w:rPr>
                <w:sz w:val="24"/>
                <w:szCs w:val="24"/>
              </w:rPr>
              <w:t xml:space="preserve">Use Case </w:t>
            </w:r>
            <w:r>
              <w:rPr>
                <w:sz w:val="24"/>
                <w:szCs w:val="24"/>
              </w:rPr>
              <w:t>Summary</w:t>
            </w:r>
          </w:p>
        </w:tc>
      </w:tr>
      <w:tr w:rsidR="000C1F5E" w:rsidRPr="00BC2010" w14:paraId="34FF2C44" w14:textId="77777777" w:rsidTr="00F8181D">
        <w:tc>
          <w:tcPr>
            <w:tcW w:w="2152" w:type="dxa"/>
            <w:tcBorders>
              <w:top w:val="single" w:sz="6" w:space="0" w:color="auto"/>
              <w:left w:val="single" w:sz="6" w:space="0" w:color="auto"/>
              <w:bottom w:val="single" w:sz="6" w:space="0" w:color="auto"/>
              <w:right w:val="single" w:sz="6" w:space="0" w:color="auto"/>
            </w:tcBorders>
            <w:shd w:val="pct15" w:color="auto" w:fill="FFFFFF"/>
            <w:hideMark/>
          </w:tcPr>
          <w:p w14:paraId="684B96A0" w14:textId="77777777" w:rsidR="000C1F5E" w:rsidRPr="00BC2010" w:rsidRDefault="000C1F5E" w:rsidP="00F8181D">
            <w:pPr>
              <w:pStyle w:val="FigureTitle"/>
              <w:keepLines w:val="0"/>
              <w:spacing w:before="0" w:after="0"/>
              <w:jc w:val="left"/>
              <w:rPr>
                <w:sz w:val="24"/>
                <w:szCs w:val="24"/>
              </w:rPr>
            </w:pPr>
            <w:r w:rsidRPr="00BC2010">
              <w:rPr>
                <w:sz w:val="24"/>
                <w:szCs w:val="24"/>
              </w:rPr>
              <w:t>Use Case ID:</w:t>
            </w:r>
          </w:p>
        </w:tc>
        <w:tc>
          <w:tcPr>
            <w:tcW w:w="2996" w:type="dxa"/>
            <w:tcBorders>
              <w:top w:val="single" w:sz="6" w:space="0" w:color="auto"/>
              <w:left w:val="single" w:sz="6" w:space="0" w:color="auto"/>
              <w:bottom w:val="single" w:sz="6" w:space="0" w:color="auto"/>
              <w:right w:val="single" w:sz="6" w:space="0" w:color="auto"/>
            </w:tcBorders>
            <w:hideMark/>
          </w:tcPr>
          <w:p w14:paraId="36DE6346" w14:textId="77777777" w:rsidR="000C1F5E" w:rsidRPr="00BC2010" w:rsidRDefault="000C1F5E" w:rsidP="00F8181D">
            <w:pPr>
              <w:pStyle w:val="BodyText"/>
              <w:rPr>
                <w:lang w:val="en-US"/>
              </w:rPr>
            </w:pPr>
          </w:p>
        </w:tc>
        <w:tc>
          <w:tcPr>
            <w:tcW w:w="2499" w:type="dxa"/>
            <w:tcBorders>
              <w:top w:val="single" w:sz="6" w:space="0" w:color="auto"/>
              <w:left w:val="single" w:sz="6" w:space="0" w:color="auto"/>
              <w:bottom w:val="single" w:sz="6" w:space="0" w:color="auto"/>
              <w:right w:val="single" w:sz="6" w:space="0" w:color="auto"/>
            </w:tcBorders>
            <w:shd w:val="pct15" w:color="auto" w:fill="FFFFFF"/>
            <w:hideMark/>
          </w:tcPr>
          <w:p w14:paraId="0C934488" w14:textId="77777777" w:rsidR="000C1F5E" w:rsidRPr="00BC2010" w:rsidRDefault="000C1F5E" w:rsidP="00F8181D">
            <w:pPr>
              <w:pStyle w:val="FigureTitle"/>
              <w:keepLines w:val="0"/>
              <w:spacing w:before="0" w:after="0"/>
              <w:jc w:val="left"/>
              <w:rPr>
                <w:sz w:val="24"/>
                <w:szCs w:val="24"/>
              </w:rPr>
            </w:pPr>
            <w:r w:rsidRPr="00BC2010">
              <w:rPr>
                <w:sz w:val="24"/>
                <w:szCs w:val="24"/>
              </w:rPr>
              <w:t>Use Case Type:</w:t>
            </w:r>
          </w:p>
        </w:tc>
        <w:tc>
          <w:tcPr>
            <w:tcW w:w="2126" w:type="dxa"/>
            <w:tcBorders>
              <w:top w:val="single" w:sz="6" w:space="0" w:color="auto"/>
              <w:left w:val="single" w:sz="6" w:space="0" w:color="auto"/>
              <w:bottom w:val="single" w:sz="6" w:space="0" w:color="auto"/>
              <w:right w:val="single" w:sz="6" w:space="0" w:color="auto"/>
            </w:tcBorders>
          </w:tcPr>
          <w:p w14:paraId="08B8CF8E" w14:textId="77777777" w:rsidR="000C1F5E" w:rsidRPr="00703E67" w:rsidRDefault="000C1F5E" w:rsidP="00F8181D">
            <w:pPr>
              <w:pStyle w:val="FigureTitle"/>
              <w:keepLines w:val="0"/>
              <w:spacing w:before="0" w:after="0"/>
              <w:jc w:val="left"/>
              <w:rPr>
                <w:b w:val="0"/>
                <w:sz w:val="24"/>
                <w:szCs w:val="24"/>
              </w:rPr>
            </w:pPr>
          </w:p>
        </w:tc>
      </w:tr>
      <w:tr w:rsidR="000C1F5E" w:rsidRPr="00BC2010" w14:paraId="68B7140F" w14:textId="77777777" w:rsidTr="00F8181D">
        <w:tc>
          <w:tcPr>
            <w:tcW w:w="2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51F097" w14:textId="77777777" w:rsidR="000C1F5E" w:rsidRPr="00A60C72" w:rsidRDefault="000C1F5E" w:rsidP="00F8181D">
            <w:pPr>
              <w:pStyle w:val="FigureTitle"/>
              <w:keepLines w:val="0"/>
              <w:tabs>
                <w:tab w:val="left" w:pos="1944"/>
              </w:tabs>
              <w:spacing w:before="0" w:after="0"/>
              <w:jc w:val="left"/>
              <w:rPr>
                <w:sz w:val="24"/>
                <w:szCs w:val="24"/>
              </w:rPr>
            </w:pPr>
            <w:r>
              <w:rPr>
                <w:sz w:val="24"/>
                <w:szCs w:val="24"/>
              </w:rPr>
              <w:t>Submission Date</w:t>
            </w:r>
            <w:r w:rsidRPr="00A60C72">
              <w:rPr>
                <w:sz w:val="24"/>
                <w:szCs w:val="24"/>
              </w:rPr>
              <w:t>:</w:t>
            </w:r>
            <w:r>
              <w:rPr>
                <w:sz w:val="24"/>
                <w:szCs w:val="24"/>
              </w:rPr>
              <w:tab/>
            </w:r>
          </w:p>
        </w:tc>
        <w:tc>
          <w:tcPr>
            <w:tcW w:w="2996" w:type="dxa"/>
            <w:tcBorders>
              <w:top w:val="single" w:sz="6" w:space="0" w:color="auto"/>
              <w:left w:val="single" w:sz="6" w:space="0" w:color="auto"/>
              <w:bottom w:val="single" w:sz="6" w:space="0" w:color="auto"/>
              <w:right w:val="single" w:sz="6" w:space="0" w:color="auto"/>
            </w:tcBorders>
            <w:shd w:val="clear" w:color="auto" w:fill="auto"/>
          </w:tcPr>
          <w:p w14:paraId="2E879A10" w14:textId="77777777" w:rsidR="000C1F5E" w:rsidRPr="00703E67" w:rsidRDefault="000C1F5E" w:rsidP="00F8181D">
            <w:pPr>
              <w:pStyle w:val="FigureTitle"/>
              <w:keepLines w:val="0"/>
              <w:tabs>
                <w:tab w:val="left" w:pos="1944"/>
              </w:tabs>
              <w:spacing w:before="0" w:after="0"/>
              <w:jc w:val="left"/>
              <w:rPr>
                <w:b w:val="0"/>
                <w:sz w:val="24"/>
                <w:szCs w:val="24"/>
              </w:rPr>
            </w:pPr>
            <w:r>
              <w:rPr>
                <w:b w:val="0"/>
                <w:sz w:val="24"/>
                <w:szCs w:val="24"/>
              </w:rPr>
              <w:t>13 June,</w:t>
            </w:r>
            <w:r w:rsidRPr="00703E67">
              <w:rPr>
                <w:b w:val="0"/>
                <w:sz w:val="24"/>
                <w:szCs w:val="24"/>
              </w:rPr>
              <w:t xml:space="preserve"> 201</w:t>
            </w:r>
            <w:r>
              <w:rPr>
                <w:b w:val="0"/>
                <w:sz w:val="24"/>
                <w:szCs w:val="24"/>
              </w:rPr>
              <w:t>9</w:t>
            </w:r>
          </w:p>
        </w:tc>
        <w:tc>
          <w:tcPr>
            <w:tcW w:w="2499" w:type="dxa"/>
            <w:tcBorders>
              <w:top w:val="single" w:sz="6" w:space="0" w:color="auto"/>
              <w:left w:val="single" w:sz="6" w:space="0" w:color="auto"/>
              <w:bottom w:val="single" w:sz="6" w:space="0" w:color="auto"/>
              <w:right w:val="single" w:sz="6" w:space="0" w:color="auto"/>
            </w:tcBorders>
            <w:shd w:val="pct15" w:color="auto" w:fill="FFFFFF"/>
          </w:tcPr>
          <w:p w14:paraId="232E1D0C" w14:textId="77777777" w:rsidR="000C1F5E" w:rsidRPr="00BC2010" w:rsidRDefault="000C1F5E" w:rsidP="00F8181D">
            <w:pPr>
              <w:pStyle w:val="FigureTitle"/>
              <w:keepLines w:val="0"/>
              <w:spacing w:before="0" w:after="0"/>
              <w:jc w:val="left"/>
              <w:rPr>
                <w:sz w:val="24"/>
                <w:szCs w:val="24"/>
              </w:rPr>
            </w:pPr>
            <w:r>
              <w:rPr>
                <w:sz w:val="24"/>
                <w:szCs w:val="24"/>
              </w:rPr>
              <w:t>Is Use Case supporting SDGs</w:t>
            </w:r>
          </w:p>
        </w:tc>
        <w:tc>
          <w:tcPr>
            <w:tcW w:w="2126" w:type="dxa"/>
            <w:tcBorders>
              <w:top w:val="single" w:sz="6" w:space="0" w:color="auto"/>
              <w:left w:val="single" w:sz="6" w:space="0" w:color="auto"/>
              <w:bottom w:val="single" w:sz="6" w:space="0" w:color="auto"/>
              <w:right w:val="single" w:sz="6" w:space="0" w:color="auto"/>
            </w:tcBorders>
          </w:tcPr>
          <w:p w14:paraId="3B1D28E8" w14:textId="77777777" w:rsidR="000C1F5E" w:rsidRPr="00703E67" w:rsidRDefault="000C1F5E" w:rsidP="00F8181D">
            <w:pPr>
              <w:pStyle w:val="FigureTitle"/>
              <w:keepLines w:val="0"/>
              <w:spacing w:before="0" w:after="0"/>
              <w:jc w:val="left"/>
              <w:rPr>
                <w:b w:val="0"/>
                <w:sz w:val="24"/>
                <w:szCs w:val="24"/>
              </w:rPr>
            </w:pPr>
          </w:p>
        </w:tc>
      </w:tr>
      <w:tr w:rsidR="000C1F5E" w:rsidRPr="00BC2010" w14:paraId="6EB612B7" w14:textId="77777777" w:rsidTr="00F8181D">
        <w:tc>
          <w:tcPr>
            <w:tcW w:w="2152" w:type="dxa"/>
            <w:tcBorders>
              <w:top w:val="single" w:sz="6" w:space="0" w:color="auto"/>
              <w:left w:val="single" w:sz="6" w:space="0" w:color="auto"/>
              <w:bottom w:val="single" w:sz="6" w:space="0" w:color="auto"/>
              <w:right w:val="single" w:sz="6" w:space="0" w:color="auto"/>
            </w:tcBorders>
            <w:shd w:val="pct15" w:color="auto" w:fill="FFFFFF"/>
          </w:tcPr>
          <w:p w14:paraId="5289841A" w14:textId="77777777" w:rsidR="000C1F5E" w:rsidRPr="00BC2010" w:rsidRDefault="000C1F5E" w:rsidP="00F8181D">
            <w:pPr>
              <w:pStyle w:val="FigureTitle"/>
              <w:keepLines w:val="0"/>
              <w:spacing w:before="0" w:after="0"/>
              <w:jc w:val="left"/>
              <w:rPr>
                <w:sz w:val="24"/>
                <w:szCs w:val="24"/>
              </w:rPr>
            </w:pPr>
            <w:r w:rsidRPr="00BC2010">
              <w:rPr>
                <w:sz w:val="24"/>
                <w:szCs w:val="24"/>
              </w:rPr>
              <w:t>Use Case Title:</w:t>
            </w:r>
          </w:p>
        </w:tc>
        <w:tc>
          <w:tcPr>
            <w:tcW w:w="2996" w:type="dxa"/>
            <w:tcBorders>
              <w:top w:val="single" w:sz="6" w:space="0" w:color="auto"/>
              <w:left w:val="single" w:sz="6" w:space="0" w:color="auto"/>
              <w:bottom w:val="single" w:sz="6" w:space="0" w:color="auto"/>
              <w:right w:val="single" w:sz="6" w:space="0" w:color="auto"/>
            </w:tcBorders>
          </w:tcPr>
          <w:p w14:paraId="009DAE91" w14:textId="77777777" w:rsidR="000C1F5E" w:rsidRPr="0082035B" w:rsidRDefault="000C1F5E" w:rsidP="00F8181D">
            <w:pPr>
              <w:pStyle w:val="BodyText"/>
              <w:rPr>
                <w:rFonts w:ascii="Times New Roman" w:hAnsi="Times New Roman" w:cs="Times New Roman"/>
                <w:sz w:val="24"/>
                <w:szCs w:val="24"/>
                <w:lang w:val="en-US"/>
              </w:rPr>
            </w:pPr>
            <w:r w:rsidRPr="0082035B">
              <w:rPr>
                <w:rFonts w:ascii="Times New Roman" w:hAnsi="Times New Roman" w:cs="Times New Roman"/>
                <w:sz w:val="24"/>
                <w:szCs w:val="24"/>
              </w:rPr>
              <w:t>DFC distribution</w:t>
            </w:r>
          </w:p>
        </w:tc>
        <w:tc>
          <w:tcPr>
            <w:tcW w:w="2499" w:type="dxa"/>
            <w:tcBorders>
              <w:top w:val="single" w:sz="6" w:space="0" w:color="auto"/>
              <w:left w:val="single" w:sz="6" w:space="0" w:color="auto"/>
              <w:bottom w:val="single" w:sz="6" w:space="0" w:color="auto"/>
              <w:right w:val="single" w:sz="6" w:space="0" w:color="auto"/>
            </w:tcBorders>
            <w:shd w:val="pct15" w:color="auto" w:fill="FFFFFF"/>
          </w:tcPr>
          <w:p w14:paraId="3C3EB157" w14:textId="77777777" w:rsidR="000C1F5E" w:rsidRPr="00BC2010" w:rsidRDefault="000C1F5E" w:rsidP="00F8181D">
            <w:pPr>
              <w:pStyle w:val="FigureTitle"/>
              <w:keepLines w:val="0"/>
              <w:spacing w:before="0" w:after="0"/>
              <w:jc w:val="left"/>
              <w:rPr>
                <w:sz w:val="24"/>
                <w:szCs w:val="24"/>
              </w:rPr>
            </w:pPr>
            <w:r w:rsidRPr="00BC2010">
              <w:rPr>
                <w:sz w:val="24"/>
                <w:szCs w:val="24"/>
              </w:rPr>
              <w:t>Domain:</w:t>
            </w:r>
          </w:p>
        </w:tc>
        <w:tc>
          <w:tcPr>
            <w:tcW w:w="2126" w:type="dxa"/>
            <w:tcBorders>
              <w:top w:val="single" w:sz="6" w:space="0" w:color="auto"/>
              <w:left w:val="single" w:sz="6" w:space="0" w:color="auto"/>
              <w:bottom w:val="single" w:sz="6" w:space="0" w:color="auto"/>
              <w:right w:val="single" w:sz="6" w:space="0" w:color="auto"/>
            </w:tcBorders>
          </w:tcPr>
          <w:p w14:paraId="4C262714" w14:textId="77777777" w:rsidR="000C1F5E" w:rsidRPr="0082035B" w:rsidRDefault="000C1F5E" w:rsidP="00F8181D">
            <w:pPr>
              <w:pStyle w:val="FigureTitle"/>
              <w:keepLines w:val="0"/>
              <w:spacing w:before="0" w:after="0"/>
              <w:jc w:val="left"/>
              <w:rPr>
                <w:b w:val="0"/>
                <w:sz w:val="24"/>
                <w:szCs w:val="24"/>
              </w:rPr>
            </w:pPr>
            <w:r w:rsidRPr="0082035B">
              <w:rPr>
                <w:b w:val="0"/>
                <w:sz w:val="24"/>
                <w:szCs w:val="24"/>
              </w:rPr>
              <w:t>Public, private, central bank, e-money</w:t>
            </w:r>
          </w:p>
        </w:tc>
      </w:tr>
      <w:tr w:rsidR="000C1F5E" w:rsidRPr="00BC2010" w14:paraId="556CDCF5" w14:textId="77777777" w:rsidTr="00F8181D">
        <w:tc>
          <w:tcPr>
            <w:tcW w:w="2152" w:type="dxa"/>
            <w:tcBorders>
              <w:top w:val="single" w:sz="6" w:space="0" w:color="auto"/>
              <w:left w:val="single" w:sz="6" w:space="0" w:color="auto"/>
              <w:bottom w:val="single" w:sz="6" w:space="0" w:color="auto"/>
              <w:right w:val="single" w:sz="6" w:space="0" w:color="auto"/>
            </w:tcBorders>
            <w:shd w:val="pct15" w:color="auto" w:fill="FFFFFF"/>
          </w:tcPr>
          <w:p w14:paraId="59F8D843" w14:textId="77777777" w:rsidR="000C1F5E" w:rsidRPr="00BC2010" w:rsidRDefault="000C1F5E" w:rsidP="00F8181D">
            <w:pPr>
              <w:pStyle w:val="FigureTitle"/>
              <w:keepLines w:val="0"/>
              <w:spacing w:before="0" w:after="0"/>
              <w:jc w:val="left"/>
              <w:rPr>
                <w:sz w:val="24"/>
                <w:szCs w:val="24"/>
              </w:rPr>
            </w:pPr>
            <w:r>
              <w:rPr>
                <w:sz w:val="24"/>
                <w:szCs w:val="24"/>
              </w:rPr>
              <w:t>Status of Case</w:t>
            </w:r>
          </w:p>
        </w:tc>
        <w:tc>
          <w:tcPr>
            <w:tcW w:w="2996" w:type="dxa"/>
            <w:tcBorders>
              <w:top w:val="single" w:sz="6" w:space="0" w:color="auto"/>
              <w:left w:val="single" w:sz="6" w:space="0" w:color="auto"/>
              <w:bottom w:val="single" w:sz="6" w:space="0" w:color="auto"/>
              <w:right w:val="single" w:sz="6" w:space="0" w:color="auto"/>
            </w:tcBorders>
          </w:tcPr>
          <w:p w14:paraId="3A8D5DD4" w14:textId="77777777" w:rsidR="000C1F5E" w:rsidRPr="0082035B" w:rsidRDefault="000C1F5E" w:rsidP="00F8181D">
            <w:pPr>
              <w:pStyle w:val="BodyText"/>
              <w:rPr>
                <w:rFonts w:ascii="Times New Roman" w:hAnsi="Times New Roman" w:cs="Times New Roman"/>
                <w:sz w:val="24"/>
                <w:szCs w:val="24"/>
                <w:lang w:val="en-US"/>
              </w:rPr>
            </w:pPr>
            <w:r w:rsidRPr="0082035B">
              <w:rPr>
                <w:rFonts w:ascii="Times New Roman" w:hAnsi="Times New Roman" w:cs="Times New Roman"/>
                <w:sz w:val="24"/>
                <w:szCs w:val="24"/>
                <w:lang w:val="en-US"/>
              </w:rPr>
              <w:t>Commercially implemented</w:t>
            </w:r>
          </w:p>
        </w:tc>
        <w:tc>
          <w:tcPr>
            <w:tcW w:w="2499" w:type="dxa"/>
            <w:tcBorders>
              <w:top w:val="single" w:sz="6" w:space="0" w:color="auto"/>
              <w:left w:val="single" w:sz="6" w:space="0" w:color="auto"/>
              <w:bottom w:val="single" w:sz="6" w:space="0" w:color="auto"/>
              <w:right w:val="single" w:sz="6" w:space="0" w:color="auto"/>
            </w:tcBorders>
            <w:shd w:val="pct15" w:color="auto" w:fill="FFFFFF"/>
          </w:tcPr>
          <w:p w14:paraId="5C555F89" w14:textId="77777777" w:rsidR="000C1F5E" w:rsidRPr="00BC2010" w:rsidRDefault="000C1F5E" w:rsidP="00F8181D">
            <w:pPr>
              <w:pStyle w:val="FigureTitle"/>
              <w:keepLines w:val="0"/>
              <w:spacing w:before="0" w:after="0"/>
              <w:jc w:val="left"/>
              <w:rPr>
                <w:sz w:val="24"/>
                <w:szCs w:val="24"/>
              </w:rPr>
            </w:pPr>
            <w:r>
              <w:rPr>
                <w:sz w:val="24"/>
                <w:szCs w:val="24"/>
              </w:rPr>
              <w:t>Sub-Domain</w:t>
            </w:r>
          </w:p>
        </w:tc>
        <w:tc>
          <w:tcPr>
            <w:tcW w:w="2126" w:type="dxa"/>
            <w:tcBorders>
              <w:top w:val="single" w:sz="6" w:space="0" w:color="auto"/>
              <w:left w:val="single" w:sz="6" w:space="0" w:color="auto"/>
              <w:bottom w:val="single" w:sz="6" w:space="0" w:color="auto"/>
              <w:right w:val="single" w:sz="6" w:space="0" w:color="auto"/>
            </w:tcBorders>
          </w:tcPr>
          <w:p w14:paraId="523EFC96" w14:textId="77777777" w:rsidR="000C1F5E" w:rsidRPr="00703E67" w:rsidRDefault="000C1F5E" w:rsidP="00F8181D">
            <w:pPr>
              <w:pStyle w:val="FigureTitle"/>
              <w:keepLines w:val="0"/>
              <w:spacing w:before="0" w:after="0"/>
              <w:jc w:val="left"/>
              <w:rPr>
                <w:b w:val="0"/>
                <w:sz w:val="24"/>
                <w:szCs w:val="24"/>
              </w:rPr>
            </w:pPr>
          </w:p>
        </w:tc>
      </w:tr>
      <w:tr w:rsidR="000C1F5E" w:rsidRPr="00BC2010" w14:paraId="54A4A7B1" w14:textId="77777777" w:rsidTr="00F8181D">
        <w:tc>
          <w:tcPr>
            <w:tcW w:w="2152" w:type="dxa"/>
            <w:tcBorders>
              <w:top w:val="single" w:sz="6" w:space="0" w:color="auto"/>
              <w:left w:val="single" w:sz="6" w:space="0" w:color="auto"/>
              <w:bottom w:val="single" w:sz="6" w:space="0" w:color="auto"/>
              <w:right w:val="single" w:sz="6" w:space="0" w:color="auto"/>
            </w:tcBorders>
            <w:shd w:val="pct15" w:color="auto" w:fill="FFFFFF"/>
          </w:tcPr>
          <w:p w14:paraId="4C65945F" w14:textId="77777777" w:rsidR="000C1F5E" w:rsidRDefault="000C1F5E" w:rsidP="00F8181D">
            <w:pPr>
              <w:pStyle w:val="FigureTitle"/>
              <w:keepLines w:val="0"/>
              <w:spacing w:before="0" w:after="0"/>
              <w:jc w:val="left"/>
              <w:rPr>
                <w:rFonts w:cstheme="minorHAnsi"/>
                <w:color w:val="000000"/>
                <w:sz w:val="24"/>
                <w:szCs w:val="24"/>
                <w:lang w:val="en-GB"/>
              </w:rPr>
            </w:pPr>
            <w:r w:rsidRPr="0025568D">
              <w:rPr>
                <w:rFonts w:cstheme="minorHAnsi"/>
                <w:color w:val="000000"/>
                <w:sz w:val="24"/>
                <w:szCs w:val="24"/>
                <w:lang w:val="en-GB"/>
              </w:rPr>
              <w:t>Contact information of pe</w:t>
            </w:r>
            <w:r>
              <w:rPr>
                <w:rFonts w:cstheme="minorHAnsi"/>
                <w:color w:val="000000"/>
                <w:sz w:val="24"/>
                <w:szCs w:val="24"/>
                <w:lang w:val="en-GB"/>
              </w:rPr>
              <w:t>rson submitting/</w:t>
            </w:r>
          </w:p>
          <w:p w14:paraId="6FF9D388" w14:textId="77777777" w:rsidR="000C1F5E" w:rsidRPr="00BC2010" w:rsidRDefault="000C1F5E" w:rsidP="00F8181D">
            <w:pPr>
              <w:pStyle w:val="FigureTitle"/>
              <w:keepLines w:val="0"/>
              <w:spacing w:before="0" w:after="0"/>
              <w:jc w:val="left"/>
              <w:rPr>
                <w:sz w:val="24"/>
                <w:szCs w:val="24"/>
              </w:rPr>
            </w:pPr>
            <w:r>
              <w:rPr>
                <w:rFonts w:cstheme="minorHAnsi"/>
                <w:color w:val="000000"/>
                <w:sz w:val="24"/>
                <w:szCs w:val="24"/>
                <w:lang w:val="en-GB"/>
              </w:rPr>
              <w:t>managing the use-case</w:t>
            </w:r>
          </w:p>
        </w:tc>
        <w:tc>
          <w:tcPr>
            <w:tcW w:w="7621" w:type="dxa"/>
            <w:gridSpan w:val="3"/>
            <w:tcBorders>
              <w:top w:val="single" w:sz="6" w:space="0" w:color="auto"/>
              <w:left w:val="single" w:sz="6" w:space="0" w:color="auto"/>
              <w:bottom w:val="single" w:sz="6" w:space="0" w:color="auto"/>
              <w:right w:val="single" w:sz="6" w:space="0" w:color="auto"/>
            </w:tcBorders>
          </w:tcPr>
          <w:p w14:paraId="5E34EC22" w14:textId="77777777" w:rsidR="000C1F5E" w:rsidRPr="00C106AC" w:rsidRDefault="000C1F5E" w:rsidP="00F8181D">
            <w:pPr>
              <w:rPr>
                <w:rFonts w:cstheme="minorHAnsi"/>
                <w:lang w:val="en-US"/>
              </w:rPr>
            </w:pPr>
            <w:r w:rsidRPr="00C106AC">
              <w:rPr>
                <w:rFonts w:cstheme="minorHAnsi"/>
                <w:lang w:val="en-US"/>
              </w:rPr>
              <w:t>Full Name: Thomas Kudrycki (eCurrency)</w:t>
            </w:r>
          </w:p>
          <w:p w14:paraId="2F53CB90" w14:textId="77777777" w:rsidR="000C1F5E" w:rsidRPr="00703E67" w:rsidRDefault="000C1F5E" w:rsidP="00F8181D">
            <w:pPr>
              <w:rPr>
                <w:rFonts w:cstheme="minorHAnsi"/>
              </w:rPr>
            </w:pPr>
            <w:r w:rsidRPr="00703E67">
              <w:rPr>
                <w:rFonts w:cstheme="minorHAnsi"/>
              </w:rPr>
              <w:t xml:space="preserve">Job Title: </w:t>
            </w:r>
            <w:r>
              <w:rPr>
                <w:rFonts w:cstheme="minorHAnsi"/>
              </w:rPr>
              <w:t>Chief Technology Officer</w:t>
            </w:r>
          </w:p>
          <w:p w14:paraId="3CB52CC7" w14:textId="77777777" w:rsidR="000C1F5E" w:rsidRPr="00703E67" w:rsidRDefault="000C1F5E" w:rsidP="00F8181D">
            <w:pPr>
              <w:rPr>
                <w:rFonts w:cstheme="minorHAnsi"/>
              </w:rPr>
            </w:pPr>
            <w:r w:rsidRPr="00703E67">
              <w:rPr>
                <w:rFonts w:cstheme="minorHAnsi"/>
              </w:rPr>
              <w:t xml:space="preserve">E-mail address: </w:t>
            </w:r>
            <w:r w:rsidRPr="00C106AC">
              <w:rPr>
                <w:lang w:val="en-US"/>
              </w:rPr>
              <w:t xml:space="preserve"> tom.k@ecurrency.net</w:t>
            </w:r>
          </w:p>
          <w:p w14:paraId="0D83A37D" w14:textId="77777777" w:rsidR="000C1F5E" w:rsidRPr="00703E67" w:rsidRDefault="000C1F5E" w:rsidP="00F8181D">
            <w:pPr>
              <w:rPr>
                <w:rFonts w:cstheme="minorHAnsi"/>
              </w:rPr>
            </w:pPr>
            <w:r w:rsidRPr="00703E67">
              <w:rPr>
                <w:rFonts w:cstheme="minorHAnsi"/>
              </w:rPr>
              <w:t xml:space="preserve">Telephone number: </w:t>
            </w:r>
            <w:r>
              <w:rPr>
                <w:rFonts w:cstheme="minorHAnsi"/>
              </w:rPr>
              <w:t>+1 415.235.5986</w:t>
            </w:r>
          </w:p>
          <w:p w14:paraId="0E23BA0C" w14:textId="77777777" w:rsidR="000C1F5E" w:rsidRPr="00C106AC" w:rsidRDefault="000C1F5E" w:rsidP="00F8181D">
            <w:pPr>
              <w:pStyle w:val="BodyText"/>
              <w:rPr>
                <w:rFonts w:ascii="Times New Roman" w:hAnsi="Times New Roman" w:cs="Times New Roman"/>
                <w:color w:val="000000"/>
                <w:sz w:val="24"/>
                <w:szCs w:val="24"/>
                <w:lang w:val="en-US"/>
              </w:rPr>
            </w:pPr>
            <w:r w:rsidRPr="00C106AC">
              <w:rPr>
                <w:rFonts w:ascii="Times New Roman" w:hAnsi="Times New Roman" w:cs="Times New Roman"/>
                <w:color w:val="000000"/>
                <w:sz w:val="24"/>
                <w:szCs w:val="24"/>
                <w:lang w:val="en-US"/>
              </w:rPr>
              <w:t>Social media:</w:t>
            </w:r>
            <w:r w:rsidRPr="00C106AC">
              <w:rPr>
                <w:rFonts w:ascii="Times New Roman" w:hAnsi="Times New Roman" w:cs="Times New Roman"/>
                <w:sz w:val="24"/>
                <w:szCs w:val="24"/>
                <w:lang w:val="en-US"/>
              </w:rPr>
              <w:t xml:space="preserve"> </w:t>
            </w:r>
            <w:r w:rsidRPr="0082035B">
              <w:rPr>
                <w:rFonts w:ascii="Times New Roman" w:hAnsi="Times New Roman" w:cs="Times New Roman"/>
                <w:sz w:val="24"/>
                <w:szCs w:val="24"/>
              </w:rPr>
              <w:t xml:space="preserve"> </w:t>
            </w:r>
            <w:hyperlink r:id="rId74" w:history="1">
              <w:r w:rsidRPr="0082035B">
                <w:rPr>
                  <w:rStyle w:val="Hyperlink"/>
                  <w:rFonts w:ascii="Times New Roman" w:hAnsi="Times New Roman" w:cs="Times New Roman"/>
                  <w:sz w:val="24"/>
                  <w:szCs w:val="24"/>
                </w:rPr>
                <w:t>https://www.linkedin.com/in/tkudrycki/</w:t>
              </w:r>
            </w:hyperlink>
            <w:r w:rsidRPr="0082035B">
              <w:rPr>
                <w:rFonts w:ascii="Times New Roman" w:hAnsi="Times New Roman" w:cs="Times New Roman"/>
                <w:sz w:val="24"/>
                <w:szCs w:val="24"/>
              </w:rPr>
              <w:t xml:space="preserve"> </w:t>
            </w:r>
            <w:r w:rsidRPr="00C106AC">
              <w:rPr>
                <w:rFonts w:ascii="Times New Roman" w:hAnsi="Times New Roman" w:cs="Times New Roman"/>
                <w:color w:val="000000"/>
                <w:sz w:val="24"/>
                <w:szCs w:val="24"/>
                <w:lang w:val="en-US"/>
              </w:rPr>
              <w:t xml:space="preserve">                         </w:t>
            </w:r>
          </w:p>
          <w:p w14:paraId="0BA5045A" w14:textId="77777777" w:rsidR="000C1F5E" w:rsidRPr="00FE1151" w:rsidRDefault="000C1F5E" w:rsidP="00F8181D">
            <w:pPr>
              <w:pStyle w:val="BodyText"/>
              <w:rPr>
                <w:i/>
                <w:lang w:val="en-US"/>
              </w:rPr>
            </w:pPr>
            <w:r w:rsidRPr="0082035B">
              <w:rPr>
                <w:rFonts w:ascii="Times New Roman" w:hAnsi="Times New Roman" w:cs="Times New Roman"/>
                <w:color w:val="000000"/>
                <w:sz w:val="24"/>
                <w:szCs w:val="24"/>
              </w:rPr>
              <w:t xml:space="preserve">Web site: </w:t>
            </w:r>
            <w:r w:rsidRPr="0082035B">
              <w:rPr>
                <w:rFonts w:ascii="Times New Roman" w:hAnsi="Times New Roman" w:cs="Times New Roman"/>
                <w:sz w:val="24"/>
                <w:szCs w:val="24"/>
              </w:rPr>
              <w:t xml:space="preserve"> </w:t>
            </w:r>
            <w:hyperlink r:id="rId75" w:history="1">
              <w:r w:rsidRPr="0082035B">
                <w:rPr>
                  <w:rStyle w:val="Hyperlink"/>
                  <w:rFonts w:ascii="Times New Roman" w:hAnsi="Times New Roman" w:cs="Times New Roman"/>
                  <w:sz w:val="24"/>
                  <w:szCs w:val="24"/>
                </w:rPr>
                <w:t>https://www.ecurrency.net</w:t>
              </w:r>
            </w:hyperlink>
          </w:p>
        </w:tc>
      </w:tr>
      <w:tr w:rsidR="000C1F5E" w:rsidRPr="00BC2010" w14:paraId="18ED89FE" w14:textId="77777777" w:rsidTr="00F8181D">
        <w:tc>
          <w:tcPr>
            <w:tcW w:w="2152" w:type="dxa"/>
            <w:tcBorders>
              <w:top w:val="single" w:sz="6" w:space="0" w:color="auto"/>
              <w:left w:val="single" w:sz="6" w:space="0" w:color="auto"/>
              <w:bottom w:val="single" w:sz="6" w:space="0" w:color="auto"/>
              <w:right w:val="single" w:sz="6" w:space="0" w:color="auto"/>
            </w:tcBorders>
            <w:shd w:val="pct15" w:color="auto" w:fill="FFFFFF"/>
          </w:tcPr>
          <w:p w14:paraId="4BC21794" w14:textId="77777777" w:rsidR="000C1F5E" w:rsidRPr="00BC2010" w:rsidRDefault="000C1F5E" w:rsidP="00F8181D">
            <w:pPr>
              <w:pStyle w:val="FigureTitle"/>
              <w:keepLines w:val="0"/>
              <w:spacing w:before="0" w:after="0"/>
              <w:jc w:val="left"/>
              <w:rPr>
                <w:sz w:val="24"/>
                <w:szCs w:val="24"/>
              </w:rPr>
            </w:pPr>
            <w:r w:rsidRPr="0025568D">
              <w:rPr>
                <w:rFonts w:cstheme="minorHAnsi"/>
                <w:color w:val="000000"/>
                <w:sz w:val="24"/>
                <w:szCs w:val="24"/>
                <w:lang w:val="en-GB"/>
              </w:rPr>
              <w:t>Proposing Organization</w:t>
            </w:r>
          </w:p>
        </w:tc>
        <w:tc>
          <w:tcPr>
            <w:tcW w:w="7621" w:type="dxa"/>
            <w:gridSpan w:val="3"/>
            <w:tcBorders>
              <w:top w:val="single" w:sz="6" w:space="0" w:color="auto"/>
              <w:left w:val="single" w:sz="6" w:space="0" w:color="auto"/>
              <w:bottom w:val="single" w:sz="6" w:space="0" w:color="auto"/>
              <w:right w:val="single" w:sz="6" w:space="0" w:color="auto"/>
            </w:tcBorders>
          </w:tcPr>
          <w:p w14:paraId="700F6047" w14:textId="77777777" w:rsidR="000C1F5E" w:rsidRPr="00703E67" w:rsidRDefault="000C1F5E" w:rsidP="00F8181D">
            <w:pPr>
              <w:pStyle w:val="FigureTitle"/>
              <w:keepLines w:val="0"/>
              <w:spacing w:before="0" w:after="0"/>
              <w:jc w:val="left"/>
              <w:rPr>
                <w:b w:val="0"/>
                <w:sz w:val="24"/>
                <w:szCs w:val="24"/>
              </w:rPr>
            </w:pPr>
            <w:r>
              <w:rPr>
                <w:rFonts w:cstheme="minorHAnsi"/>
                <w:b w:val="0"/>
                <w:color w:val="000000"/>
                <w:sz w:val="24"/>
                <w:szCs w:val="24"/>
                <w:lang w:val="en-GB"/>
              </w:rPr>
              <w:t>eCurrency</w:t>
            </w:r>
            <w:r w:rsidRPr="00703E67">
              <w:rPr>
                <w:rFonts w:cstheme="minorHAnsi"/>
                <w:b w:val="0"/>
                <w:color w:val="000000"/>
                <w:sz w:val="24"/>
                <w:szCs w:val="24"/>
                <w:lang w:val="en-GB"/>
              </w:rPr>
              <w:t xml:space="preserve">, </w:t>
            </w:r>
            <w:r>
              <w:rPr>
                <w:rFonts w:cstheme="minorHAnsi"/>
                <w:b w:val="0"/>
                <w:color w:val="000000"/>
                <w:sz w:val="24"/>
                <w:szCs w:val="24"/>
                <w:lang w:val="en-GB"/>
              </w:rPr>
              <w:t>USA</w:t>
            </w:r>
          </w:p>
        </w:tc>
      </w:tr>
      <w:tr w:rsidR="000C1F5E" w:rsidRPr="00BC2010" w14:paraId="173C81D8" w14:textId="77777777" w:rsidTr="00F8181D">
        <w:tc>
          <w:tcPr>
            <w:tcW w:w="2152" w:type="dxa"/>
            <w:tcBorders>
              <w:top w:val="single" w:sz="6" w:space="0" w:color="auto"/>
              <w:left w:val="single" w:sz="6" w:space="0" w:color="auto"/>
              <w:bottom w:val="single" w:sz="6" w:space="0" w:color="auto"/>
              <w:right w:val="single" w:sz="6" w:space="0" w:color="auto"/>
            </w:tcBorders>
            <w:shd w:val="pct15" w:color="auto" w:fill="FFFFFF"/>
          </w:tcPr>
          <w:p w14:paraId="6BD39509" w14:textId="77777777" w:rsidR="000C1F5E" w:rsidRPr="00BC2010" w:rsidRDefault="000C1F5E" w:rsidP="00F8181D">
            <w:pPr>
              <w:pStyle w:val="FigureTitle"/>
              <w:keepLines w:val="0"/>
              <w:spacing w:before="0" w:after="0"/>
              <w:jc w:val="left"/>
              <w:rPr>
                <w:sz w:val="24"/>
                <w:szCs w:val="24"/>
              </w:rPr>
            </w:pPr>
            <w:r w:rsidRPr="0025568D">
              <w:rPr>
                <w:rFonts w:cstheme="minorHAnsi"/>
                <w:color w:val="000000"/>
                <w:sz w:val="24"/>
                <w:szCs w:val="24"/>
                <w:lang w:val="en-GB"/>
              </w:rPr>
              <w:t>Short Description</w:t>
            </w:r>
          </w:p>
        </w:tc>
        <w:tc>
          <w:tcPr>
            <w:tcW w:w="7621" w:type="dxa"/>
            <w:gridSpan w:val="3"/>
            <w:tcBorders>
              <w:top w:val="single" w:sz="6" w:space="0" w:color="auto"/>
              <w:left w:val="single" w:sz="6" w:space="0" w:color="auto"/>
              <w:bottom w:val="single" w:sz="6" w:space="0" w:color="auto"/>
              <w:right w:val="single" w:sz="6" w:space="0" w:color="auto"/>
            </w:tcBorders>
          </w:tcPr>
          <w:p w14:paraId="2F096A37" w14:textId="77777777" w:rsidR="000C1F5E" w:rsidRPr="000B3945" w:rsidRDefault="000C1F5E" w:rsidP="00F8181D">
            <w:r>
              <w:t>Distribution of DFC supply through banking and e-money payment systems. The distribution of DFC happens through channels analogous to the ones used in the distribution of physical currency i.e. commercial banks and existing and future payment systems.</w:t>
            </w:r>
          </w:p>
        </w:tc>
      </w:tr>
      <w:tr w:rsidR="000C1F5E" w:rsidRPr="00BC2010" w14:paraId="6AD08815" w14:textId="77777777" w:rsidTr="00F8181D">
        <w:tc>
          <w:tcPr>
            <w:tcW w:w="2152" w:type="dxa"/>
            <w:tcBorders>
              <w:top w:val="single" w:sz="6" w:space="0" w:color="auto"/>
              <w:left w:val="single" w:sz="6" w:space="0" w:color="auto"/>
              <w:bottom w:val="single" w:sz="6" w:space="0" w:color="auto"/>
              <w:right w:val="single" w:sz="6" w:space="0" w:color="auto"/>
            </w:tcBorders>
            <w:shd w:val="pct15" w:color="auto" w:fill="FFFFFF"/>
          </w:tcPr>
          <w:p w14:paraId="45D6429F" w14:textId="77777777" w:rsidR="000C1F5E" w:rsidRDefault="000C1F5E" w:rsidP="00F8181D">
            <w:pPr>
              <w:pStyle w:val="FigureTitle"/>
              <w:keepLines w:val="0"/>
              <w:spacing w:before="0" w:after="0"/>
              <w:jc w:val="left"/>
              <w:rPr>
                <w:rFonts w:cstheme="minorHAnsi"/>
                <w:color w:val="000000"/>
                <w:sz w:val="24"/>
                <w:szCs w:val="24"/>
                <w:lang w:val="en-GB"/>
              </w:rPr>
            </w:pPr>
            <w:r w:rsidRPr="0025568D">
              <w:rPr>
                <w:rFonts w:cstheme="minorHAnsi"/>
                <w:color w:val="000000"/>
                <w:sz w:val="24"/>
                <w:szCs w:val="24"/>
                <w:lang w:val="en-GB"/>
              </w:rPr>
              <w:t>Long description</w:t>
            </w:r>
          </w:p>
          <w:p w14:paraId="074E0859" w14:textId="3A6ABB64" w:rsidR="0082035B" w:rsidRPr="0060119B" w:rsidRDefault="0082035B" w:rsidP="0060119B">
            <w:pPr>
              <w:pStyle w:val="BodyText"/>
            </w:pPr>
          </w:p>
        </w:tc>
        <w:tc>
          <w:tcPr>
            <w:tcW w:w="7621" w:type="dxa"/>
            <w:gridSpan w:val="3"/>
            <w:tcBorders>
              <w:top w:val="single" w:sz="6" w:space="0" w:color="auto"/>
              <w:left w:val="single" w:sz="6" w:space="0" w:color="auto"/>
              <w:bottom w:val="single" w:sz="6" w:space="0" w:color="auto"/>
              <w:right w:val="single" w:sz="6" w:space="0" w:color="auto"/>
            </w:tcBorders>
          </w:tcPr>
          <w:p w14:paraId="57A2FFBE" w14:textId="3285459E" w:rsidR="000C1F5E" w:rsidRDefault="000C1F5E" w:rsidP="00F8181D">
            <w:r>
              <w:t>In order to be widely adopted, the retail DFC should augment and evolve, rather than disrupt the existing payment rails. This is one of the characteristics required of DFC by some central banks</w:t>
            </w:r>
            <w:r w:rsidR="00CD4C8F">
              <w:t>. S</w:t>
            </w:r>
            <w:r>
              <w:t xml:space="preserve">ee for example </w:t>
            </w:r>
            <w:r w:rsidR="00CD4C8F">
              <w:t xml:space="preserve">the </w:t>
            </w:r>
            <w:r>
              <w:t xml:space="preserve">Swedish Riksbank eKrona </w:t>
            </w:r>
            <w:r w:rsidR="00CD4C8F">
              <w:t>landing page</w:t>
            </w:r>
            <w:r>
              <w:t xml:space="preserve"> </w:t>
            </w:r>
            <w:r w:rsidR="00CD4C8F">
              <w:t>(</w:t>
            </w:r>
            <w:hyperlink r:id="rId76" w:history="1">
              <w:r w:rsidR="00CD4C8F" w:rsidRPr="006725DD">
                <w:rPr>
                  <w:rStyle w:val="Hyperlink"/>
                </w:rPr>
                <w:t>https://www.riksbank.se/en-gb/payments--cash/e-krona/</w:t>
              </w:r>
            </w:hyperlink>
            <w:r w:rsidR="00CD4C8F">
              <w:rPr>
                <w:rStyle w:val="Hyperlink"/>
              </w:rPr>
              <w:t>)</w:t>
            </w:r>
            <w:r>
              <w:t xml:space="preserve"> and South African Reserve Bank </w:t>
            </w:r>
            <w:r w:rsidR="00CD4C8F">
              <w:t>CBDC expressions of interest</w:t>
            </w:r>
            <w:r>
              <w:t xml:space="preserve"> documents</w:t>
            </w:r>
            <w:r w:rsidR="00CD4C8F">
              <w:t xml:space="preserve"> (SARB, 2019)</w:t>
            </w:r>
            <w:r>
              <w:t xml:space="preserve">. This allows the central banks to introduce DFC gradually and not disintermediate critical commercial players such as banks and mobile money operators. </w:t>
            </w:r>
          </w:p>
          <w:p w14:paraId="233A0BD2" w14:textId="77777777" w:rsidR="000C1F5E" w:rsidRDefault="000C1F5E" w:rsidP="00F8181D">
            <w:r>
              <w:t>The main considerations for the distribution process are:</w:t>
            </w:r>
          </w:p>
          <w:p w14:paraId="04E42B12" w14:textId="77777777" w:rsidR="000C1F5E" w:rsidRPr="0082035B"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82035B">
              <w:rPr>
                <w:rFonts w:ascii="Times New Roman" w:hAnsi="Times New Roman" w:cs="Times New Roman"/>
                <w:sz w:val="24"/>
                <w:szCs w:val="24"/>
              </w:rPr>
              <w:t>Security of the process</w:t>
            </w:r>
          </w:p>
          <w:p w14:paraId="4054F25C" w14:textId="77777777" w:rsidR="000C1F5E" w:rsidRPr="0082035B"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82035B">
              <w:rPr>
                <w:rFonts w:ascii="Times New Roman" w:hAnsi="Times New Roman" w:cs="Times New Roman"/>
                <w:sz w:val="24"/>
                <w:szCs w:val="24"/>
              </w:rPr>
              <w:t>Conservation of the amount of the money supply</w:t>
            </w:r>
          </w:p>
          <w:p w14:paraId="15E27C54" w14:textId="77777777" w:rsidR="000C1F5E" w:rsidRPr="0082035B"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82035B">
              <w:rPr>
                <w:rFonts w:ascii="Times New Roman" w:hAnsi="Times New Roman" w:cs="Times New Roman"/>
                <w:sz w:val="24"/>
                <w:szCs w:val="24"/>
              </w:rPr>
              <w:t>Controls on the process, such as presence of multiple participants, access to the tools used</w:t>
            </w:r>
          </w:p>
          <w:p w14:paraId="2CC8723E" w14:textId="77777777" w:rsidR="000C1F5E" w:rsidRPr="0082035B"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82035B">
              <w:rPr>
                <w:rFonts w:ascii="Times New Roman" w:hAnsi="Times New Roman" w:cs="Times New Roman"/>
                <w:sz w:val="24"/>
                <w:szCs w:val="24"/>
              </w:rPr>
              <w:t>Auditability and traceability of the process</w:t>
            </w:r>
          </w:p>
          <w:p w14:paraId="20D37231" w14:textId="77777777" w:rsidR="000C1F5E" w:rsidRPr="000B3945"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pPr>
            <w:r w:rsidRPr="0082035B">
              <w:rPr>
                <w:rFonts w:ascii="Times New Roman" w:hAnsi="Times New Roman" w:cs="Times New Roman"/>
                <w:sz w:val="24"/>
                <w:szCs w:val="24"/>
              </w:rPr>
              <w:t>Permanence and storage of the audit trail</w:t>
            </w:r>
          </w:p>
        </w:tc>
      </w:tr>
      <w:tr w:rsidR="000C1F5E" w:rsidRPr="00BC2010" w14:paraId="2F5475D2" w14:textId="77777777" w:rsidTr="00F8181D">
        <w:tc>
          <w:tcPr>
            <w:tcW w:w="2152" w:type="dxa"/>
            <w:tcBorders>
              <w:top w:val="single" w:sz="6" w:space="0" w:color="auto"/>
              <w:left w:val="single" w:sz="6" w:space="0" w:color="auto"/>
              <w:bottom w:val="single" w:sz="6" w:space="0" w:color="auto"/>
              <w:right w:val="single" w:sz="6" w:space="0" w:color="auto"/>
            </w:tcBorders>
            <w:shd w:val="pct15" w:color="auto" w:fill="FFFFFF"/>
            <w:hideMark/>
          </w:tcPr>
          <w:p w14:paraId="5D017601" w14:textId="77777777" w:rsidR="000C1F5E" w:rsidRPr="00BC2010" w:rsidRDefault="000C1F5E" w:rsidP="00F8181D">
            <w:pPr>
              <w:pStyle w:val="FigureTitle"/>
              <w:keepLines w:val="0"/>
              <w:spacing w:before="0" w:after="0"/>
              <w:jc w:val="left"/>
              <w:rPr>
                <w:sz w:val="24"/>
                <w:szCs w:val="24"/>
              </w:rPr>
            </w:pPr>
            <w:r w:rsidRPr="00BC2010">
              <w:rPr>
                <w:sz w:val="24"/>
                <w:szCs w:val="24"/>
              </w:rPr>
              <w:t>Value Transfer:</w:t>
            </w:r>
          </w:p>
        </w:tc>
        <w:tc>
          <w:tcPr>
            <w:tcW w:w="7621" w:type="dxa"/>
            <w:gridSpan w:val="3"/>
            <w:tcBorders>
              <w:top w:val="single" w:sz="6" w:space="0" w:color="auto"/>
              <w:left w:val="single" w:sz="6" w:space="0" w:color="auto"/>
              <w:bottom w:val="single" w:sz="6" w:space="0" w:color="auto"/>
              <w:right w:val="single" w:sz="6" w:space="0" w:color="auto"/>
            </w:tcBorders>
          </w:tcPr>
          <w:p w14:paraId="1C18DF41" w14:textId="77777777" w:rsidR="000C1F5E" w:rsidRPr="0082035B" w:rsidRDefault="000C1F5E" w:rsidP="00F8181D">
            <w:pPr>
              <w:pStyle w:val="BodyText"/>
              <w:rPr>
                <w:rFonts w:ascii="Times New Roman" w:hAnsi="Times New Roman" w:cs="Times New Roman"/>
                <w:sz w:val="24"/>
                <w:szCs w:val="24"/>
              </w:rPr>
            </w:pPr>
            <w:r w:rsidRPr="0082035B">
              <w:rPr>
                <w:rFonts w:ascii="Times New Roman" w:hAnsi="Times New Roman" w:cs="Times New Roman"/>
                <w:sz w:val="24"/>
                <w:szCs w:val="24"/>
              </w:rPr>
              <w:t>DFC distribution in the implemented scenario is hierarchical, but with possible multiple interconnections, it is not a straightforward tree.</w:t>
            </w:r>
          </w:p>
          <w:p w14:paraId="013980C2" w14:textId="77777777" w:rsidR="000C1F5E" w:rsidRPr="0082035B" w:rsidRDefault="000C1F5E" w:rsidP="00F8181D">
            <w:pPr>
              <w:pStyle w:val="BodyText"/>
              <w:rPr>
                <w:rFonts w:ascii="Times New Roman" w:hAnsi="Times New Roman" w:cs="Times New Roman"/>
                <w:sz w:val="24"/>
                <w:szCs w:val="24"/>
              </w:rPr>
            </w:pPr>
            <w:r w:rsidRPr="0082035B">
              <w:rPr>
                <w:rFonts w:ascii="Times New Roman" w:hAnsi="Times New Roman" w:cs="Times New Roman"/>
                <w:sz w:val="24"/>
                <w:szCs w:val="24"/>
              </w:rPr>
              <w:t>The initial distribution is from the stock created in “Use Case 1 – Issuance” to the first level of the distribution channel, typically a tier 1 commercial bank. This initial transfer is done in exchange for some other assets the target institution deposits with the central banks as per standard processes applied to acquisition of any other form of the central bank money. This initial distribution event in the implemented RCBC scenario is executed by the central bank personnel through a set of checks and approvals organized as a workflow. In other scenarios it can be initiated by an external system through an API into the DFC implementation.</w:t>
            </w:r>
          </w:p>
          <w:p w14:paraId="160D322D" w14:textId="77777777" w:rsidR="000C1F5E" w:rsidRPr="0082035B" w:rsidRDefault="000C1F5E" w:rsidP="00F8181D">
            <w:pPr>
              <w:pStyle w:val="BodyText"/>
              <w:rPr>
                <w:rFonts w:ascii="Times New Roman" w:hAnsi="Times New Roman" w:cs="Times New Roman"/>
                <w:sz w:val="24"/>
                <w:szCs w:val="24"/>
              </w:rPr>
            </w:pPr>
            <w:r w:rsidRPr="0082035B">
              <w:rPr>
                <w:rFonts w:ascii="Times New Roman" w:hAnsi="Times New Roman" w:cs="Times New Roman"/>
                <w:sz w:val="24"/>
                <w:szCs w:val="24"/>
              </w:rPr>
              <w:t>Subsequent distributions to other layers of the financial system hierarchy follow the process outlined above.</w:t>
            </w:r>
          </w:p>
          <w:p w14:paraId="134A9575" w14:textId="77777777" w:rsidR="000C1F5E" w:rsidRPr="006D6E13" w:rsidRDefault="000C1F5E" w:rsidP="00F8181D">
            <w:pPr>
              <w:pStyle w:val="BodyText"/>
            </w:pPr>
            <w:r w:rsidRPr="0082035B">
              <w:rPr>
                <w:rFonts w:ascii="Times New Roman" w:hAnsi="Times New Roman" w:cs="Times New Roman"/>
                <w:sz w:val="24"/>
                <w:szCs w:val="24"/>
              </w:rPr>
              <w:t>Some central banks express a need to follow the existing cash distribution paths through various levels of commercial banks down to individual DFC e-wallet providers. Some others are taking an approach of distributing DFC directly to the e-money wallet providers.</w:t>
            </w:r>
          </w:p>
        </w:tc>
      </w:tr>
      <w:tr w:rsidR="000C1F5E" w:rsidRPr="00BC2010" w14:paraId="07E735CF" w14:textId="77777777" w:rsidTr="00F8181D">
        <w:tc>
          <w:tcPr>
            <w:tcW w:w="2152" w:type="dxa"/>
            <w:tcBorders>
              <w:top w:val="single" w:sz="6" w:space="0" w:color="auto"/>
              <w:left w:val="single" w:sz="6" w:space="0" w:color="auto"/>
              <w:bottom w:val="single" w:sz="6" w:space="0" w:color="auto"/>
              <w:right w:val="single" w:sz="6" w:space="0" w:color="auto"/>
            </w:tcBorders>
            <w:shd w:val="pct15" w:color="auto" w:fill="FFFFFF"/>
          </w:tcPr>
          <w:p w14:paraId="5638BFFC" w14:textId="77777777" w:rsidR="000C1F5E" w:rsidRPr="00BC2010" w:rsidRDefault="000C1F5E" w:rsidP="00F8181D">
            <w:pPr>
              <w:pStyle w:val="FigureTitle"/>
              <w:keepLines w:val="0"/>
              <w:spacing w:before="0" w:after="0"/>
              <w:jc w:val="left"/>
              <w:rPr>
                <w:sz w:val="24"/>
                <w:szCs w:val="24"/>
              </w:rPr>
            </w:pPr>
            <w:r>
              <w:rPr>
                <w:sz w:val="24"/>
                <w:szCs w:val="24"/>
              </w:rPr>
              <w:t>Transfer Frequency</w:t>
            </w:r>
          </w:p>
        </w:tc>
        <w:tc>
          <w:tcPr>
            <w:tcW w:w="2996" w:type="dxa"/>
            <w:tcBorders>
              <w:top w:val="single" w:sz="6" w:space="0" w:color="auto"/>
              <w:left w:val="single" w:sz="6" w:space="0" w:color="auto"/>
              <w:bottom w:val="single" w:sz="6" w:space="0" w:color="auto"/>
              <w:right w:val="single" w:sz="6" w:space="0" w:color="auto"/>
            </w:tcBorders>
          </w:tcPr>
          <w:p w14:paraId="5A29FBB4" w14:textId="77777777" w:rsidR="000C1F5E" w:rsidRPr="0082035B" w:rsidRDefault="000C1F5E" w:rsidP="00F8181D">
            <w:pPr>
              <w:pStyle w:val="BodyText"/>
              <w:rPr>
                <w:rFonts w:ascii="Times New Roman" w:hAnsi="Times New Roman" w:cs="Times New Roman"/>
                <w:sz w:val="24"/>
                <w:szCs w:val="24"/>
              </w:rPr>
            </w:pPr>
            <w:r w:rsidRPr="0082035B">
              <w:rPr>
                <w:rFonts w:ascii="Times New Roman" w:hAnsi="Times New Roman" w:cs="Times New Roman"/>
                <w:sz w:val="24"/>
                <w:szCs w:val="24"/>
              </w:rPr>
              <w:t>Daily to hourly</w:t>
            </w:r>
          </w:p>
        </w:tc>
        <w:tc>
          <w:tcPr>
            <w:tcW w:w="2499" w:type="dxa"/>
            <w:tcBorders>
              <w:top w:val="single" w:sz="6" w:space="0" w:color="auto"/>
              <w:left w:val="single" w:sz="6" w:space="0" w:color="auto"/>
              <w:bottom w:val="single" w:sz="6" w:space="0" w:color="auto"/>
              <w:right w:val="single" w:sz="6" w:space="0" w:color="auto"/>
            </w:tcBorders>
            <w:shd w:val="pct15" w:color="auto" w:fill="FFFFFF"/>
          </w:tcPr>
          <w:p w14:paraId="17A9FFC3" w14:textId="77777777" w:rsidR="000C1F5E" w:rsidRPr="0082035B" w:rsidRDefault="000C1F5E" w:rsidP="00F8181D">
            <w:pPr>
              <w:pStyle w:val="BodyText"/>
              <w:rPr>
                <w:rFonts w:ascii="Times New Roman" w:hAnsi="Times New Roman" w:cs="Times New Roman"/>
                <w:sz w:val="24"/>
                <w:szCs w:val="24"/>
              </w:rPr>
            </w:pPr>
            <w:r w:rsidRPr="0082035B">
              <w:rPr>
                <w:rFonts w:ascii="Times New Roman" w:hAnsi="Times New Roman" w:cs="Times New Roman"/>
                <w:sz w:val="24"/>
                <w:szCs w:val="24"/>
              </w:rPr>
              <w:t>N</w:t>
            </w:r>
            <w:r w:rsidRPr="0082035B">
              <w:rPr>
                <w:rFonts w:ascii="Times New Roman" w:hAnsi="Times New Roman" w:cs="Times New Roman"/>
                <w:b/>
                <w:sz w:val="24"/>
                <w:szCs w:val="24"/>
              </w:rPr>
              <w:t>umber of Actors:</w:t>
            </w:r>
          </w:p>
        </w:tc>
        <w:tc>
          <w:tcPr>
            <w:tcW w:w="2126" w:type="dxa"/>
            <w:tcBorders>
              <w:top w:val="single" w:sz="6" w:space="0" w:color="auto"/>
              <w:left w:val="single" w:sz="6" w:space="0" w:color="auto"/>
              <w:bottom w:val="single" w:sz="6" w:space="0" w:color="auto"/>
              <w:right w:val="single" w:sz="6" w:space="0" w:color="auto"/>
            </w:tcBorders>
          </w:tcPr>
          <w:p w14:paraId="6FC5875F" w14:textId="77777777" w:rsidR="000C1F5E" w:rsidRPr="0082035B" w:rsidRDefault="000C1F5E" w:rsidP="00F8181D">
            <w:pPr>
              <w:pStyle w:val="BodyText"/>
              <w:rPr>
                <w:rFonts w:ascii="Times New Roman" w:hAnsi="Times New Roman" w:cs="Times New Roman"/>
                <w:sz w:val="24"/>
                <w:szCs w:val="24"/>
              </w:rPr>
            </w:pPr>
            <w:r w:rsidRPr="0082035B">
              <w:rPr>
                <w:rFonts w:ascii="Times New Roman" w:hAnsi="Times New Roman" w:cs="Times New Roman"/>
                <w:sz w:val="24"/>
                <w:szCs w:val="24"/>
              </w:rPr>
              <w:t>100s to 1,000s</w:t>
            </w:r>
          </w:p>
        </w:tc>
      </w:tr>
      <w:tr w:rsidR="000C1F5E" w:rsidRPr="000B4C3C" w14:paraId="494EB9B7" w14:textId="77777777" w:rsidTr="00F8181D">
        <w:tc>
          <w:tcPr>
            <w:tcW w:w="2152" w:type="dxa"/>
            <w:tcBorders>
              <w:top w:val="single" w:sz="6" w:space="0" w:color="auto"/>
              <w:left w:val="single" w:sz="6" w:space="0" w:color="auto"/>
              <w:bottom w:val="single" w:sz="6" w:space="0" w:color="auto"/>
              <w:right w:val="single" w:sz="6" w:space="0" w:color="auto"/>
            </w:tcBorders>
            <w:shd w:val="pct15" w:color="auto" w:fill="FFFFFF"/>
          </w:tcPr>
          <w:p w14:paraId="4C080810" w14:textId="77777777" w:rsidR="000C1F5E" w:rsidRDefault="000C1F5E" w:rsidP="00F8181D">
            <w:pPr>
              <w:pStyle w:val="FigureTitle"/>
              <w:keepLines w:val="0"/>
              <w:spacing w:before="0" w:after="0"/>
              <w:jc w:val="left"/>
              <w:rPr>
                <w:sz w:val="24"/>
                <w:szCs w:val="24"/>
              </w:rPr>
            </w:pPr>
            <w:r>
              <w:rPr>
                <w:sz w:val="24"/>
                <w:szCs w:val="24"/>
              </w:rPr>
              <w:t>Stakeholders:</w:t>
            </w:r>
          </w:p>
        </w:tc>
        <w:tc>
          <w:tcPr>
            <w:tcW w:w="7621" w:type="dxa"/>
            <w:gridSpan w:val="3"/>
            <w:tcBorders>
              <w:top w:val="single" w:sz="6" w:space="0" w:color="auto"/>
              <w:left w:val="single" w:sz="6" w:space="0" w:color="auto"/>
              <w:bottom w:val="single" w:sz="6" w:space="0" w:color="auto"/>
              <w:right w:val="single" w:sz="6" w:space="0" w:color="auto"/>
            </w:tcBorders>
          </w:tcPr>
          <w:p w14:paraId="6B2A1AB0" w14:textId="77777777" w:rsidR="000C1F5E" w:rsidRPr="0082035B" w:rsidRDefault="000C1F5E" w:rsidP="00F8181D">
            <w:pPr>
              <w:pStyle w:val="BodyText"/>
              <w:rPr>
                <w:rFonts w:ascii="Times New Roman" w:hAnsi="Times New Roman" w:cs="Times New Roman"/>
                <w:sz w:val="24"/>
                <w:szCs w:val="24"/>
                <w:lang w:val="en-US"/>
              </w:rPr>
            </w:pPr>
            <w:r w:rsidRPr="0082035B">
              <w:rPr>
                <w:rFonts w:ascii="Times New Roman" w:hAnsi="Times New Roman" w:cs="Times New Roman"/>
                <w:sz w:val="24"/>
                <w:szCs w:val="24"/>
                <w:lang w:val="en-US"/>
              </w:rPr>
              <w:t xml:space="preserve">The </w:t>
            </w:r>
            <w:r w:rsidRPr="0082035B">
              <w:rPr>
                <w:rFonts w:ascii="Times New Roman" w:hAnsi="Times New Roman" w:cs="Times New Roman"/>
                <w:sz w:val="24"/>
                <w:szCs w:val="24"/>
              </w:rPr>
              <w:t>central bank, commercial banks, payment system operators.</w:t>
            </w:r>
          </w:p>
        </w:tc>
      </w:tr>
      <w:tr w:rsidR="000C1F5E" w:rsidRPr="000B4C3C" w14:paraId="6A86945A" w14:textId="77777777" w:rsidTr="00F8181D">
        <w:tc>
          <w:tcPr>
            <w:tcW w:w="2152" w:type="dxa"/>
            <w:tcBorders>
              <w:top w:val="single" w:sz="6" w:space="0" w:color="auto"/>
              <w:left w:val="single" w:sz="6" w:space="0" w:color="auto"/>
              <w:bottom w:val="single" w:sz="6" w:space="0" w:color="auto"/>
              <w:right w:val="single" w:sz="6" w:space="0" w:color="auto"/>
            </w:tcBorders>
            <w:shd w:val="pct15" w:color="auto" w:fill="FFFFFF"/>
          </w:tcPr>
          <w:p w14:paraId="6C376AFC" w14:textId="77777777" w:rsidR="000C1F5E" w:rsidRDefault="000C1F5E" w:rsidP="00F8181D">
            <w:pPr>
              <w:pStyle w:val="FigureTitle"/>
              <w:keepLines w:val="0"/>
              <w:spacing w:before="0" w:after="0"/>
              <w:jc w:val="left"/>
              <w:rPr>
                <w:sz w:val="24"/>
                <w:szCs w:val="24"/>
              </w:rPr>
            </w:pPr>
            <w:r>
              <w:rPr>
                <w:sz w:val="24"/>
                <w:szCs w:val="24"/>
              </w:rPr>
              <w:t>Inputs</w:t>
            </w:r>
            <w:r w:rsidRPr="00BC2010">
              <w:rPr>
                <w:sz w:val="24"/>
                <w:szCs w:val="24"/>
              </w:rPr>
              <w:t>:</w:t>
            </w:r>
          </w:p>
        </w:tc>
        <w:tc>
          <w:tcPr>
            <w:tcW w:w="7621" w:type="dxa"/>
            <w:gridSpan w:val="3"/>
            <w:tcBorders>
              <w:top w:val="single" w:sz="6" w:space="0" w:color="auto"/>
              <w:left w:val="single" w:sz="6" w:space="0" w:color="auto"/>
              <w:bottom w:val="single" w:sz="6" w:space="0" w:color="auto"/>
              <w:right w:val="single" w:sz="6" w:space="0" w:color="auto"/>
            </w:tcBorders>
          </w:tcPr>
          <w:p w14:paraId="251026A8" w14:textId="77777777" w:rsidR="000C1F5E" w:rsidRPr="0082035B"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82035B">
              <w:rPr>
                <w:rFonts w:ascii="Times New Roman" w:hAnsi="Times New Roman" w:cs="Times New Roman"/>
                <w:sz w:val="24"/>
                <w:szCs w:val="24"/>
              </w:rPr>
              <w:t>Cash orders</w:t>
            </w:r>
          </w:p>
          <w:p w14:paraId="77A7BE17" w14:textId="77777777" w:rsidR="000C1F5E" w:rsidRPr="0082035B"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82035B">
              <w:rPr>
                <w:rFonts w:ascii="Times New Roman" w:hAnsi="Times New Roman" w:cs="Times New Roman"/>
                <w:sz w:val="24"/>
                <w:szCs w:val="24"/>
              </w:rPr>
              <w:t>Proofs of pledges of other assets acceptable to the central bank, such as physical cash, government bonds etc</w:t>
            </w:r>
          </w:p>
          <w:p w14:paraId="793467FF" w14:textId="77777777" w:rsidR="000C1F5E" w:rsidRPr="0082035B"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82035B">
              <w:rPr>
                <w:rFonts w:ascii="Times New Roman" w:hAnsi="Times New Roman" w:cs="Times New Roman"/>
                <w:sz w:val="24"/>
                <w:szCs w:val="24"/>
              </w:rPr>
              <w:t>If integrated with RTGS or core banking systems, authenticated API calls from such systems to effect the distribution</w:t>
            </w:r>
          </w:p>
        </w:tc>
      </w:tr>
      <w:tr w:rsidR="000C1F5E" w:rsidRPr="00BC2010" w14:paraId="6BF0D202" w14:textId="77777777" w:rsidTr="00F8181D">
        <w:tc>
          <w:tcPr>
            <w:tcW w:w="2152" w:type="dxa"/>
            <w:tcBorders>
              <w:top w:val="single" w:sz="6" w:space="0" w:color="auto"/>
              <w:left w:val="single" w:sz="6" w:space="0" w:color="auto"/>
              <w:bottom w:val="single" w:sz="6" w:space="0" w:color="auto"/>
              <w:right w:val="single" w:sz="6" w:space="0" w:color="auto"/>
            </w:tcBorders>
            <w:shd w:val="pct15" w:color="auto" w:fill="FFFFFF"/>
          </w:tcPr>
          <w:p w14:paraId="47F61E21" w14:textId="77777777" w:rsidR="000C1F5E" w:rsidRPr="00BC2010" w:rsidRDefault="000C1F5E" w:rsidP="00F8181D">
            <w:pPr>
              <w:pStyle w:val="FigureTitle"/>
              <w:keepLines w:val="0"/>
              <w:spacing w:before="0" w:after="0"/>
              <w:jc w:val="left"/>
              <w:rPr>
                <w:sz w:val="24"/>
                <w:szCs w:val="24"/>
              </w:rPr>
            </w:pPr>
            <w:r>
              <w:rPr>
                <w:sz w:val="24"/>
                <w:szCs w:val="24"/>
              </w:rPr>
              <w:t>Actors:</w:t>
            </w:r>
          </w:p>
        </w:tc>
        <w:tc>
          <w:tcPr>
            <w:tcW w:w="7621" w:type="dxa"/>
            <w:gridSpan w:val="3"/>
            <w:tcBorders>
              <w:top w:val="single" w:sz="6" w:space="0" w:color="auto"/>
              <w:left w:val="single" w:sz="6" w:space="0" w:color="auto"/>
              <w:bottom w:val="single" w:sz="6" w:space="0" w:color="auto"/>
              <w:right w:val="single" w:sz="6" w:space="0" w:color="auto"/>
            </w:tcBorders>
          </w:tcPr>
          <w:p w14:paraId="47EEC53C" w14:textId="77777777" w:rsidR="000C1F5E" w:rsidRPr="0082035B" w:rsidRDefault="000C1F5E" w:rsidP="00F8181D">
            <w:pPr>
              <w:pStyle w:val="BodyText"/>
              <w:rPr>
                <w:rFonts w:ascii="Times New Roman" w:hAnsi="Times New Roman" w:cs="Times New Roman"/>
                <w:sz w:val="24"/>
                <w:szCs w:val="24"/>
              </w:rPr>
            </w:pPr>
            <w:r w:rsidRPr="0082035B">
              <w:rPr>
                <w:rFonts w:ascii="Times New Roman" w:hAnsi="Times New Roman" w:cs="Times New Roman"/>
                <w:sz w:val="24"/>
                <w:szCs w:val="24"/>
              </w:rPr>
              <w:t>Cash management departments at the central banks, commercial bank cash management and back office management teams, financial and accounting teams at payment system operators.</w:t>
            </w:r>
          </w:p>
          <w:p w14:paraId="2E116232" w14:textId="77777777" w:rsidR="000C1F5E" w:rsidRPr="0082035B" w:rsidRDefault="000C1F5E" w:rsidP="00F8181D">
            <w:pPr>
              <w:pStyle w:val="BodyText"/>
              <w:rPr>
                <w:rFonts w:ascii="Times New Roman" w:hAnsi="Times New Roman" w:cs="Times New Roman"/>
                <w:i/>
                <w:sz w:val="24"/>
                <w:szCs w:val="24"/>
                <w:lang w:val="en-US"/>
              </w:rPr>
            </w:pPr>
            <w:r w:rsidRPr="0082035B">
              <w:rPr>
                <w:rFonts w:ascii="Times New Roman" w:hAnsi="Times New Roman" w:cs="Times New Roman"/>
                <w:sz w:val="24"/>
                <w:szCs w:val="24"/>
                <w:lang w:val="en-US"/>
              </w:rPr>
              <w:t xml:space="preserve">In the subsequent description the organization requiring DFC from a distributor is called a </w:t>
            </w:r>
            <w:r w:rsidRPr="0082035B">
              <w:rPr>
                <w:rFonts w:ascii="Times New Roman" w:hAnsi="Times New Roman" w:cs="Times New Roman"/>
                <w:i/>
                <w:sz w:val="24"/>
                <w:szCs w:val="24"/>
                <w:lang w:val="en-US"/>
              </w:rPr>
              <w:t>requestor</w:t>
            </w:r>
            <w:r w:rsidRPr="0082035B">
              <w:rPr>
                <w:rFonts w:ascii="Times New Roman" w:hAnsi="Times New Roman" w:cs="Times New Roman"/>
                <w:sz w:val="24"/>
                <w:szCs w:val="24"/>
                <w:lang w:val="en-US"/>
              </w:rPr>
              <w:t xml:space="preserve">, and the DFC source (distributor) is called a </w:t>
            </w:r>
            <w:r w:rsidRPr="0082035B">
              <w:rPr>
                <w:rFonts w:ascii="Times New Roman" w:hAnsi="Times New Roman" w:cs="Times New Roman"/>
                <w:i/>
                <w:sz w:val="24"/>
                <w:szCs w:val="24"/>
                <w:lang w:val="en-US"/>
              </w:rPr>
              <w:t>grantor.</w:t>
            </w:r>
          </w:p>
        </w:tc>
      </w:tr>
      <w:tr w:rsidR="000C1F5E" w:rsidRPr="00BC2010" w14:paraId="4E232B3B" w14:textId="77777777" w:rsidTr="00F8181D">
        <w:tc>
          <w:tcPr>
            <w:tcW w:w="2152" w:type="dxa"/>
            <w:tcBorders>
              <w:top w:val="single" w:sz="6" w:space="0" w:color="auto"/>
              <w:left w:val="single" w:sz="6" w:space="0" w:color="auto"/>
              <w:bottom w:val="single" w:sz="6" w:space="0" w:color="auto"/>
              <w:right w:val="single" w:sz="6" w:space="0" w:color="auto"/>
            </w:tcBorders>
            <w:shd w:val="pct15" w:color="auto" w:fill="FFFFFF"/>
          </w:tcPr>
          <w:p w14:paraId="10B57943" w14:textId="77777777" w:rsidR="000C1F5E" w:rsidRDefault="000C1F5E" w:rsidP="00F8181D">
            <w:pPr>
              <w:pStyle w:val="FigureTitle"/>
              <w:keepLines w:val="0"/>
              <w:spacing w:before="0" w:after="0"/>
              <w:jc w:val="left"/>
              <w:rPr>
                <w:sz w:val="24"/>
                <w:szCs w:val="24"/>
              </w:rPr>
            </w:pPr>
            <w:r>
              <w:rPr>
                <w:sz w:val="24"/>
                <w:szCs w:val="24"/>
              </w:rPr>
              <w:t>Tools</w:t>
            </w:r>
          </w:p>
        </w:tc>
        <w:tc>
          <w:tcPr>
            <w:tcW w:w="7621" w:type="dxa"/>
            <w:gridSpan w:val="3"/>
            <w:tcBorders>
              <w:top w:val="single" w:sz="6" w:space="0" w:color="auto"/>
              <w:left w:val="single" w:sz="6" w:space="0" w:color="auto"/>
              <w:bottom w:val="single" w:sz="6" w:space="0" w:color="auto"/>
              <w:right w:val="single" w:sz="6" w:space="0" w:color="auto"/>
            </w:tcBorders>
          </w:tcPr>
          <w:p w14:paraId="1CF9AD6C" w14:textId="77777777" w:rsidR="000C1F5E" w:rsidRPr="0082035B" w:rsidRDefault="000C1F5E" w:rsidP="00F8181D">
            <w:pPr>
              <w:pStyle w:val="BodyText"/>
              <w:rPr>
                <w:rFonts w:ascii="Times New Roman" w:hAnsi="Times New Roman" w:cs="Times New Roman"/>
                <w:sz w:val="24"/>
                <w:szCs w:val="24"/>
              </w:rPr>
            </w:pPr>
            <w:r w:rsidRPr="0082035B">
              <w:rPr>
                <w:rFonts w:ascii="Times New Roman" w:hAnsi="Times New Roman" w:cs="Times New Roman"/>
                <w:sz w:val="24"/>
                <w:szCs w:val="24"/>
              </w:rPr>
              <w:t>The following elements participate in this use case:</w:t>
            </w:r>
          </w:p>
          <w:p w14:paraId="317ED6E9" w14:textId="77777777" w:rsidR="000C1F5E" w:rsidRPr="0082035B" w:rsidRDefault="000C1F5E" w:rsidP="00A24280">
            <w:pPr>
              <w:pStyle w:val="BodyText"/>
              <w:numPr>
                <w:ilvl w:val="0"/>
                <w:numId w:val="21"/>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rPr>
            </w:pPr>
            <w:r w:rsidRPr="0082035B">
              <w:rPr>
                <w:rFonts w:ascii="Times New Roman" w:hAnsi="Times New Roman" w:cs="Times New Roman"/>
                <w:sz w:val="24"/>
                <w:szCs w:val="24"/>
              </w:rPr>
              <w:t>DFC API (see submission of the API by eCurrency to this standards organization) for use by the Actors’ computer systems</w:t>
            </w:r>
          </w:p>
          <w:p w14:paraId="6A0777D7" w14:textId="77777777" w:rsidR="000C1F5E" w:rsidRPr="0082035B" w:rsidRDefault="000C1F5E" w:rsidP="00A24280">
            <w:pPr>
              <w:pStyle w:val="BodyText"/>
              <w:numPr>
                <w:ilvl w:val="0"/>
                <w:numId w:val="21"/>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rPr>
            </w:pPr>
            <w:r w:rsidRPr="0082035B">
              <w:rPr>
                <w:rFonts w:ascii="Times New Roman" w:hAnsi="Times New Roman" w:cs="Times New Roman"/>
                <w:sz w:val="24"/>
                <w:szCs w:val="24"/>
              </w:rPr>
              <w:t>DFC management user interface for use by the Actors</w:t>
            </w:r>
          </w:p>
          <w:p w14:paraId="3B8D7315" w14:textId="77777777" w:rsidR="000C1F5E" w:rsidRPr="0082035B" w:rsidRDefault="000C1F5E" w:rsidP="00A24280">
            <w:pPr>
              <w:pStyle w:val="BodyText"/>
              <w:numPr>
                <w:ilvl w:val="0"/>
                <w:numId w:val="21"/>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rPr>
            </w:pPr>
            <w:r w:rsidRPr="0082035B">
              <w:rPr>
                <w:rFonts w:ascii="Times New Roman" w:hAnsi="Times New Roman" w:cs="Times New Roman"/>
                <w:sz w:val="24"/>
                <w:szCs w:val="24"/>
              </w:rPr>
              <w:t>eCurrency cryptographic appliances for storage of, and transacting with, the DFC value tokens</w:t>
            </w:r>
          </w:p>
          <w:p w14:paraId="3C84CFC2" w14:textId="77777777" w:rsidR="000C1F5E" w:rsidRPr="0082035B" w:rsidRDefault="000C1F5E" w:rsidP="00A24280">
            <w:pPr>
              <w:pStyle w:val="BodyText"/>
              <w:numPr>
                <w:ilvl w:val="0"/>
                <w:numId w:val="21"/>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rPr>
            </w:pPr>
            <w:r w:rsidRPr="0082035B">
              <w:rPr>
                <w:rFonts w:ascii="Times New Roman" w:hAnsi="Times New Roman" w:cs="Times New Roman"/>
                <w:sz w:val="24"/>
                <w:szCs w:val="24"/>
              </w:rPr>
              <w:t>Telecommunication networks with VPN protocols and secured by mutual authentication of endpoints for sending and receiving the distributed DFC</w:t>
            </w:r>
          </w:p>
        </w:tc>
      </w:tr>
      <w:tr w:rsidR="000C1F5E" w:rsidRPr="00BC2010" w14:paraId="5070FD44" w14:textId="77777777" w:rsidTr="00F8181D">
        <w:tc>
          <w:tcPr>
            <w:tcW w:w="2152" w:type="dxa"/>
            <w:tcBorders>
              <w:top w:val="single" w:sz="6" w:space="0" w:color="auto"/>
              <w:left w:val="single" w:sz="6" w:space="0" w:color="auto"/>
              <w:bottom w:val="single" w:sz="6" w:space="0" w:color="auto"/>
              <w:right w:val="single" w:sz="6" w:space="0" w:color="auto"/>
            </w:tcBorders>
            <w:shd w:val="pct15" w:color="auto" w:fill="FFFFFF"/>
          </w:tcPr>
          <w:p w14:paraId="363E4389" w14:textId="77777777" w:rsidR="000C1F5E" w:rsidRPr="00BC2010" w:rsidRDefault="000C1F5E" w:rsidP="00F8181D">
            <w:pPr>
              <w:pStyle w:val="FigureTitle"/>
              <w:keepLines w:val="0"/>
              <w:spacing w:before="0" w:after="0"/>
              <w:jc w:val="left"/>
              <w:rPr>
                <w:sz w:val="24"/>
                <w:szCs w:val="24"/>
              </w:rPr>
            </w:pPr>
            <w:r>
              <w:rPr>
                <w:sz w:val="24"/>
                <w:szCs w:val="24"/>
              </w:rPr>
              <w:t>Outputs:</w:t>
            </w:r>
          </w:p>
        </w:tc>
        <w:tc>
          <w:tcPr>
            <w:tcW w:w="7621" w:type="dxa"/>
            <w:gridSpan w:val="3"/>
            <w:tcBorders>
              <w:top w:val="single" w:sz="6" w:space="0" w:color="auto"/>
              <w:left w:val="single" w:sz="6" w:space="0" w:color="auto"/>
              <w:bottom w:val="single" w:sz="6" w:space="0" w:color="auto"/>
              <w:right w:val="single" w:sz="6" w:space="0" w:color="auto"/>
            </w:tcBorders>
          </w:tcPr>
          <w:p w14:paraId="0DB1B517" w14:textId="77777777" w:rsidR="000C1F5E" w:rsidRPr="0082035B" w:rsidRDefault="000C1F5E" w:rsidP="00F8181D">
            <w:pPr>
              <w:pStyle w:val="BodyText"/>
              <w:rPr>
                <w:rFonts w:ascii="Times New Roman" w:hAnsi="Times New Roman" w:cs="Times New Roman"/>
                <w:sz w:val="24"/>
                <w:szCs w:val="24"/>
                <w:lang w:val="en-US"/>
              </w:rPr>
            </w:pPr>
            <w:r w:rsidRPr="0082035B">
              <w:rPr>
                <w:rFonts w:ascii="Times New Roman" w:hAnsi="Times New Roman" w:cs="Times New Roman"/>
                <w:sz w:val="24"/>
                <w:szCs w:val="24"/>
                <w:lang w:val="en-US"/>
              </w:rPr>
              <w:t>The following artefacts are generated by the process:</w:t>
            </w:r>
          </w:p>
          <w:p w14:paraId="757CF06B" w14:textId="77777777" w:rsidR="000C1F5E" w:rsidRPr="0082035B" w:rsidRDefault="000C1F5E" w:rsidP="00A24280">
            <w:pPr>
              <w:pStyle w:val="BodyText"/>
              <w:numPr>
                <w:ilvl w:val="0"/>
                <w:numId w:val="18"/>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lang w:val="en-US"/>
              </w:rPr>
            </w:pPr>
            <w:r w:rsidRPr="0082035B">
              <w:rPr>
                <w:rFonts w:ascii="Times New Roman" w:hAnsi="Times New Roman" w:cs="Times New Roman"/>
                <w:sz w:val="24"/>
                <w:szCs w:val="24"/>
                <w:lang w:val="en-US"/>
              </w:rPr>
              <w:t>Modified DFC objects representing the new values owned by the institutions represented by the Actors</w:t>
            </w:r>
          </w:p>
          <w:p w14:paraId="55203A7F" w14:textId="77777777" w:rsidR="000C1F5E" w:rsidRPr="0082035B" w:rsidRDefault="000C1F5E" w:rsidP="00A24280">
            <w:pPr>
              <w:pStyle w:val="BodyText"/>
              <w:numPr>
                <w:ilvl w:val="0"/>
                <w:numId w:val="18"/>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lang w:val="en-US"/>
              </w:rPr>
            </w:pPr>
            <w:r w:rsidRPr="0082035B">
              <w:rPr>
                <w:rFonts w:ascii="Times New Roman" w:hAnsi="Times New Roman" w:cs="Times New Roman"/>
                <w:sz w:val="24"/>
                <w:szCs w:val="24"/>
                <w:lang w:val="en-US"/>
              </w:rPr>
              <w:t xml:space="preserve">An immutable electronic record of the transactions signed by the parties for non-repudiation. </w:t>
            </w:r>
          </w:p>
        </w:tc>
      </w:tr>
    </w:tbl>
    <w:p w14:paraId="19B0FF75" w14:textId="77777777" w:rsidR="000C1F5E" w:rsidRPr="00827206" w:rsidRDefault="000C1F5E" w:rsidP="000C1F5E">
      <w:pPr>
        <w:rPr>
          <w:b/>
        </w:rPr>
      </w:pP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81"/>
      </w:tblGrid>
      <w:tr w:rsidR="000C1F5E" w:rsidRPr="00827206" w14:paraId="0F0228A1" w14:textId="77777777" w:rsidTr="00F8181D">
        <w:tc>
          <w:tcPr>
            <w:tcW w:w="9781" w:type="dxa"/>
            <w:tcBorders>
              <w:top w:val="single" w:sz="6" w:space="0" w:color="000000"/>
              <w:left w:val="single" w:sz="6" w:space="0" w:color="000000"/>
              <w:bottom w:val="single" w:sz="6" w:space="0" w:color="000000"/>
              <w:right w:val="single" w:sz="6" w:space="0" w:color="000000"/>
            </w:tcBorders>
            <w:shd w:val="clear" w:color="auto" w:fill="D9D9D9"/>
          </w:tcPr>
          <w:p w14:paraId="3644F89B" w14:textId="77777777" w:rsidR="000C1F5E" w:rsidRPr="00827206" w:rsidRDefault="000C1F5E" w:rsidP="00F8181D">
            <w:pPr>
              <w:spacing w:before="0"/>
              <w:rPr>
                <w:b/>
              </w:rPr>
            </w:pPr>
            <w:r w:rsidRPr="00827206">
              <w:rPr>
                <w:b/>
              </w:rPr>
              <w:t xml:space="preserve">Overview of the </w:t>
            </w:r>
            <w:r>
              <w:rPr>
                <w:b/>
              </w:rPr>
              <w:t>Process</w:t>
            </w:r>
          </w:p>
        </w:tc>
      </w:tr>
      <w:tr w:rsidR="000C1F5E" w:rsidRPr="00827206" w14:paraId="263EAAAC" w14:textId="77777777" w:rsidTr="00F8181D">
        <w:tc>
          <w:tcPr>
            <w:tcW w:w="9781" w:type="dxa"/>
            <w:tcBorders>
              <w:top w:val="single" w:sz="6" w:space="0" w:color="000000"/>
              <w:left w:val="single" w:sz="6" w:space="0" w:color="000000"/>
              <w:bottom w:val="single" w:sz="6" w:space="0" w:color="000000"/>
              <w:right w:val="single" w:sz="6" w:space="0" w:color="000000"/>
            </w:tcBorders>
          </w:tcPr>
          <w:p w14:paraId="60DD658E" w14:textId="77777777" w:rsidR="000C1F5E" w:rsidRPr="0082035B" w:rsidRDefault="000C1F5E" w:rsidP="00F8181D">
            <w:pPr>
              <w:jc w:val="both"/>
              <w:rPr>
                <w:szCs w:val="24"/>
              </w:rPr>
            </w:pPr>
            <w:r w:rsidRPr="0082035B">
              <w:rPr>
                <w:szCs w:val="24"/>
              </w:rPr>
              <w:t>In the UI driven case (human intervention within he DFC system), the process proceeds as follows:</w:t>
            </w:r>
          </w:p>
          <w:p w14:paraId="288DD3DA" w14:textId="77777777" w:rsidR="000C1F5E" w:rsidRPr="0082035B" w:rsidRDefault="000C1F5E" w:rsidP="00A24280">
            <w:pPr>
              <w:pStyle w:val="ListParagraph"/>
              <w:numPr>
                <w:ilvl w:val="0"/>
                <w:numId w:val="19"/>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82035B">
              <w:rPr>
                <w:rFonts w:ascii="Times New Roman" w:hAnsi="Times New Roman" w:cs="Times New Roman"/>
                <w:sz w:val="24"/>
                <w:szCs w:val="24"/>
              </w:rPr>
              <w:t>The actors representing DFC requestor initiate the DFC request through the DFC UI</w:t>
            </w:r>
          </w:p>
          <w:p w14:paraId="64050ECF" w14:textId="77777777" w:rsidR="000C1F5E" w:rsidRPr="0082035B" w:rsidRDefault="000C1F5E" w:rsidP="00A24280">
            <w:pPr>
              <w:pStyle w:val="ListParagraph"/>
              <w:numPr>
                <w:ilvl w:val="0"/>
                <w:numId w:val="19"/>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82035B">
              <w:rPr>
                <w:rFonts w:ascii="Times New Roman" w:hAnsi="Times New Roman" w:cs="Times New Roman"/>
                <w:sz w:val="24"/>
                <w:szCs w:val="24"/>
              </w:rPr>
              <w:t>The request enters the requestor’s workflow and is approved. The request may contain attachments to document its validity. It is electronically signed by the workflow participants.</w:t>
            </w:r>
          </w:p>
          <w:p w14:paraId="31161961" w14:textId="77777777" w:rsidR="000C1F5E" w:rsidRPr="0082035B" w:rsidRDefault="000C1F5E" w:rsidP="00A24280">
            <w:pPr>
              <w:pStyle w:val="ListParagraph"/>
              <w:numPr>
                <w:ilvl w:val="0"/>
                <w:numId w:val="19"/>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82035B">
              <w:rPr>
                <w:rFonts w:ascii="Times New Roman" w:hAnsi="Times New Roman" w:cs="Times New Roman"/>
                <w:sz w:val="24"/>
                <w:szCs w:val="24"/>
              </w:rPr>
              <w:t>The approved request is automatically submitted to the identified grantor through the secure network</w:t>
            </w:r>
          </w:p>
          <w:p w14:paraId="37D87395" w14:textId="77777777" w:rsidR="000C1F5E" w:rsidRPr="0082035B" w:rsidRDefault="000C1F5E" w:rsidP="00A24280">
            <w:pPr>
              <w:pStyle w:val="ListParagraph"/>
              <w:numPr>
                <w:ilvl w:val="0"/>
                <w:numId w:val="19"/>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82035B">
              <w:rPr>
                <w:rFonts w:ascii="Times New Roman" w:hAnsi="Times New Roman" w:cs="Times New Roman"/>
                <w:sz w:val="24"/>
                <w:szCs w:val="24"/>
              </w:rPr>
              <w:t>The request enters grantor’s workflow</w:t>
            </w:r>
          </w:p>
          <w:p w14:paraId="05D6F0B3" w14:textId="77777777" w:rsidR="000C1F5E" w:rsidRPr="0082035B" w:rsidRDefault="000C1F5E" w:rsidP="00A24280">
            <w:pPr>
              <w:pStyle w:val="ListParagraph"/>
              <w:numPr>
                <w:ilvl w:val="0"/>
                <w:numId w:val="19"/>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82035B">
              <w:rPr>
                <w:rFonts w:ascii="Times New Roman" w:hAnsi="Times New Roman" w:cs="Times New Roman"/>
                <w:sz w:val="24"/>
                <w:szCs w:val="24"/>
              </w:rPr>
              <w:t>The grantor verifies the validity of the pledged assets used to purchase DFC and grants the request</w:t>
            </w:r>
          </w:p>
          <w:p w14:paraId="21DCC724" w14:textId="77777777" w:rsidR="000C1F5E" w:rsidRPr="0082035B" w:rsidRDefault="000C1F5E" w:rsidP="00A24280">
            <w:pPr>
              <w:pStyle w:val="ListParagraph"/>
              <w:numPr>
                <w:ilvl w:val="0"/>
                <w:numId w:val="19"/>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82035B">
              <w:rPr>
                <w:rFonts w:ascii="Times New Roman" w:hAnsi="Times New Roman" w:cs="Times New Roman"/>
                <w:sz w:val="24"/>
                <w:szCs w:val="24"/>
              </w:rPr>
              <w:t>DFC transaction effecting the transfer of DFC from the grantor to the requestor is performed using the DFC cryptographic appliances</w:t>
            </w:r>
          </w:p>
          <w:p w14:paraId="2DD067D4" w14:textId="77777777" w:rsidR="000C1F5E" w:rsidRPr="0082035B" w:rsidRDefault="000C1F5E" w:rsidP="00A24280">
            <w:pPr>
              <w:pStyle w:val="ListParagraph"/>
              <w:numPr>
                <w:ilvl w:val="0"/>
                <w:numId w:val="19"/>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82035B">
              <w:rPr>
                <w:rFonts w:ascii="Times New Roman" w:hAnsi="Times New Roman" w:cs="Times New Roman"/>
                <w:sz w:val="24"/>
                <w:szCs w:val="24"/>
              </w:rPr>
              <w:t>An electronic record of the transaction signed by all the participating parties is created and stored. The record is made available to the transacting parties per their policy.</w:t>
            </w:r>
          </w:p>
          <w:p w14:paraId="2F2BE8E3" w14:textId="77777777" w:rsidR="000C1F5E" w:rsidRPr="0082035B" w:rsidRDefault="000C1F5E" w:rsidP="00F8181D">
            <w:pPr>
              <w:jc w:val="both"/>
              <w:rPr>
                <w:szCs w:val="24"/>
              </w:rPr>
            </w:pPr>
            <w:r w:rsidRPr="0082035B">
              <w:rPr>
                <w:szCs w:val="24"/>
              </w:rPr>
              <w:t>In the API driven case the process is largely the same except some steps are assumed to be executed outside of the DFC system. Different mixes of UI and API initiated events are possible. For example:</w:t>
            </w:r>
          </w:p>
          <w:p w14:paraId="42922122" w14:textId="77777777" w:rsidR="000C1F5E" w:rsidRPr="0082035B" w:rsidRDefault="000C1F5E" w:rsidP="00A24280">
            <w:pPr>
              <w:pStyle w:val="ListParagraph"/>
              <w:numPr>
                <w:ilvl w:val="0"/>
                <w:numId w:val="22"/>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82035B">
              <w:rPr>
                <w:rFonts w:ascii="Times New Roman" w:hAnsi="Times New Roman" w:cs="Times New Roman"/>
                <w:sz w:val="24"/>
                <w:szCs w:val="24"/>
              </w:rPr>
              <w:t>Points (1) and (2) above are executed outside of the DFC system</w:t>
            </w:r>
          </w:p>
          <w:p w14:paraId="7B0DF8EE" w14:textId="77777777" w:rsidR="000C1F5E" w:rsidRPr="0082035B" w:rsidRDefault="000C1F5E" w:rsidP="00A24280">
            <w:pPr>
              <w:pStyle w:val="ListParagraph"/>
              <w:numPr>
                <w:ilvl w:val="0"/>
                <w:numId w:val="22"/>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82035B">
              <w:rPr>
                <w:rFonts w:ascii="Times New Roman" w:hAnsi="Times New Roman" w:cs="Times New Roman"/>
                <w:sz w:val="24"/>
                <w:szCs w:val="24"/>
              </w:rPr>
              <w:t>Point (3) is initiated by the DFC API call</w:t>
            </w:r>
          </w:p>
          <w:p w14:paraId="6213ABA9" w14:textId="77777777" w:rsidR="000C1F5E" w:rsidRPr="0082035B" w:rsidRDefault="000C1F5E" w:rsidP="00A24280">
            <w:pPr>
              <w:pStyle w:val="ListParagraph"/>
              <w:numPr>
                <w:ilvl w:val="0"/>
                <w:numId w:val="22"/>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82035B">
              <w:rPr>
                <w:rFonts w:ascii="Times New Roman" w:hAnsi="Times New Roman" w:cs="Times New Roman"/>
                <w:sz w:val="24"/>
                <w:szCs w:val="24"/>
              </w:rPr>
              <w:t>Various aspects of (4) and (5) are executed outside of the DFC system, for example by a core banking system.</w:t>
            </w:r>
          </w:p>
          <w:p w14:paraId="3E74E9EB" w14:textId="3D6AC633" w:rsidR="000C1F5E" w:rsidRPr="0082035B" w:rsidRDefault="000C1F5E" w:rsidP="00A24280">
            <w:pPr>
              <w:pStyle w:val="ListParagraph"/>
              <w:numPr>
                <w:ilvl w:val="0"/>
                <w:numId w:val="22"/>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82035B">
              <w:rPr>
                <w:rFonts w:ascii="Times New Roman" w:hAnsi="Times New Roman" w:cs="Times New Roman"/>
                <w:sz w:val="24"/>
                <w:szCs w:val="24"/>
              </w:rPr>
              <w:t>Point (6) can be initiated by the DFC API call from grantor’s other computer systems</w:t>
            </w:r>
          </w:p>
        </w:tc>
      </w:tr>
    </w:tbl>
    <w:p w14:paraId="4D265B34" w14:textId="77777777" w:rsidR="000C1F5E" w:rsidRPr="00827206" w:rsidRDefault="000C1F5E" w:rsidP="000C1F5E">
      <w:pPr>
        <w:rPr>
          <w:b/>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73"/>
      </w:tblGrid>
      <w:tr w:rsidR="000C1F5E" w:rsidRPr="00827206" w14:paraId="4E5ABB6E" w14:textId="77777777" w:rsidTr="00F8181D">
        <w:trPr>
          <w:trHeight w:val="280"/>
        </w:trPr>
        <w:tc>
          <w:tcPr>
            <w:tcW w:w="9773" w:type="dxa"/>
            <w:tcBorders>
              <w:top w:val="single" w:sz="6" w:space="0" w:color="000000"/>
              <w:left w:val="single" w:sz="6" w:space="0" w:color="000000"/>
              <w:bottom w:val="nil"/>
              <w:right w:val="single" w:sz="6" w:space="0" w:color="000000"/>
            </w:tcBorders>
            <w:shd w:val="clear" w:color="auto" w:fill="D9D9D9"/>
          </w:tcPr>
          <w:p w14:paraId="5385C81C" w14:textId="77777777" w:rsidR="000C1F5E" w:rsidRPr="00827206" w:rsidRDefault="000C1F5E" w:rsidP="00F8181D">
            <w:pPr>
              <w:spacing w:before="0"/>
              <w:rPr>
                <w:b/>
              </w:rPr>
            </w:pPr>
            <w:r w:rsidRPr="00827206">
              <w:rPr>
                <w:b/>
              </w:rPr>
              <w:t>Process schem</w:t>
            </w:r>
            <w:r>
              <w:rPr>
                <w:b/>
              </w:rPr>
              <w:t>atic</w:t>
            </w:r>
          </w:p>
        </w:tc>
      </w:tr>
      <w:tr w:rsidR="000C1F5E" w:rsidRPr="00827206" w14:paraId="546A0D67" w14:textId="77777777" w:rsidTr="00F8181D">
        <w:trPr>
          <w:trHeight w:val="540"/>
        </w:trPr>
        <w:tc>
          <w:tcPr>
            <w:tcW w:w="9773" w:type="dxa"/>
            <w:tcBorders>
              <w:top w:val="single" w:sz="6" w:space="0" w:color="000000"/>
              <w:left w:val="single" w:sz="6" w:space="0" w:color="000000"/>
              <w:bottom w:val="single" w:sz="6" w:space="0" w:color="000000"/>
              <w:right w:val="single" w:sz="6" w:space="0" w:color="000000"/>
            </w:tcBorders>
          </w:tcPr>
          <w:p w14:paraId="09D53BF6" w14:textId="77777777" w:rsidR="000C1F5E" w:rsidRPr="00827206" w:rsidRDefault="000C1F5E" w:rsidP="00F8181D">
            <w:pPr>
              <w:rPr>
                <w:color w:val="0000FF"/>
              </w:rPr>
            </w:pPr>
            <w:r w:rsidRPr="00827206">
              <w:rPr>
                <w:color w:val="0000FF"/>
              </w:rPr>
              <w:t xml:space="preserve"> </w:t>
            </w:r>
            <w:r>
              <w:rPr>
                <w:noProof/>
                <w:color w:val="0000FF"/>
                <w:lang w:eastAsia="en-GB"/>
              </w:rPr>
              <w:drawing>
                <wp:inline distT="0" distB="0" distL="0" distR="0" wp14:anchorId="52FEE8CE" wp14:editId="1835F597">
                  <wp:extent cx="6059805" cy="3367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5-25 at 13.31.29 .png"/>
                          <pic:cNvPicPr/>
                        </pic:nvPicPr>
                        <pic:blipFill>
                          <a:blip r:embed="rId77">
                            <a:extLst>
                              <a:ext uri="{28A0092B-C50C-407E-A947-70E740481C1C}">
                                <a14:useLocalDpi xmlns:a14="http://schemas.microsoft.com/office/drawing/2010/main" val="0"/>
                              </a:ext>
                            </a:extLst>
                          </a:blip>
                          <a:stretch>
                            <a:fillRect/>
                          </a:stretch>
                        </pic:blipFill>
                        <pic:spPr>
                          <a:xfrm>
                            <a:off x="0" y="0"/>
                            <a:ext cx="6059805" cy="3367405"/>
                          </a:xfrm>
                          <a:prstGeom prst="rect">
                            <a:avLst/>
                          </a:prstGeom>
                        </pic:spPr>
                      </pic:pic>
                    </a:graphicData>
                  </a:graphic>
                </wp:inline>
              </w:drawing>
            </w:r>
          </w:p>
        </w:tc>
      </w:tr>
    </w:tbl>
    <w:p w14:paraId="03911BBD" w14:textId="77777777" w:rsidR="000C1F5E" w:rsidRDefault="000C1F5E" w:rsidP="000C1F5E">
      <w:pPr>
        <w:rPr>
          <w:b/>
        </w:rPr>
      </w:pP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81"/>
      </w:tblGrid>
      <w:tr w:rsidR="000C1F5E" w:rsidRPr="00827206" w14:paraId="201CAF86" w14:textId="77777777" w:rsidTr="00F8181D">
        <w:tc>
          <w:tcPr>
            <w:tcW w:w="9781" w:type="dxa"/>
            <w:tcBorders>
              <w:top w:val="single" w:sz="6" w:space="0" w:color="000000"/>
              <w:left w:val="single" w:sz="6" w:space="0" w:color="000000"/>
              <w:bottom w:val="single" w:sz="6" w:space="0" w:color="000000"/>
              <w:right w:val="single" w:sz="6" w:space="0" w:color="000000"/>
            </w:tcBorders>
            <w:shd w:val="clear" w:color="auto" w:fill="D9D9D9"/>
          </w:tcPr>
          <w:p w14:paraId="70E1C3AD" w14:textId="77777777" w:rsidR="000C1F5E" w:rsidRPr="00827206" w:rsidRDefault="000C1F5E" w:rsidP="00F8181D">
            <w:pPr>
              <w:spacing w:before="0"/>
              <w:rPr>
                <w:b/>
              </w:rPr>
            </w:pPr>
            <w:r>
              <w:rPr>
                <w:b/>
              </w:rPr>
              <w:t>Implementation dependencies</w:t>
            </w:r>
          </w:p>
        </w:tc>
      </w:tr>
      <w:tr w:rsidR="000C1F5E" w:rsidRPr="00827206" w14:paraId="0936CA31" w14:textId="77777777" w:rsidTr="00F8181D">
        <w:tc>
          <w:tcPr>
            <w:tcW w:w="9781" w:type="dxa"/>
            <w:tcBorders>
              <w:top w:val="single" w:sz="6" w:space="0" w:color="000000"/>
              <w:left w:val="single" w:sz="6" w:space="0" w:color="000000"/>
              <w:bottom w:val="single" w:sz="6" w:space="0" w:color="000000"/>
              <w:right w:val="single" w:sz="6" w:space="0" w:color="000000"/>
            </w:tcBorders>
          </w:tcPr>
          <w:p w14:paraId="07865BE9" w14:textId="77777777" w:rsidR="000C1F5E" w:rsidRDefault="000C1F5E" w:rsidP="00F8181D">
            <w:pPr>
              <w:spacing w:after="60"/>
            </w:pPr>
            <w:r>
              <w:t>A variety of technologies can be used to implement this use case. Discussion of possible implementation techniques is beyond the scope of this use case definition.</w:t>
            </w:r>
          </w:p>
          <w:p w14:paraId="48809DE9" w14:textId="77777777" w:rsidR="000C1F5E" w:rsidRPr="00D03E78" w:rsidRDefault="000C1F5E" w:rsidP="00F8181D">
            <w:pPr>
              <w:spacing w:after="60"/>
            </w:pPr>
            <w:r>
              <w:t>In the commercial implementation of this use case, the role of the central bank is played by RCBC.</w:t>
            </w:r>
          </w:p>
        </w:tc>
      </w:tr>
    </w:tbl>
    <w:p w14:paraId="15F76569" w14:textId="77777777" w:rsidR="000C1F5E" w:rsidRPr="003A1875" w:rsidRDefault="000C1F5E" w:rsidP="00C55ACB">
      <w:pPr>
        <w:rPr>
          <w:b/>
        </w:rPr>
      </w:pPr>
    </w:p>
    <w:p w14:paraId="70DE5619" w14:textId="164D12D2" w:rsidR="000C1F5E" w:rsidRPr="00BA50B9" w:rsidRDefault="000C1F5E" w:rsidP="005157BE">
      <w:pPr>
        <w:pStyle w:val="Heading3"/>
        <w:numPr>
          <w:ilvl w:val="0"/>
          <w:numId w:val="0"/>
        </w:numPr>
        <w:ind w:left="720" w:hanging="720"/>
      </w:pPr>
      <w:bookmarkStart w:id="78" w:name="_Toc12961938"/>
      <w:bookmarkStart w:id="79" w:name="_Toc14190303"/>
      <w:r w:rsidRPr="003A1875">
        <w:t>E-Piso Use Case</w:t>
      </w:r>
      <w:r>
        <w:t>:</w:t>
      </w:r>
      <w:r w:rsidRPr="003A1875">
        <w:t xml:space="preserve"> Transacti</w:t>
      </w:r>
      <w:r>
        <w:t>ng in DFC</w:t>
      </w:r>
      <w:bookmarkEnd w:id="78"/>
      <w:bookmarkEnd w:id="79"/>
    </w:p>
    <w:tbl>
      <w:tblPr>
        <w:tblpPr w:leftFromText="180" w:rightFromText="180" w:vertAnchor="text" w:horzAnchor="margin" w:tblpY="147"/>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32"/>
        <w:gridCol w:w="2996"/>
        <w:gridCol w:w="2319"/>
        <w:gridCol w:w="2126"/>
      </w:tblGrid>
      <w:tr w:rsidR="000C1F5E" w:rsidRPr="00BC2010" w14:paraId="58B3C0FE" w14:textId="77777777" w:rsidTr="00F8181D">
        <w:tc>
          <w:tcPr>
            <w:tcW w:w="9773" w:type="dxa"/>
            <w:gridSpan w:val="4"/>
            <w:tcBorders>
              <w:top w:val="single" w:sz="6" w:space="0" w:color="auto"/>
              <w:left w:val="single" w:sz="6" w:space="0" w:color="auto"/>
              <w:bottom w:val="single" w:sz="6" w:space="0" w:color="auto"/>
              <w:right w:val="single" w:sz="6" w:space="0" w:color="auto"/>
            </w:tcBorders>
            <w:shd w:val="pct15" w:color="auto" w:fill="FFFFFF"/>
            <w:hideMark/>
          </w:tcPr>
          <w:p w14:paraId="1C99F0B3" w14:textId="77777777" w:rsidR="000C1F5E" w:rsidRPr="00BC2010" w:rsidRDefault="000C1F5E" w:rsidP="00F8181D">
            <w:pPr>
              <w:pStyle w:val="FigureTitle"/>
              <w:keepLines w:val="0"/>
              <w:spacing w:before="0" w:after="0"/>
              <w:rPr>
                <w:sz w:val="24"/>
                <w:szCs w:val="24"/>
              </w:rPr>
            </w:pPr>
            <w:r w:rsidRPr="00BC2010">
              <w:rPr>
                <w:sz w:val="24"/>
                <w:szCs w:val="24"/>
              </w:rPr>
              <w:t xml:space="preserve">Use Case </w:t>
            </w:r>
            <w:r>
              <w:rPr>
                <w:sz w:val="24"/>
                <w:szCs w:val="24"/>
              </w:rPr>
              <w:t>Summary</w:t>
            </w:r>
          </w:p>
        </w:tc>
      </w:tr>
      <w:tr w:rsidR="000C1F5E" w:rsidRPr="00BC2010" w14:paraId="5DCFB5A1"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02FFB26F" w14:textId="77777777" w:rsidR="000C1F5E" w:rsidRPr="00BC2010" w:rsidRDefault="000C1F5E" w:rsidP="00F8181D">
            <w:pPr>
              <w:pStyle w:val="FigureTitle"/>
              <w:keepLines w:val="0"/>
              <w:spacing w:before="0" w:after="0"/>
              <w:jc w:val="left"/>
              <w:rPr>
                <w:sz w:val="24"/>
                <w:szCs w:val="24"/>
              </w:rPr>
            </w:pPr>
            <w:r w:rsidRPr="00BC2010">
              <w:rPr>
                <w:sz w:val="24"/>
                <w:szCs w:val="24"/>
              </w:rPr>
              <w:t>Use Case ID:</w:t>
            </w:r>
          </w:p>
        </w:tc>
        <w:tc>
          <w:tcPr>
            <w:tcW w:w="2996" w:type="dxa"/>
            <w:tcBorders>
              <w:top w:val="single" w:sz="6" w:space="0" w:color="auto"/>
              <w:left w:val="single" w:sz="6" w:space="0" w:color="auto"/>
              <w:bottom w:val="single" w:sz="6" w:space="0" w:color="auto"/>
              <w:right w:val="single" w:sz="6" w:space="0" w:color="auto"/>
            </w:tcBorders>
            <w:hideMark/>
          </w:tcPr>
          <w:p w14:paraId="266CFDDB" w14:textId="77777777" w:rsidR="000C1F5E" w:rsidRPr="00BC2010" w:rsidRDefault="000C1F5E" w:rsidP="00F8181D">
            <w:pPr>
              <w:pStyle w:val="BodyText"/>
              <w:rPr>
                <w:lang w:val="en-US"/>
              </w:rPr>
            </w:pPr>
          </w:p>
        </w:tc>
        <w:tc>
          <w:tcPr>
            <w:tcW w:w="2319" w:type="dxa"/>
            <w:tcBorders>
              <w:top w:val="single" w:sz="6" w:space="0" w:color="auto"/>
              <w:left w:val="single" w:sz="6" w:space="0" w:color="auto"/>
              <w:bottom w:val="single" w:sz="6" w:space="0" w:color="auto"/>
              <w:right w:val="single" w:sz="6" w:space="0" w:color="auto"/>
            </w:tcBorders>
            <w:shd w:val="pct15" w:color="auto" w:fill="FFFFFF"/>
            <w:hideMark/>
          </w:tcPr>
          <w:p w14:paraId="3E537082" w14:textId="77777777" w:rsidR="000C1F5E" w:rsidRPr="00BC2010" w:rsidRDefault="000C1F5E" w:rsidP="00F8181D">
            <w:pPr>
              <w:pStyle w:val="FigureTitle"/>
              <w:keepLines w:val="0"/>
              <w:spacing w:before="0" w:after="0"/>
              <w:jc w:val="left"/>
              <w:rPr>
                <w:sz w:val="24"/>
                <w:szCs w:val="24"/>
              </w:rPr>
            </w:pPr>
            <w:r w:rsidRPr="00BC2010">
              <w:rPr>
                <w:sz w:val="24"/>
                <w:szCs w:val="24"/>
              </w:rPr>
              <w:t>Use Case Type:</w:t>
            </w:r>
          </w:p>
        </w:tc>
        <w:tc>
          <w:tcPr>
            <w:tcW w:w="2126" w:type="dxa"/>
            <w:tcBorders>
              <w:top w:val="single" w:sz="6" w:space="0" w:color="auto"/>
              <w:left w:val="single" w:sz="6" w:space="0" w:color="auto"/>
              <w:bottom w:val="single" w:sz="6" w:space="0" w:color="auto"/>
              <w:right w:val="single" w:sz="6" w:space="0" w:color="auto"/>
            </w:tcBorders>
          </w:tcPr>
          <w:p w14:paraId="221013AE" w14:textId="77777777" w:rsidR="000C1F5E" w:rsidRPr="00703E67" w:rsidRDefault="000C1F5E" w:rsidP="00F8181D">
            <w:pPr>
              <w:pStyle w:val="FigureTitle"/>
              <w:keepLines w:val="0"/>
              <w:spacing w:before="0" w:after="0"/>
              <w:jc w:val="left"/>
              <w:rPr>
                <w:b w:val="0"/>
                <w:sz w:val="24"/>
                <w:szCs w:val="24"/>
              </w:rPr>
            </w:pPr>
          </w:p>
        </w:tc>
      </w:tr>
      <w:tr w:rsidR="000C1F5E" w:rsidRPr="00BC2010" w14:paraId="7224C086" w14:textId="77777777" w:rsidTr="00F8181D">
        <w:tc>
          <w:tcPr>
            <w:tcW w:w="233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477BCE8" w14:textId="77777777" w:rsidR="000C1F5E" w:rsidRPr="00A60C72" w:rsidRDefault="000C1F5E" w:rsidP="00F8181D">
            <w:pPr>
              <w:pStyle w:val="FigureTitle"/>
              <w:keepLines w:val="0"/>
              <w:tabs>
                <w:tab w:val="left" w:pos="1944"/>
              </w:tabs>
              <w:spacing w:before="0" w:after="0"/>
              <w:jc w:val="left"/>
              <w:rPr>
                <w:sz w:val="24"/>
                <w:szCs w:val="24"/>
              </w:rPr>
            </w:pPr>
            <w:r>
              <w:rPr>
                <w:sz w:val="24"/>
                <w:szCs w:val="24"/>
              </w:rPr>
              <w:t>Submission Date</w:t>
            </w:r>
            <w:r w:rsidRPr="00A60C72">
              <w:rPr>
                <w:sz w:val="24"/>
                <w:szCs w:val="24"/>
              </w:rPr>
              <w:t>:</w:t>
            </w:r>
            <w:r>
              <w:rPr>
                <w:sz w:val="24"/>
                <w:szCs w:val="24"/>
              </w:rPr>
              <w:tab/>
            </w:r>
          </w:p>
        </w:tc>
        <w:tc>
          <w:tcPr>
            <w:tcW w:w="2996" w:type="dxa"/>
            <w:tcBorders>
              <w:top w:val="single" w:sz="6" w:space="0" w:color="auto"/>
              <w:left w:val="single" w:sz="6" w:space="0" w:color="auto"/>
              <w:bottom w:val="single" w:sz="6" w:space="0" w:color="auto"/>
              <w:right w:val="single" w:sz="6" w:space="0" w:color="auto"/>
            </w:tcBorders>
            <w:shd w:val="clear" w:color="auto" w:fill="auto"/>
          </w:tcPr>
          <w:p w14:paraId="0096B47A" w14:textId="77777777" w:rsidR="000C1F5E" w:rsidRPr="00703E67" w:rsidRDefault="000C1F5E" w:rsidP="00F8181D">
            <w:pPr>
              <w:pStyle w:val="FigureTitle"/>
              <w:keepLines w:val="0"/>
              <w:tabs>
                <w:tab w:val="left" w:pos="1944"/>
              </w:tabs>
              <w:spacing w:before="0" w:after="0"/>
              <w:jc w:val="left"/>
              <w:rPr>
                <w:b w:val="0"/>
                <w:sz w:val="24"/>
                <w:szCs w:val="24"/>
              </w:rPr>
            </w:pPr>
            <w:r>
              <w:rPr>
                <w:b w:val="0"/>
                <w:sz w:val="24"/>
                <w:szCs w:val="24"/>
              </w:rPr>
              <w:t>13 June,</w:t>
            </w:r>
            <w:r w:rsidRPr="00703E67">
              <w:rPr>
                <w:b w:val="0"/>
                <w:sz w:val="24"/>
                <w:szCs w:val="24"/>
              </w:rPr>
              <w:t xml:space="preserve"> 201</w:t>
            </w:r>
            <w:r>
              <w:rPr>
                <w:b w:val="0"/>
                <w:sz w:val="24"/>
                <w:szCs w:val="24"/>
              </w:rPr>
              <w:t>9</w:t>
            </w:r>
          </w:p>
        </w:tc>
        <w:tc>
          <w:tcPr>
            <w:tcW w:w="2319" w:type="dxa"/>
            <w:tcBorders>
              <w:top w:val="single" w:sz="6" w:space="0" w:color="auto"/>
              <w:left w:val="single" w:sz="6" w:space="0" w:color="auto"/>
              <w:bottom w:val="single" w:sz="6" w:space="0" w:color="auto"/>
              <w:right w:val="single" w:sz="6" w:space="0" w:color="auto"/>
            </w:tcBorders>
            <w:shd w:val="pct15" w:color="auto" w:fill="FFFFFF"/>
          </w:tcPr>
          <w:p w14:paraId="30965588" w14:textId="77777777" w:rsidR="000C1F5E" w:rsidRPr="00BC2010" w:rsidRDefault="000C1F5E" w:rsidP="00F8181D">
            <w:pPr>
              <w:pStyle w:val="FigureTitle"/>
              <w:keepLines w:val="0"/>
              <w:spacing w:before="0" w:after="0"/>
              <w:jc w:val="left"/>
              <w:rPr>
                <w:sz w:val="24"/>
                <w:szCs w:val="24"/>
              </w:rPr>
            </w:pPr>
            <w:r>
              <w:rPr>
                <w:sz w:val="24"/>
                <w:szCs w:val="24"/>
              </w:rPr>
              <w:t>Is Use Case supporting SDGs</w:t>
            </w:r>
          </w:p>
        </w:tc>
        <w:tc>
          <w:tcPr>
            <w:tcW w:w="2126" w:type="dxa"/>
            <w:tcBorders>
              <w:top w:val="single" w:sz="6" w:space="0" w:color="auto"/>
              <w:left w:val="single" w:sz="6" w:space="0" w:color="auto"/>
              <w:bottom w:val="single" w:sz="6" w:space="0" w:color="auto"/>
              <w:right w:val="single" w:sz="6" w:space="0" w:color="auto"/>
            </w:tcBorders>
          </w:tcPr>
          <w:p w14:paraId="125C1881" w14:textId="77777777" w:rsidR="000C1F5E" w:rsidRPr="00703E67" w:rsidRDefault="000C1F5E" w:rsidP="00F8181D">
            <w:pPr>
              <w:pStyle w:val="FigureTitle"/>
              <w:keepLines w:val="0"/>
              <w:spacing w:before="0" w:after="0"/>
              <w:jc w:val="left"/>
              <w:rPr>
                <w:b w:val="0"/>
                <w:sz w:val="24"/>
                <w:szCs w:val="24"/>
              </w:rPr>
            </w:pPr>
          </w:p>
        </w:tc>
      </w:tr>
      <w:tr w:rsidR="000C1F5E" w:rsidRPr="00BC2010" w14:paraId="52B6091E"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06FACAF5" w14:textId="77777777" w:rsidR="000C1F5E" w:rsidRPr="00BC2010" w:rsidRDefault="000C1F5E" w:rsidP="00F8181D">
            <w:pPr>
              <w:pStyle w:val="FigureTitle"/>
              <w:keepLines w:val="0"/>
              <w:spacing w:before="0" w:after="0"/>
              <w:jc w:val="left"/>
              <w:rPr>
                <w:sz w:val="24"/>
                <w:szCs w:val="24"/>
              </w:rPr>
            </w:pPr>
            <w:r w:rsidRPr="00BC2010">
              <w:rPr>
                <w:sz w:val="24"/>
                <w:szCs w:val="24"/>
              </w:rPr>
              <w:t>Use Case Title:</w:t>
            </w:r>
          </w:p>
        </w:tc>
        <w:tc>
          <w:tcPr>
            <w:tcW w:w="2996" w:type="dxa"/>
            <w:tcBorders>
              <w:top w:val="single" w:sz="6" w:space="0" w:color="auto"/>
              <w:left w:val="single" w:sz="6" w:space="0" w:color="auto"/>
              <w:bottom w:val="single" w:sz="6" w:space="0" w:color="auto"/>
              <w:right w:val="single" w:sz="6" w:space="0" w:color="auto"/>
            </w:tcBorders>
          </w:tcPr>
          <w:p w14:paraId="5E48D505" w14:textId="77777777" w:rsidR="000C1F5E" w:rsidRPr="00373D83" w:rsidRDefault="000C1F5E" w:rsidP="00F8181D">
            <w:pPr>
              <w:pStyle w:val="BodyText"/>
              <w:rPr>
                <w:rFonts w:ascii="Times New Roman" w:hAnsi="Times New Roman" w:cs="Times New Roman"/>
                <w:sz w:val="24"/>
                <w:szCs w:val="24"/>
                <w:lang w:val="en-US"/>
              </w:rPr>
            </w:pPr>
            <w:r w:rsidRPr="00373D83">
              <w:rPr>
                <w:rFonts w:ascii="Times New Roman" w:hAnsi="Times New Roman" w:cs="Times New Roman"/>
                <w:sz w:val="24"/>
                <w:szCs w:val="24"/>
              </w:rPr>
              <w:t>DFC transactions</w:t>
            </w:r>
          </w:p>
        </w:tc>
        <w:tc>
          <w:tcPr>
            <w:tcW w:w="2319" w:type="dxa"/>
            <w:tcBorders>
              <w:top w:val="single" w:sz="6" w:space="0" w:color="auto"/>
              <w:left w:val="single" w:sz="6" w:space="0" w:color="auto"/>
              <w:bottom w:val="single" w:sz="6" w:space="0" w:color="auto"/>
              <w:right w:val="single" w:sz="6" w:space="0" w:color="auto"/>
            </w:tcBorders>
            <w:shd w:val="pct15" w:color="auto" w:fill="FFFFFF"/>
          </w:tcPr>
          <w:p w14:paraId="2B210D9D" w14:textId="77777777" w:rsidR="000C1F5E" w:rsidRPr="00BC2010" w:rsidRDefault="000C1F5E" w:rsidP="00F8181D">
            <w:pPr>
              <w:pStyle w:val="FigureTitle"/>
              <w:keepLines w:val="0"/>
              <w:spacing w:before="0" w:after="0"/>
              <w:jc w:val="left"/>
              <w:rPr>
                <w:sz w:val="24"/>
                <w:szCs w:val="24"/>
              </w:rPr>
            </w:pPr>
            <w:r w:rsidRPr="00BC2010">
              <w:rPr>
                <w:sz w:val="24"/>
                <w:szCs w:val="24"/>
              </w:rPr>
              <w:t>Domain:</w:t>
            </w:r>
          </w:p>
        </w:tc>
        <w:tc>
          <w:tcPr>
            <w:tcW w:w="2126" w:type="dxa"/>
            <w:tcBorders>
              <w:top w:val="single" w:sz="6" w:space="0" w:color="auto"/>
              <w:left w:val="single" w:sz="6" w:space="0" w:color="auto"/>
              <w:bottom w:val="single" w:sz="6" w:space="0" w:color="auto"/>
              <w:right w:val="single" w:sz="6" w:space="0" w:color="auto"/>
            </w:tcBorders>
          </w:tcPr>
          <w:p w14:paraId="2E140FFC" w14:textId="77777777" w:rsidR="000C1F5E" w:rsidRPr="00703E67" w:rsidRDefault="000C1F5E" w:rsidP="00F8181D">
            <w:pPr>
              <w:pStyle w:val="FigureTitle"/>
              <w:keepLines w:val="0"/>
              <w:spacing w:before="0" w:after="0"/>
              <w:jc w:val="left"/>
              <w:rPr>
                <w:b w:val="0"/>
                <w:sz w:val="24"/>
                <w:szCs w:val="24"/>
              </w:rPr>
            </w:pPr>
            <w:r>
              <w:rPr>
                <w:b w:val="0"/>
              </w:rPr>
              <w:t>Public, private, all payments P2P, P2B, G2P, G2B. B2B, G2G</w:t>
            </w:r>
          </w:p>
        </w:tc>
      </w:tr>
      <w:tr w:rsidR="000C1F5E" w:rsidRPr="00BC2010" w14:paraId="7B7C7ABB"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2C88A42F" w14:textId="77777777" w:rsidR="000C1F5E" w:rsidRPr="00BC2010" w:rsidRDefault="000C1F5E" w:rsidP="00F8181D">
            <w:pPr>
              <w:pStyle w:val="FigureTitle"/>
              <w:keepLines w:val="0"/>
              <w:spacing w:before="0" w:after="0"/>
              <w:jc w:val="left"/>
              <w:rPr>
                <w:sz w:val="24"/>
                <w:szCs w:val="24"/>
              </w:rPr>
            </w:pPr>
            <w:r>
              <w:rPr>
                <w:sz w:val="24"/>
                <w:szCs w:val="24"/>
              </w:rPr>
              <w:t>Status of Case</w:t>
            </w:r>
          </w:p>
        </w:tc>
        <w:tc>
          <w:tcPr>
            <w:tcW w:w="2996" w:type="dxa"/>
            <w:tcBorders>
              <w:top w:val="single" w:sz="6" w:space="0" w:color="auto"/>
              <w:left w:val="single" w:sz="6" w:space="0" w:color="auto"/>
              <w:bottom w:val="single" w:sz="6" w:space="0" w:color="auto"/>
              <w:right w:val="single" w:sz="6" w:space="0" w:color="auto"/>
            </w:tcBorders>
          </w:tcPr>
          <w:p w14:paraId="110F6237" w14:textId="77777777" w:rsidR="000C1F5E" w:rsidRPr="00BC2010" w:rsidRDefault="000C1F5E" w:rsidP="00F8181D">
            <w:pPr>
              <w:pStyle w:val="BodyText"/>
              <w:rPr>
                <w:lang w:val="en-US"/>
              </w:rPr>
            </w:pPr>
            <w:r>
              <w:rPr>
                <w:lang w:val="en-US"/>
              </w:rPr>
              <w:t>Commercially implemented</w:t>
            </w:r>
          </w:p>
        </w:tc>
        <w:tc>
          <w:tcPr>
            <w:tcW w:w="2319" w:type="dxa"/>
            <w:tcBorders>
              <w:top w:val="single" w:sz="6" w:space="0" w:color="auto"/>
              <w:left w:val="single" w:sz="6" w:space="0" w:color="auto"/>
              <w:bottom w:val="single" w:sz="6" w:space="0" w:color="auto"/>
              <w:right w:val="single" w:sz="6" w:space="0" w:color="auto"/>
            </w:tcBorders>
            <w:shd w:val="pct15" w:color="auto" w:fill="FFFFFF"/>
          </w:tcPr>
          <w:p w14:paraId="163781DE" w14:textId="77777777" w:rsidR="000C1F5E" w:rsidRPr="00BC2010" w:rsidRDefault="000C1F5E" w:rsidP="00F8181D">
            <w:pPr>
              <w:pStyle w:val="FigureTitle"/>
              <w:keepLines w:val="0"/>
              <w:spacing w:before="0" w:after="0"/>
              <w:jc w:val="left"/>
              <w:rPr>
                <w:sz w:val="24"/>
                <w:szCs w:val="24"/>
              </w:rPr>
            </w:pPr>
            <w:r>
              <w:rPr>
                <w:sz w:val="24"/>
                <w:szCs w:val="24"/>
              </w:rPr>
              <w:t>Sub-Domain</w:t>
            </w:r>
          </w:p>
        </w:tc>
        <w:tc>
          <w:tcPr>
            <w:tcW w:w="2126" w:type="dxa"/>
            <w:tcBorders>
              <w:top w:val="single" w:sz="6" w:space="0" w:color="auto"/>
              <w:left w:val="single" w:sz="6" w:space="0" w:color="auto"/>
              <w:bottom w:val="single" w:sz="6" w:space="0" w:color="auto"/>
              <w:right w:val="single" w:sz="6" w:space="0" w:color="auto"/>
            </w:tcBorders>
          </w:tcPr>
          <w:p w14:paraId="6A7DE9BA" w14:textId="77777777" w:rsidR="000C1F5E" w:rsidRPr="00703E67" w:rsidRDefault="000C1F5E" w:rsidP="00F8181D">
            <w:pPr>
              <w:pStyle w:val="FigureTitle"/>
              <w:keepLines w:val="0"/>
              <w:spacing w:before="0" w:after="0"/>
              <w:jc w:val="left"/>
              <w:rPr>
                <w:b w:val="0"/>
                <w:sz w:val="24"/>
                <w:szCs w:val="24"/>
              </w:rPr>
            </w:pPr>
          </w:p>
        </w:tc>
      </w:tr>
      <w:tr w:rsidR="000C1F5E" w:rsidRPr="00BC2010" w14:paraId="4630B4B6"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717D42EE" w14:textId="77777777" w:rsidR="000C1F5E" w:rsidRDefault="000C1F5E" w:rsidP="00F8181D">
            <w:pPr>
              <w:pStyle w:val="FigureTitle"/>
              <w:keepLines w:val="0"/>
              <w:spacing w:before="0" w:after="0"/>
              <w:jc w:val="left"/>
              <w:rPr>
                <w:rFonts w:cstheme="minorHAnsi"/>
                <w:color w:val="000000"/>
                <w:sz w:val="24"/>
                <w:szCs w:val="24"/>
                <w:lang w:val="en-GB"/>
              </w:rPr>
            </w:pPr>
            <w:r w:rsidRPr="0025568D">
              <w:rPr>
                <w:rFonts w:cstheme="minorHAnsi"/>
                <w:color w:val="000000"/>
                <w:sz w:val="24"/>
                <w:szCs w:val="24"/>
                <w:lang w:val="en-GB"/>
              </w:rPr>
              <w:t>Contact information of pe</w:t>
            </w:r>
            <w:r>
              <w:rPr>
                <w:rFonts w:cstheme="minorHAnsi"/>
                <w:color w:val="000000"/>
                <w:sz w:val="24"/>
                <w:szCs w:val="24"/>
                <w:lang w:val="en-GB"/>
              </w:rPr>
              <w:t>rson submitting/</w:t>
            </w:r>
          </w:p>
          <w:p w14:paraId="6D7D8CFC" w14:textId="77777777" w:rsidR="000C1F5E" w:rsidRPr="00BC2010" w:rsidRDefault="000C1F5E" w:rsidP="00F8181D">
            <w:pPr>
              <w:pStyle w:val="FigureTitle"/>
              <w:keepLines w:val="0"/>
              <w:spacing w:before="0" w:after="0"/>
              <w:jc w:val="left"/>
              <w:rPr>
                <w:sz w:val="24"/>
                <w:szCs w:val="24"/>
              </w:rPr>
            </w:pPr>
            <w:r>
              <w:rPr>
                <w:rFonts w:cstheme="minorHAnsi"/>
                <w:color w:val="000000"/>
                <w:sz w:val="24"/>
                <w:szCs w:val="24"/>
                <w:lang w:val="en-GB"/>
              </w:rPr>
              <w:t>managing the use-case</w:t>
            </w:r>
          </w:p>
        </w:tc>
        <w:tc>
          <w:tcPr>
            <w:tcW w:w="7441" w:type="dxa"/>
            <w:gridSpan w:val="3"/>
            <w:tcBorders>
              <w:top w:val="single" w:sz="6" w:space="0" w:color="auto"/>
              <w:left w:val="single" w:sz="6" w:space="0" w:color="auto"/>
              <w:bottom w:val="single" w:sz="6" w:space="0" w:color="auto"/>
              <w:right w:val="single" w:sz="6" w:space="0" w:color="auto"/>
            </w:tcBorders>
          </w:tcPr>
          <w:p w14:paraId="04968860" w14:textId="77777777" w:rsidR="000C1F5E" w:rsidRPr="00C106AC" w:rsidRDefault="000C1F5E" w:rsidP="00F8181D">
            <w:pPr>
              <w:rPr>
                <w:rFonts w:cstheme="minorHAnsi"/>
                <w:lang w:val="en-US"/>
              </w:rPr>
            </w:pPr>
            <w:r w:rsidRPr="00C106AC">
              <w:rPr>
                <w:rFonts w:cstheme="minorHAnsi"/>
                <w:lang w:val="en-US"/>
              </w:rPr>
              <w:t>Full Name: Thomas Kudrycki (eCurrency)</w:t>
            </w:r>
          </w:p>
          <w:p w14:paraId="1DFA82D9" w14:textId="77777777" w:rsidR="000C1F5E" w:rsidRPr="00703E67" w:rsidRDefault="000C1F5E" w:rsidP="00F8181D">
            <w:pPr>
              <w:rPr>
                <w:rFonts w:cstheme="minorHAnsi"/>
              </w:rPr>
            </w:pPr>
            <w:r w:rsidRPr="00703E67">
              <w:rPr>
                <w:rFonts w:cstheme="minorHAnsi"/>
              </w:rPr>
              <w:t xml:space="preserve">Job Title: </w:t>
            </w:r>
            <w:r>
              <w:rPr>
                <w:rFonts w:cstheme="minorHAnsi"/>
              </w:rPr>
              <w:t>Chief Technology Officer</w:t>
            </w:r>
          </w:p>
          <w:p w14:paraId="2E7A8C9C" w14:textId="77777777" w:rsidR="000C1F5E" w:rsidRPr="00703E67" w:rsidRDefault="000C1F5E" w:rsidP="00F8181D">
            <w:pPr>
              <w:rPr>
                <w:rFonts w:cstheme="minorHAnsi"/>
              </w:rPr>
            </w:pPr>
            <w:r w:rsidRPr="00703E67">
              <w:rPr>
                <w:rFonts w:cstheme="minorHAnsi"/>
              </w:rPr>
              <w:t xml:space="preserve">E-mail address: </w:t>
            </w:r>
            <w:r w:rsidRPr="00C106AC">
              <w:rPr>
                <w:lang w:val="en-US"/>
              </w:rPr>
              <w:t xml:space="preserve"> tom.k@ecurrency.net</w:t>
            </w:r>
          </w:p>
          <w:p w14:paraId="2E7104FB" w14:textId="77777777" w:rsidR="000C1F5E" w:rsidRPr="00703E67" w:rsidRDefault="000C1F5E" w:rsidP="00F8181D">
            <w:pPr>
              <w:rPr>
                <w:rFonts w:cstheme="minorHAnsi"/>
              </w:rPr>
            </w:pPr>
            <w:r w:rsidRPr="00703E67">
              <w:rPr>
                <w:rFonts w:cstheme="minorHAnsi"/>
              </w:rPr>
              <w:t xml:space="preserve">Telephone number: </w:t>
            </w:r>
            <w:r>
              <w:rPr>
                <w:rFonts w:cstheme="minorHAnsi"/>
              </w:rPr>
              <w:t>+1 415.235.5986</w:t>
            </w:r>
          </w:p>
          <w:p w14:paraId="40D8CF86" w14:textId="77777777" w:rsidR="000C1F5E" w:rsidRPr="00C106AC" w:rsidRDefault="000C1F5E" w:rsidP="00F8181D">
            <w:pPr>
              <w:pStyle w:val="BodyText"/>
              <w:rPr>
                <w:rFonts w:cstheme="minorHAnsi"/>
                <w:color w:val="000000"/>
                <w:szCs w:val="24"/>
                <w:lang w:val="en-US"/>
              </w:rPr>
            </w:pPr>
            <w:r w:rsidRPr="00C106AC">
              <w:rPr>
                <w:rFonts w:cstheme="minorHAnsi"/>
                <w:color w:val="000000"/>
                <w:szCs w:val="24"/>
                <w:lang w:val="en-US"/>
              </w:rPr>
              <w:t>Social media:</w:t>
            </w:r>
            <w:r w:rsidRPr="00C106AC">
              <w:rPr>
                <w:lang w:val="en-US"/>
              </w:rPr>
              <w:t xml:space="preserve"> </w:t>
            </w:r>
            <w:r>
              <w:t xml:space="preserve"> </w:t>
            </w:r>
            <w:hyperlink r:id="rId78" w:history="1">
              <w:r w:rsidRPr="00A5463D">
                <w:rPr>
                  <w:rStyle w:val="Hyperlink"/>
                </w:rPr>
                <w:t>https://www.linkedin.com/in/tkudrycki/</w:t>
              </w:r>
            </w:hyperlink>
            <w:r>
              <w:t xml:space="preserve"> </w:t>
            </w:r>
          </w:p>
          <w:p w14:paraId="589E2650" w14:textId="77777777" w:rsidR="000C1F5E" w:rsidRPr="00FE1151" w:rsidRDefault="000C1F5E" w:rsidP="00F8181D">
            <w:pPr>
              <w:pStyle w:val="BodyText"/>
              <w:rPr>
                <w:i/>
                <w:lang w:val="en-US"/>
              </w:rPr>
            </w:pPr>
            <w:r w:rsidRPr="00703E67">
              <w:rPr>
                <w:rFonts w:cstheme="minorHAnsi"/>
                <w:color w:val="000000"/>
                <w:szCs w:val="24"/>
              </w:rPr>
              <w:t xml:space="preserve">Web site: </w:t>
            </w:r>
            <w:r w:rsidRPr="00703E67">
              <w:t xml:space="preserve"> </w:t>
            </w:r>
            <w:hyperlink r:id="rId79" w:history="1">
              <w:r w:rsidRPr="00BA757A">
                <w:rPr>
                  <w:rStyle w:val="Hyperlink"/>
                  <w:rFonts w:cstheme="minorHAnsi"/>
                  <w:szCs w:val="24"/>
                </w:rPr>
                <w:t>https://www.ecurrency.net</w:t>
              </w:r>
            </w:hyperlink>
          </w:p>
        </w:tc>
      </w:tr>
      <w:tr w:rsidR="000C1F5E" w:rsidRPr="00BC2010" w14:paraId="2C4006E6"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5591884D" w14:textId="77777777" w:rsidR="000C1F5E" w:rsidRPr="00BC2010" w:rsidRDefault="000C1F5E" w:rsidP="00F8181D">
            <w:pPr>
              <w:pStyle w:val="FigureTitle"/>
              <w:keepLines w:val="0"/>
              <w:spacing w:before="0" w:after="0"/>
              <w:jc w:val="left"/>
              <w:rPr>
                <w:sz w:val="24"/>
                <w:szCs w:val="24"/>
              </w:rPr>
            </w:pPr>
            <w:r w:rsidRPr="0025568D">
              <w:rPr>
                <w:rFonts w:cstheme="minorHAnsi"/>
                <w:color w:val="000000"/>
                <w:sz w:val="24"/>
                <w:szCs w:val="24"/>
                <w:lang w:val="en-GB"/>
              </w:rPr>
              <w:t>Proposing Organization</w:t>
            </w:r>
          </w:p>
        </w:tc>
        <w:tc>
          <w:tcPr>
            <w:tcW w:w="7441" w:type="dxa"/>
            <w:gridSpan w:val="3"/>
            <w:tcBorders>
              <w:top w:val="single" w:sz="6" w:space="0" w:color="auto"/>
              <w:left w:val="single" w:sz="6" w:space="0" w:color="auto"/>
              <w:bottom w:val="single" w:sz="6" w:space="0" w:color="auto"/>
              <w:right w:val="single" w:sz="6" w:space="0" w:color="auto"/>
            </w:tcBorders>
          </w:tcPr>
          <w:p w14:paraId="4B26D82D" w14:textId="77777777" w:rsidR="000C1F5E" w:rsidRPr="00703E67" w:rsidRDefault="000C1F5E" w:rsidP="00F8181D">
            <w:pPr>
              <w:pStyle w:val="FigureTitle"/>
              <w:keepLines w:val="0"/>
              <w:spacing w:before="0" w:after="0"/>
              <w:jc w:val="left"/>
              <w:rPr>
                <w:b w:val="0"/>
                <w:sz w:val="24"/>
                <w:szCs w:val="24"/>
              </w:rPr>
            </w:pPr>
            <w:r>
              <w:rPr>
                <w:rFonts w:cstheme="minorHAnsi"/>
                <w:b w:val="0"/>
                <w:color w:val="000000"/>
                <w:sz w:val="24"/>
                <w:szCs w:val="24"/>
                <w:lang w:val="en-GB"/>
              </w:rPr>
              <w:t>eCurrency</w:t>
            </w:r>
            <w:r w:rsidRPr="00703E67">
              <w:rPr>
                <w:rFonts w:cstheme="minorHAnsi"/>
                <w:b w:val="0"/>
                <w:color w:val="000000"/>
                <w:sz w:val="24"/>
                <w:szCs w:val="24"/>
                <w:lang w:val="en-GB"/>
              </w:rPr>
              <w:t xml:space="preserve">, </w:t>
            </w:r>
            <w:r>
              <w:rPr>
                <w:rFonts w:cstheme="minorHAnsi"/>
                <w:b w:val="0"/>
                <w:color w:val="000000"/>
                <w:sz w:val="24"/>
                <w:szCs w:val="24"/>
                <w:lang w:val="en-GB"/>
              </w:rPr>
              <w:t>USA</w:t>
            </w:r>
          </w:p>
        </w:tc>
      </w:tr>
      <w:tr w:rsidR="000C1F5E" w:rsidRPr="00BC2010" w14:paraId="3EAC3365"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2F556326" w14:textId="77777777" w:rsidR="000C1F5E" w:rsidRPr="00BC2010" w:rsidRDefault="000C1F5E" w:rsidP="00F8181D">
            <w:pPr>
              <w:pStyle w:val="FigureTitle"/>
              <w:keepLines w:val="0"/>
              <w:spacing w:before="0" w:after="0"/>
              <w:jc w:val="left"/>
              <w:rPr>
                <w:sz w:val="24"/>
                <w:szCs w:val="24"/>
              </w:rPr>
            </w:pPr>
            <w:r w:rsidRPr="0025568D">
              <w:rPr>
                <w:rFonts w:cstheme="minorHAnsi"/>
                <w:color w:val="000000"/>
                <w:sz w:val="24"/>
                <w:szCs w:val="24"/>
                <w:lang w:val="en-GB"/>
              </w:rPr>
              <w:t>Short Description</w:t>
            </w:r>
          </w:p>
        </w:tc>
        <w:tc>
          <w:tcPr>
            <w:tcW w:w="7441" w:type="dxa"/>
            <w:gridSpan w:val="3"/>
            <w:tcBorders>
              <w:top w:val="single" w:sz="6" w:space="0" w:color="auto"/>
              <w:left w:val="single" w:sz="6" w:space="0" w:color="auto"/>
              <w:bottom w:val="single" w:sz="6" w:space="0" w:color="auto"/>
              <w:right w:val="single" w:sz="6" w:space="0" w:color="auto"/>
            </w:tcBorders>
          </w:tcPr>
          <w:p w14:paraId="79C9681E" w14:textId="77777777" w:rsidR="000C1F5E" w:rsidRPr="000B3945" w:rsidRDefault="000C1F5E" w:rsidP="00F8181D">
            <w:r>
              <w:t>Transacting using DFC throughout banking and e-money payment systems. The transactions happen through the existing e-money and banking systems. Transactions can be routed through existing and future e-money switches such as National Payment Switches.</w:t>
            </w:r>
          </w:p>
        </w:tc>
      </w:tr>
      <w:tr w:rsidR="000C1F5E" w:rsidRPr="00BC2010" w14:paraId="3455774B"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6F3C8421" w14:textId="77777777" w:rsidR="000C1F5E" w:rsidRPr="00BC2010" w:rsidRDefault="000C1F5E" w:rsidP="00F8181D">
            <w:pPr>
              <w:pStyle w:val="FigureTitle"/>
              <w:keepLines w:val="0"/>
              <w:spacing w:before="0" w:after="0"/>
              <w:jc w:val="left"/>
              <w:rPr>
                <w:sz w:val="24"/>
                <w:szCs w:val="24"/>
              </w:rPr>
            </w:pPr>
            <w:r w:rsidRPr="0025568D">
              <w:rPr>
                <w:rFonts w:cstheme="minorHAnsi"/>
                <w:color w:val="000000"/>
                <w:sz w:val="24"/>
                <w:szCs w:val="24"/>
                <w:lang w:val="en-GB"/>
              </w:rPr>
              <w:t>Long description</w:t>
            </w:r>
          </w:p>
        </w:tc>
        <w:tc>
          <w:tcPr>
            <w:tcW w:w="7441" w:type="dxa"/>
            <w:gridSpan w:val="3"/>
            <w:tcBorders>
              <w:top w:val="single" w:sz="6" w:space="0" w:color="auto"/>
              <w:left w:val="single" w:sz="6" w:space="0" w:color="auto"/>
              <w:bottom w:val="single" w:sz="6" w:space="0" w:color="auto"/>
              <w:right w:val="single" w:sz="6" w:space="0" w:color="auto"/>
            </w:tcBorders>
          </w:tcPr>
          <w:p w14:paraId="7FA5C90A" w14:textId="2DE64757" w:rsidR="000C1F5E" w:rsidRDefault="000C1F5E" w:rsidP="00F8181D">
            <w:r>
              <w:t>In order to be widely adopted, the retail DFC should augment and evolve, rather than disrupt the existing payment rails. This is one of the characteristics required of DFC by some central banks</w:t>
            </w:r>
            <w:r w:rsidR="00CD4C8F">
              <w:t>. S</w:t>
            </w:r>
            <w:r>
              <w:t xml:space="preserve">ee for example </w:t>
            </w:r>
            <w:r w:rsidR="00CD4C8F">
              <w:t xml:space="preserve">the </w:t>
            </w:r>
            <w:r>
              <w:t xml:space="preserve">Swedish Riksbank eKrona </w:t>
            </w:r>
            <w:r w:rsidR="00CD4C8F">
              <w:t>landing page</w:t>
            </w:r>
            <w:r>
              <w:t xml:space="preserve"> </w:t>
            </w:r>
            <w:r w:rsidR="00CD4C8F">
              <w:t>(</w:t>
            </w:r>
            <w:hyperlink r:id="rId80" w:history="1">
              <w:r w:rsidR="00CD4C8F" w:rsidRPr="006725DD">
                <w:rPr>
                  <w:rStyle w:val="Hyperlink"/>
                </w:rPr>
                <w:t>https://www.riksbank.se/en-gb/payments--cash/e-krona/</w:t>
              </w:r>
            </w:hyperlink>
            <w:r w:rsidR="00CD4C8F">
              <w:rPr>
                <w:rStyle w:val="Hyperlink"/>
              </w:rPr>
              <w:t>)</w:t>
            </w:r>
            <w:r>
              <w:t xml:space="preserve"> and South African Reserve Bank </w:t>
            </w:r>
            <w:r w:rsidR="00CD4C8F">
              <w:t>expressions of interest</w:t>
            </w:r>
            <w:r>
              <w:t xml:space="preserve"> documents</w:t>
            </w:r>
            <w:r w:rsidR="00CD4C8F">
              <w:t xml:space="preserve"> (SARB, 2019)</w:t>
            </w:r>
            <w:r>
              <w:t xml:space="preserve">. This allows the central banks to introduce DFC gradually and not disintermediate critical commercial players such as banks and mobile money operators. </w:t>
            </w:r>
          </w:p>
          <w:p w14:paraId="161E89EF" w14:textId="77777777" w:rsidR="000C1F5E" w:rsidRDefault="000C1F5E" w:rsidP="00F8181D">
            <w:r>
              <w:t>The main considerations for transacting in DFC are:</w:t>
            </w:r>
          </w:p>
          <w:p w14:paraId="2C9E4EB2" w14:textId="77777777" w:rsidR="000C1F5E" w:rsidRPr="00421D11"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421D11">
              <w:rPr>
                <w:rFonts w:ascii="Times New Roman" w:hAnsi="Times New Roman" w:cs="Times New Roman"/>
                <w:sz w:val="24"/>
                <w:szCs w:val="24"/>
              </w:rPr>
              <w:t>Security of the process</w:t>
            </w:r>
          </w:p>
          <w:p w14:paraId="503DD755" w14:textId="77777777" w:rsidR="000C1F5E" w:rsidRPr="00421D11"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421D11">
              <w:rPr>
                <w:rFonts w:ascii="Times New Roman" w:hAnsi="Times New Roman" w:cs="Times New Roman"/>
                <w:sz w:val="24"/>
                <w:szCs w:val="24"/>
              </w:rPr>
              <w:t>Conservation of the amount of the money supply</w:t>
            </w:r>
          </w:p>
          <w:p w14:paraId="6F7ABB75" w14:textId="77777777" w:rsidR="000C1F5E" w:rsidRPr="00421D11"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421D11">
              <w:rPr>
                <w:rFonts w:ascii="Times New Roman" w:hAnsi="Times New Roman" w:cs="Times New Roman"/>
                <w:sz w:val="24"/>
                <w:szCs w:val="24"/>
              </w:rPr>
              <w:t>Auditability and traceability of the process</w:t>
            </w:r>
          </w:p>
          <w:p w14:paraId="527660B4" w14:textId="77777777" w:rsidR="000C1F5E" w:rsidRPr="00421D11"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421D11">
              <w:rPr>
                <w:rFonts w:ascii="Times New Roman" w:hAnsi="Times New Roman" w:cs="Times New Roman"/>
                <w:sz w:val="24"/>
                <w:szCs w:val="24"/>
              </w:rPr>
              <w:t>Permanence and storage of the audit trail</w:t>
            </w:r>
          </w:p>
          <w:p w14:paraId="2268B422" w14:textId="77777777" w:rsidR="000C1F5E" w:rsidRPr="00421D11"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421D11">
              <w:rPr>
                <w:rFonts w:ascii="Times New Roman" w:hAnsi="Times New Roman" w:cs="Times New Roman"/>
                <w:sz w:val="24"/>
                <w:szCs w:val="24"/>
              </w:rPr>
              <w:t>A balance between privacy of transactions versus the need to control the process, such as AML requirements</w:t>
            </w:r>
          </w:p>
          <w:p w14:paraId="25D32E8E" w14:textId="77777777" w:rsidR="000C1F5E" w:rsidRPr="00421D11"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421D11">
              <w:rPr>
                <w:rFonts w:ascii="Times New Roman" w:hAnsi="Times New Roman" w:cs="Times New Roman"/>
                <w:sz w:val="24"/>
                <w:szCs w:val="24"/>
              </w:rPr>
              <w:t>Rules governing the transactions, such as the maximum per transaction or daily amounts, need to be readily supported by the implementation</w:t>
            </w:r>
          </w:p>
          <w:p w14:paraId="31ADCBE3" w14:textId="77777777" w:rsidR="000C1F5E" w:rsidRPr="00421D11"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421D11">
              <w:rPr>
                <w:rFonts w:ascii="Times New Roman" w:hAnsi="Times New Roman" w:cs="Times New Roman"/>
                <w:sz w:val="24"/>
                <w:szCs w:val="24"/>
              </w:rPr>
              <w:t>Instantaneous settlement in the base, central bank money</w:t>
            </w:r>
          </w:p>
          <w:p w14:paraId="7373962F" w14:textId="77777777" w:rsidR="000C1F5E" w:rsidRPr="000B3945"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pPr>
            <w:r w:rsidRPr="00421D11">
              <w:rPr>
                <w:rFonts w:ascii="Times New Roman" w:hAnsi="Times New Roman" w:cs="Times New Roman"/>
                <w:sz w:val="24"/>
                <w:szCs w:val="24"/>
              </w:rPr>
              <w:t>Reliability and scalability to support large economies</w:t>
            </w:r>
          </w:p>
        </w:tc>
      </w:tr>
      <w:tr w:rsidR="000C1F5E" w:rsidRPr="00BC2010" w14:paraId="789986FE"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4DCE5994" w14:textId="77777777" w:rsidR="000C1F5E" w:rsidRPr="00BC2010" w:rsidRDefault="000C1F5E" w:rsidP="00F8181D">
            <w:pPr>
              <w:pStyle w:val="FigureTitle"/>
              <w:keepLines w:val="0"/>
              <w:spacing w:before="0" w:after="0"/>
              <w:jc w:val="left"/>
              <w:rPr>
                <w:sz w:val="24"/>
                <w:szCs w:val="24"/>
              </w:rPr>
            </w:pPr>
            <w:r w:rsidRPr="00BC2010">
              <w:rPr>
                <w:sz w:val="24"/>
                <w:szCs w:val="24"/>
              </w:rPr>
              <w:t>Value Transfer:</w:t>
            </w:r>
          </w:p>
        </w:tc>
        <w:tc>
          <w:tcPr>
            <w:tcW w:w="7441" w:type="dxa"/>
            <w:gridSpan w:val="3"/>
            <w:tcBorders>
              <w:top w:val="single" w:sz="6" w:space="0" w:color="auto"/>
              <w:left w:val="single" w:sz="6" w:space="0" w:color="auto"/>
              <w:bottom w:val="single" w:sz="6" w:space="0" w:color="auto"/>
              <w:right w:val="single" w:sz="6" w:space="0" w:color="auto"/>
            </w:tcBorders>
          </w:tcPr>
          <w:p w14:paraId="004F5ABC" w14:textId="77777777" w:rsidR="000C1F5E" w:rsidRPr="00421D11" w:rsidRDefault="000C1F5E" w:rsidP="00F8181D">
            <w:pPr>
              <w:pStyle w:val="BodyText"/>
              <w:rPr>
                <w:rFonts w:ascii="Times New Roman" w:hAnsi="Times New Roman" w:cs="Times New Roman"/>
                <w:sz w:val="24"/>
                <w:szCs w:val="24"/>
              </w:rPr>
            </w:pPr>
            <w:r w:rsidRPr="00421D11">
              <w:rPr>
                <w:rFonts w:ascii="Times New Roman" w:hAnsi="Times New Roman" w:cs="Times New Roman"/>
                <w:sz w:val="24"/>
                <w:szCs w:val="24"/>
              </w:rPr>
              <w:t>DFC transactions in the implemented use case scenario happen at the minimum necessary level of the hierarchical money system:</w:t>
            </w:r>
          </w:p>
          <w:p w14:paraId="7F589B36" w14:textId="77777777" w:rsidR="000C1F5E" w:rsidRPr="00421D11" w:rsidRDefault="000C1F5E" w:rsidP="00A24280">
            <w:pPr>
              <w:pStyle w:val="BodyText"/>
              <w:numPr>
                <w:ilvl w:val="0"/>
                <w:numId w:val="17"/>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rPr>
            </w:pPr>
            <w:r w:rsidRPr="00421D11">
              <w:rPr>
                <w:rFonts w:ascii="Times New Roman" w:hAnsi="Times New Roman" w:cs="Times New Roman"/>
                <w:sz w:val="24"/>
                <w:szCs w:val="24"/>
              </w:rPr>
              <w:t>P2P transactions can happen off-line</w:t>
            </w:r>
          </w:p>
          <w:p w14:paraId="05475A50" w14:textId="77777777" w:rsidR="000C1F5E" w:rsidRPr="00421D11" w:rsidRDefault="000C1F5E" w:rsidP="00A24280">
            <w:pPr>
              <w:pStyle w:val="BodyText"/>
              <w:numPr>
                <w:ilvl w:val="0"/>
                <w:numId w:val="17"/>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rPr>
            </w:pPr>
            <w:r w:rsidRPr="00421D11">
              <w:rPr>
                <w:rFonts w:ascii="Times New Roman" w:hAnsi="Times New Roman" w:cs="Times New Roman"/>
                <w:sz w:val="24"/>
                <w:szCs w:val="24"/>
              </w:rPr>
              <w:t>Transactions can involve e-wallets of the same e-money operator and in that case should be executed within the single e-money system</w:t>
            </w:r>
          </w:p>
          <w:p w14:paraId="1D605BF2" w14:textId="77777777" w:rsidR="000C1F5E" w:rsidRPr="00421D11" w:rsidRDefault="000C1F5E" w:rsidP="00A24280">
            <w:pPr>
              <w:pStyle w:val="BodyText"/>
              <w:numPr>
                <w:ilvl w:val="0"/>
                <w:numId w:val="17"/>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rPr>
            </w:pPr>
            <w:r w:rsidRPr="00421D11">
              <w:rPr>
                <w:rFonts w:ascii="Times New Roman" w:hAnsi="Times New Roman" w:cs="Times New Roman"/>
                <w:sz w:val="24"/>
                <w:szCs w:val="24"/>
              </w:rPr>
              <w:t xml:space="preserve"> Transactions involving multiple e-money or payment system operators should be routed through existing or any future national payment switches</w:t>
            </w:r>
          </w:p>
          <w:p w14:paraId="14B42530" w14:textId="77777777" w:rsidR="000C1F5E" w:rsidRPr="00421D11" w:rsidRDefault="000C1F5E" w:rsidP="00A24280">
            <w:pPr>
              <w:pStyle w:val="BodyText"/>
              <w:numPr>
                <w:ilvl w:val="0"/>
                <w:numId w:val="17"/>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rPr>
            </w:pPr>
            <w:r w:rsidRPr="00421D11">
              <w:rPr>
                <w:rFonts w:ascii="Times New Roman" w:hAnsi="Times New Roman" w:cs="Times New Roman"/>
                <w:sz w:val="24"/>
                <w:szCs w:val="24"/>
              </w:rPr>
              <w:t>Transactions can cross between e-money and bank money, for example for the purpose of topping-off an e-wallet from one’s bank account</w:t>
            </w:r>
          </w:p>
          <w:p w14:paraId="5E0366D8" w14:textId="77777777" w:rsidR="000C1F5E" w:rsidRPr="00421D11" w:rsidRDefault="000C1F5E" w:rsidP="00A24280">
            <w:pPr>
              <w:pStyle w:val="BodyText"/>
              <w:numPr>
                <w:ilvl w:val="0"/>
                <w:numId w:val="17"/>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rPr>
            </w:pPr>
            <w:r w:rsidRPr="00421D11">
              <w:rPr>
                <w:rFonts w:ascii="Times New Roman" w:hAnsi="Times New Roman" w:cs="Times New Roman"/>
                <w:sz w:val="24"/>
                <w:szCs w:val="24"/>
              </w:rPr>
              <w:t>DFC transactions should be executable using any appropriately secure physical medium, such as prepaid cards, e-wallets etc</w:t>
            </w:r>
          </w:p>
          <w:p w14:paraId="22A03EE4" w14:textId="77777777" w:rsidR="000C1F5E" w:rsidRPr="00421D11" w:rsidRDefault="000C1F5E" w:rsidP="00F8181D">
            <w:pPr>
              <w:pStyle w:val="BodyText"/>
              <w:rPr>
                <w:rFonts w:ascii="Times New Roman" w:hAnsi="Times New Roman" w:cs="Times New Roman"/>
                <w:sz w:val="24"/>
                <w:szCs w:val="24"/>
              </w:rPr>
            </w:pPr>
            <w:r w:rsidRPr="00421D11">
              <w:rPr>
                <w:rFonts w:ascii="Times New Roman" w:hAnsi="Times New Roman" w:cs="Times New Roman"/>
                <w:sz w:val="24"/>
                <w:szCs w:val="24"/>
              </w:rPr>
              <w:t>This use case does not distinguish among many possible variants of the transactions, such as P2P, B2B, G2P etc. In all cases the transactions transfer value between two or among several actors and settle it instantaneously. The instantaneous settlement is accomplished by directly transferring the actual DFC, value-bearing objects among the transacting parties.</w:t>
            </w:r>
          </w:p>
        </w:tc>
      </w:tr>
      <w:tr w:rsidR="000C1F5E" w:rsidRPr="00BC2010" w14:paraId="184A6B1A"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34DCBA22" w14:textId="77777777" w:rsidR="000C1F5E" w:rsidRPr="00BC2010" w:rsidRDefault="000C1F5E" w:rsidP="00F8181D">
            <w:pPr>
              <w:pStyle w:val="FigureTitle"/>
              <w:keepLines w:val="0"/>
              <w:spacing w:before="0" w:after="0"/>
              <w:jc w:val="left"/>
              <w:rPr>
                <w:sz w:val="24"/>
                <w:szCs w:val="24"/>
              </w:rPr>
            </w:pPr>
            <w:r>
              <w:rPr>
                <w:sz w:val="24"/>
                <w:szCs w:val="24"/>
              </w:rPr>
              <w:t>Transfer Frequency</w:t>
            </w:r>
          </w:p>
        </w:tc>
        <w:tc>
          <w:tcPr>
            <w:tcW w:w="2996" w:type="dxa"/>
            <w:tcBorders>
              <w:top w:val="single" w:sz="6" w:space="0" w:color="auto"/>
              <w:left w:val="single" w:sz="6" w:space="0" w:color="auto"/>
              <w:bottom w:val="single" w:sz="6" w:space="0" w:color="auto"/>
              <w:right w:val="single" w:sz="6" w:space="0" w:color="auto"/>
            </w:tcBorders>
          </w:tcPr>
          <w:p w14:paraId="12DD6792" w14:textId="77777777" w:rsidR="000C1F5E" w:rsidRPr="00421D11" w:rsidRDefault="000C1F5E" w:rsidP="00F8181D">
            <w:pPr>
              <w:pStyle w:val="BodyText"/>
              <w:rPr>
                <w:rFonts w:ascii="Times New Roman" w:hAnsi="Times New Roman" w:cs="Times New Roman"/>
                <w:sz w:val="24"/>
                <w:szCs w:val="24"/>
              </w:rPr>
            </w:pPr>
            <w:r w:rsidRPr="00421D11">
              <w:rPr>
                <w:rFonts w:ascii="Times New Roman" w:hAnsi="Times New Roman" w:cs="Times New Roman"/>
                <w:sz w:val="24"/>
                <w:szCs w:val="24"/>
              </w:rPr>
              <w:t>Multiple transactions per minute or per second among all users simultaneously</w:t>
            </w:r>
          </w:p>
        </w:tc>
        <w:tc>
          <w:tcPr>
            <w:tcW w:w="2319" w:type="dxa"/>
            <w:tcBorders>
              <w:top w:val="single" w:sz="6" w:space="0" w:color="auto"/>
              <w:left w:val="single" w:sz="6" w:space="0" w:color="auto"/>
              <w:bottom w:val="single" w:sz="6" w:space="0" w:color="auto"/>
              <w:right w:val="single" w:sz="6" w:space="0" w:color="auto"/>
            </w:tcBorders>
            <w:shd w:val="pct15" w:color="auto" w:fill="FFFFFF"/>
          </w:tcPr>
          <w:p w14:paraId="52DB0EE0" w14:textId="77777777" w:rsidR="000C1F5E" w:rsidRPr="00421D11" w:rsidRDefault="000C1F5E" w:rsidP="00F8181D">
            <w:pPr>
              <w:pStyle w:val="BodyText"/>
              <w:rPr>
                <w:rFonts w:ascii="Times New Roman" w:hAnsi="Times New Roman" w:cs="Times New Roman"/>
                <w:sz w:val="24"/>
                <w:szCs w:val="24"/>
              </w:rPr>
            </w:pPr>
            <w:r w:rsidRPr="00421D11">
              <w:rPr>
                <w:rFonts w:ascii="Times New Roman" w:hAnsi="Times New Roman" w:cs="Times New Roman"/>
                <w:sz w:val="24"/>
                <w:szCs w:val="24"/>
              </w:rPr>
              <w:t>N</w:t>
            </w:r>
            <w:r w:rsidRPr="00421D11">
              <w:rPr>
                <w:rFonts w:ascii="Times New Roman" w:hAnsi="Times New Roman" w:cs="Times New Roman"/>
                <w:b/>
                <w:sz w:val="24"/>
                <w:szCs w:val="24"/>
              </w:rPr>
              <w:t>umber of Actors:</w:t>
            </w:r>
          </w:p>
        </w:tc>
        <w:tc>
          <w:tcPr>
            <w:tcW w:w="2126" w:type="dxa"/>
            <w:tcBorders>
              <w:top w:val="single" w:sz="6" w:space="0" w:color="auto"/>
              <w:left w:val="single" w:sz="6" w:space="0" w:color="auto"/>
              <w:bottom w:val="single" w:sz="6" w:space="0" w:color="auto"/>
              <w:right w:val="single" w:sz="6" w:space="0" w:color="auto"/>
            </w:tcBorders>
          </w:tcPr>
          <w:p w14:paraId="38D6821D" w14:textId="77777777" w:rsidR="000C1F5E" w:rsidRPr="00421D11" w:rsidRDefault="000C1F5E" w:rsidP="00F8181D">
            <w:pPr>
              <w:pStyle w:val="BodyText"/>
              <w:rPr>
                <w:rFonts w:ascii="Times New Roman" w:hAnsi="Times New Roman" w:cs="Times New Roman"/>
                <w:sz w:val="24"/>
                <w:szCs w:val="24"/>
              </w:rPr>
            </w:pPr>
            <w:r w:rsidRPr="00421D11">
              <w:rPr>
                <w:rFonts w:ascii="Times New Roman" w:hAnsi="Times New Roman" w:cs="Times New Roman"/>
                <w:sz w:val="24"/>
                <w:szCs w:val="24"/>
              </w:rPr>
              <w:t>100,000 to many hundreds of millions</w:t>
            </w:r>
          </w:p>
        </w:tc>
      </w:tr>
      <w:tr w:rsidR="000C1F5E" w:rsidRPr="000B4C3C" w14:paraId="0F5B0608"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79FB92BE" w14:textId="77777777" w:rsidR="000C1F5E" w:rsidRDefault="000C1F5E" w:rsidP="00F8181D">
            <w:pPr>
              <w:pStyle w:val="FigureTitle"/>
              <w:keepLines w:val="0"/>
              <w:spacing w:before="0" w:after="0"/>
              <w:jc w:val="left"/>
              <w:rPr>
                <w:sz w:val="24"/>
                <w:szCs w:val="24"/>
              </w:rPr>
            </w:pPr>
            <w:r>
              <w:rPr>
                <w:sz w:val="24"/>
                <w:szCs w:val="24"/>
              </w:rPr>
              <w:t>Stakeholders:</w:t>
            </w:r>
          </w:p>
        </w:tc>
        <w:tc>
          <w:tcPr>
            <w:tcW w:w="7441" w:type="dxa"/>
            <w:gridSpan w:val="3"/>
            <w:tcBorders>
              <w:top w:val="single" w:sz="6" w:space="0" w:color="auto"/>
              <w:left w:val="single" w:sz="6" w:space="0" w:color="auto"/>
              <w:bottom w:val="single" w:sz="6" w:space="0" w:color="auto"/>
              <w:right w:val="single" w:sz="6" w:space="0" w:color="auto"/>
            </w:tcBorders>
          </w:tcPr>
          <w:p w14:paraId="43397C1C" w14:textId="77777777" w:rsidR="000C1F5E" w:rsidRPr="00421D11" w:rsidRDefault="000C1F5E" w:rsidP="00F8181D">
            <w:pPr>
              <w:pStyle w:val="BodyText"/>
              <w:rPr>
                <w:rFonts w:ascii="Times New Roman" w:hAnsi="Times New Roman" w:cs="Times New Roman"/>
                <w:sz w:val="24"/>
                <w:szCs w:val="24"/>
                <w:lang w:val="en-US"/>
              </w:rPr>
            </w:pPr>
            <w:r w:rsidRPr="00421D11">
              <w:rPr>
                <w:rFonts w:ascii="Times New Roman" w:hAnsi="Times New Roman" w:cs="Times New Roman"/>
                <w:sz w:val="24"/>
                <w:szCs w:val="24"/>
                <w:lang w:val="en-US"/>
              </w:rPr>
              <w:t xml:space="preserve">Commercial </w:t>
            </w:r>
            <w:r w:rsidRPr="00421D11">
              <w:rPr>
                <w:rFonts w:ascii="Times New Roman" w:hAnsi="Times New Roman" w:cs="Times New Roman"/>
                <w:sz w:val="24"/>
                <w:szCs w:val="24"/>
              </w:rPr>
              <w:t>banks, payment system operators, merchants, e-money agents, government entities accepting or making payments, general public with or without bank accounts.</w:t>
            </w:r>
          </w:p>
        </w:tc>
      </w:tr>
      <w:tr w:rsidR="000C1F5E" w:rsidRPr="000B4C3C" w14:paraId="24A4DAFF"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32031BCD" w14:textId="77777777" w:rsidR="000C1F5E" w:rsidRDefault="000C1F5E" w:rsidP="00F8181D">
            <w:pPr>
              <w:pStyle w:val="FigureTitle"/>
              <w:keepLines w:val="0"/>
              <w:spacing w:before="0" w:after="0"/>
              <w:jc w:val="left"/>
              <w:rPr>
                <w:sz w:val="24"/>
                <w:szCs w:val="24"/>
              </w:rPr>
            </w:pPr>
            <w:r>
              <w:rPr>
                <w:sz w:val="24"/>
                <w:szCs w:val="24"/>
              </w:rPr>
              <w:t>Inputs</w:t>
            </w:r>
            <w:r w:rsidRPr="00BC2010">
              <w:rPr>
                <w:sz w:val="24"/>
                <w:szCs w:val="24"/>
              </w:rPr>
              <w:t>:</w:t>
            </w:r>
          </w:p>
        </w:tc>
        <w:tc>
          <w:tcPr>
            <w:tcW w:w="7441" w:type="dxa"/>
            <w:gridSpan w:val="3"/>
            <w:tcBorders>
              <w:top w:val="single" w:sz="6" w:space="0" w:color="auto"/>
              <w:left w:val="single" w:sz="6" w:space="0" w:color="auto"/>
              <w:bottom w:val="single" w:sz="6" w:space="0" w:color="auto"/>
              <w:right w:val="single" w:sz="6" w:space="0" w:color="auto"/>
            </w:tcBorders>
          </w:tcPr>
          <w:p w14:paraId="3C4E5878" w14:textId="77777777" w:rsidR="000C1F5E" w:rsidRPr="00421D11" w:rsidRDefault="000C1F5E" w:rsidP="00A24280">
            <w:pPr>
              <w:pStyle w:val="ListParagraph"/>
              <w:numPr>
                <w:ilvl w:val="0"/>
                <w:numId w:val="17"/>
              </w:numPr>
              <w:pBdr>
                <w:top w:val="nil"/>
                <w:left w:val="nil"/>
                <w:bottom w:val="nil"/>
                <w:right w:val="nil"/>
                <w:between w:val="nil"/>
              </w:pBdr>
              <w:tabs>
                <w:tab w:val="left" w:pos="794"/>
                <w:tab w:val="left" w:pos="1191"/>
                <w:tab w:val="left" w:pos="1588"/>
                <w:tab w:val="left" w:pos="1985"/>
              </w:tabs>
              <w:spacing w:before="120" w:after="0" w:line="240" w:lineRule="auto"/>
              <w:jc w:val="left"/>
              <w:rPr>
                <w:rFonts w:ascii="Times New Roman" w:hAnsi="Times New Roman" w:cs="Times New Roman"/>
                <w:sz w:val="24"/>
                <w:szCs w:val="24"/>
              </w:rPr>
            </w:pPr>
            <w:r w:rsidRPr="00421D11">
              <w:rPr>
                <w:rFonts w:ascii="Times New Roman" w:hAnsi="Times New Roman" w:cs="Times New Roman"/>
                <w:sz w:val="24"/>
                <w:szCs w:val="24"/>
              </w:rPr>
              <w:t>Transaction requests from authenticated sources issued through the DFC API</w:t>
            </w:r>
          </w:p>
        </w:tc>
      </w:tr>
      <w:tr w:rsidR="000C1F5E" w:rsidRPr="00BC2010" w14:paraId="2955AB78"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63723596" w14:textId="77777777" w:rsidR="000C1F5E" w:rsidRPr="00BC2010" w:rsidRDefault="000C1F5E" w:rsidP="00F8181D">
            <w:pPr>
              <w:pStyle w:val="FigureTitle"/>
              <w:keepLines w:val="0"/>
              <w:spacing w:before="0" w:after="0"/>
              <w:jc w:val="left"/>
              <w:rPr>
                <w:sz w:val="24"/>
                <w:szCs w:val="24"/>
              </w:rPr>
            </w:pPr>
            <w:r>
              <w:rPr>
                <w:sz w:val="24"/>
                <w:szCs w:val="24"/>
              </w:rPr>
              <w:t>Actors:</w:t>
            </w:r>
          </w:p>
        </w:tc>
        <w:tc>
          <w:tcPr>
            <w:tcW w:w="7441" w:type="dxa"/>
            <w:gridSpan w:val="3"/>
            <w:tcBorders>
              <w:top w:val="single" w:sz="6" w:space="0" w:color="auto"/>
              <w:left w:val="single" w:sz="6" w:space="0" w:color="auto"/>
              <w:bottom w:val="single" w:sz="6" w:space="0" w:color="auto"/>
              <w:right w:val="single" w:sz="6" w:space="0" w:color="auto"/>
            </w:tcBorders>
          </w:tcPr>
          <w:p w14:paraId="2F7EAA3D" w14:textId="77777777" w:rsidR="000C1F5E" w:rsidRPr="00421D11" w:rsidRDefault="000C1F5E" w:rsidP="00F8181D">
            <w:pPr>
              <w:pStyle w:val="BodyText"/>
              <w:rPr>
                <w:rFonts w:ascii="Times New Roman" w:hAnsi="Times New Roman" w:cs="Times New Roman"/>
                <w:sz w:val="24"/>
                <w:szCs w:val="24"/>
              </w:rPr>
            </w:pPr>
            <w:r w:rsidRPr="00421D11">
              <w:rPr>
                <w:rFonts w:ascii="Times New Roman" w:hAnsi="Times New Roman" w:cs="Times New Roman"/>
                <w:sz w:val="24"/>
                <w:szCs w:val="24"/>
              </w:rPr>
              <w:t xml:space="preserve">Any individual or entity legally capable of possessing cash and transacting with it. </w:t>
            </w:r>
          </w:p>
        </w:tc>
      </w:tr>
      <w:tr w:rsidR="000C1F5E" w:rsidRPr="00BC2010" w14:paraId="25BC3A6A"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569FF51B" w14:textId="77777777" w:rsidR="000C1F5E" w:rsidRDefault="000C1F5E" w:rsidP="00F8181D">
            <w:pPr>
              <w:pStyle w:val="FigureTitle"/>
              <w:keepLines w:val="0"/>
              <w:spacing w:before="0" w:after="0"/>
              <w:jc w:val="left"/>
              <w:rPr>
                <w:sz w:val="24"/>
                <w:szCs w:val="24"/>
              </w:rPr>
            </w:pPr>
            <w:r>
              <w:rPr>
                <w:sz w:val="24"/>
                <w:szCs w:val="24"/>
              </w:rPr>
              <w:t>Tools</w:t>
            </w:r>
          </w:p>
        </w:tc>
        <w:tc>
          <w:tcPr>
            <w:tcW w:w="7441" w:type="dxa"/>
            <w:gridSpan w:val="3"/>
            <w:tcBorders>
              <w:top w:val="single" w:sz="6" w:space="0" w:color="auto"/>
              <w:left w:val="single" w:sz="6" w:space="0" w:color="auto"/>
              <w:bottom w:val="single" w:sz="6" w:space="0" w:color="auto"/>
              <w:right w:val="single" w:sz="6" w:space="0" w:color="auto"/>
            </w:tcBorders>
          </w:tcPr>
          <w:p w14:paraId="518AF6D5" w14:textId="77777777" w:rsidR="000C1F5E" w:rsidRPr="00421D11" w:rsidRDefault="000C1F5E" w:rsidP="00F8181D">
            <w:pPr>
              <w:pStyle w:val="BodyText"/>
              <w:rPr>
                <w:rFonts w:ascii="Times New Roman" w:hAnsi="Times New Roman" w:cs="Times New Roman"/>
                <w:sz w:val="24"/>
                <w:szCs w:val="24"/>
              </w:rPr>
            </w:pPr>
            <w:r w:rsidRPr="00421D11">
              <w:rPr>
                <w:rFonts w:ascii="Times New Roman" w:hAnsi="Times New Roman" w:cs="Times New Roman"/>
                <w:sz w:val="24"/>
                <w:szCs w:val="24"/>
              </w:rPr>
              <w:t>The following elements participate in this use case:</w:t>
            </w:r>
          </w:p>
          <w:p w14:paraId="5B2C240A" w14:textId="77777777" w:rsidR="000C1F5E" w:rsidRPr="00421D11" w:rsidRDefault="000C1F5E" w:rsidP="00A24280">
            <w:pPr>
              <w:pStyle w:val="BodyText"/>
              <w:numPr>
                <w:ilvl w:val="0"/>
                <w:numId w:val="39"/>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rPr>
            </w:pPr>
            <w:r w:rsidRPr="00421D11">
              <w:rPr>
                <w:rFonts w:ascii="Times New Roman" w:hAnsi="Times New Roman" w:cs="Times New Roman"/>
                <w:sz w:val="24"/>
                <w:szCs w:val="24"/>
              </w:rPr>
              <w:t>DFC API (see submission of the API by eCurrency to this standards organization) for use by the Actors’ computer systems</w:t>
            </w:r>
          </w:p>
          <w:p w14:paraId="476F8B98" w14:textId="77777777" w:rsidR="000C1F5E" w:rsidRPr="00421D11" w:rsidRDefault="000C1F5E" w:rsidP="00A24280">
            <w:pPr>
              <w:pStyle w:val="BodyText"/>
              <w:numPr>
                <w:ilvl w:val="0"/>
                <w:numId w:val="39"/>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rPr>
            </w:pPr>
            <w:r w:rsidRPr="00421D11">
              <w:rPr>
                <w:rFonts w:ascii="Times New Roman" w:hAnsi="Times New Roman" w:cs="Times New Roman"/>
                <w:sz w:val="24"/>
                <w:szCs w:val="24"/>
              </w:rPr>
              <w:t>eCurrency cryptographic appliances for storage of, and transacting with, the DFC value tokens</w:t>
            </w:r>
          </w:p>
          <w:p w14:paraId="1D4B18A4" w14:textId="77777777" w:rsidR="000C1F5E" w:rsidRPr="00421D11" w:rsidRDefault="000C1F5E" w:rsidP="00A24280">
            <w:pPr>
              <w:pStyle w:val="BodyText"/>
              <w:numPr>
                <w:ilvl w:val="0"/>
                <w:numId w:val="39"/>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rPr>
            </w:pPr>
            <w:r w:rsidRPr="00421D11">
              <w:rPr>
                <w:rFonts w:ascii="Times New Roman" w:hAnsi="Times New Roman" w:cs="Times New Roman"/>
                <w:sz w:val="24"/>
                <w:szCs w:val="24"/>
              </w:rPr>
              <w:t>Telecommunication networks with VPN protocols and secured by mutual authentication of endpoints for sending and receiving the DFC units across the entire ecosystem</w:t>
            </w:r>
          </w:p>
          <w:p w14:paraId="64FD1DEC" w14:textId="77777777" w:rsidR="000C1F5E" w:rsidRPr="00421D11" w:rsidRDefault="000C1F5E" w:rsidP="00A24280">
            <w:pPr>
              <w:pStyle w:val="BodyText"/>
              <w:numPr>
                <w:ilvl w:val="0"/>
                <w:numId w:val="39"/>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rPr>
            </w:pPr>
            <w:r w:rsidRPr="00421D11">
              <w:rPr>
                <w:rFonts w:ascii="Times New Roman" w:hAnsi="Times New Roman" w:cs="Times New Roman"/>
                <w:sz w:val="24"/>
                <w:szCs w:val="24"/>
              </w:rPr>
              <w:t>Payment switches to route transactions among multiple payment systems</w:t>
            </w:r>
          </w:p>
          <w:p w14:paraId="5D71D879" w14:textId="77777777" w:rsidR="000C1F5E" w:rsidRPr="00421D11" w:rsidRDefault="000C1F5E" w:rsidP="00A24280">
            <w:pPr>
              <w:pStyle w:val="BodyText"/>
              <w:numPr>
                <w:ilvl w:val="0"/>
                <w:numId w:val="39"/>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rPr>
            </w:pPr>
            <w:r w:rsidRPr="00421D11">
              <w:rPr>
                <w:rFonts w:ascii="Times New Roman" w:hAnsi="Times New Roman" w:cs="Times New Roman"/>
                <w:sz w:val="24"/>
                <w:szCs w:val="24"/>
              </w:rPr>
              <w:t>User devices, such as prepaid secure cards, mobile phones, browser UIs, ATMs, Point of Sale terminals etc.</w:t>
            </w:r>
          </w:p>
          <w:p w14:paraId="738A8FD1" w14:textId="77777777" w:rsidR="000C1F5E" w:rsidRPr="00421D11" w:rsidRDefault="000C1F5E" w:rsidP="00A24280">
            <w:pPr>
              <w:pStyle w:val="BodyText"/>
              <w:numPr>
                <w:ilvl w:val="0"/>
                <w:numId w:val="39"/>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rPr>
            </w:pPr>
            <w:r w:rsidRPr="00421D11">
              <w:rPr>
                <w:rFonts w:ascii="Times New Roman" w:hAnsi="Times New Roman" w:cs="Times New Roman"/>
                <w:sz w:val="24"/>
                <w:szCs w:val="24"/>
              </w:rPr>
              <w:t>If offline transactions are needed, sufficiently secure user devices containing HSMs are required</w:t>
            </w:r>
          </w:p>
        </w:tc>
      </w:tr>
      <w:tr w:rsidR="000C1F5E" w:rsidRPr="00BC2010" w14:paraId="7BBAD0EE"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4119C727" w14:textId="77777777" w:rsidR="000C1F5E" w:rsidRPr="00BC2010" w:rsidRDefault="000C1F5E" w:rsidP="00F8181D">
            <w:pPr>
              <w:pStyle w:val="FigureTitle"/>
              <w:keepLines w:val="0"/>
              <w:spacing w:before="0" w:after="0"/>
              <w:jc w:val="left"/>
              <w:rPr>
                <w:sz w:val="24"/>
                <w:szCs w:val="24"/>
              </w:rPr>
            </w:pPr>
            <w:r>
              <w:rPr>
                <w:sz w:val="24"/>
                <w:szCs w:val="24"/>
              </w:rPr>
              <w:t>Outputs:</w:t>
            </w:r>
          </w:p>
        </w:tc>
        <w:tc>
          <w:tcPr>
            <w:tcW w:w="7441" w:type="dxa"/>
            <w:gridSpan w:val="3"/>
            <w:tcBorders>
              <w:top w:val="single" w:sz="6" w:space="0" w:color="auto"/>
              <w:left w:val="single" w:sz="6" w:space="0" w:color="auto"/>
              <w:bottom w:val="single" w:sz="6" w:space="0" w:color="auto"/>
              <w:right w:val="single" w:sz="6" w:space="0" w:color="auto"/>
            </w:tcBorders>
          </w:tcPr>
          <w:p w14:paraId="14FA0A6C" w14:textId="77777777" w:rsidR="000C1F5E" w:rsidRPr="00421D11" w:rsidRDefault="000C1F5E" w:rsidP="00F8181D">
            <w:pPr>
              <w:pStyle w:val="BodyText"/>
              <w:rPr>
                <w:rFonts w:ascii="Times New Roman" w:hAnsi="Times New Roman" w:cs="Times New Roman"/>
                <w:sz w:val="24"/>
                <w:szCs w:val="24"/>
                <w:lang w:val="en-US"/>
              </w:rPr>
            </w:pPr>
            <w:r w:rsidRPr="00421D11">
              <w:rPr>
                <w:rFonts w:ascii="Times New Roman" w:hAnsi="Times New Roman" w:cs="Times New Roman"/>
                <w:sz w:val="24"/>
                <w:szCs w:val="24"/>
                <w:lang w:val="en-US"/>
              </w:rPr>
              <w:t>The following artefacts are generated by the process:</w:t>
            </w:r>
          </w:p>
          <w:p w14:paraId="576E903F" w14:textId="77777777" w:rsidR="000C1F5E" w:rsidRPr="00421D11" w:rsidRDefault="000C1F5E" w:rsidP="00A24280">
            <w:pPr>
              <w:pStyle w:val="BodyText"/>
              <w:numPr>
                <w:ilvl w:val="0"/>
                <w:numId w:val="18"/>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lang w:val="en-US"/>
              </w:rPr>
            </w:pPr>
            <w:r w:rsidRPr="00421D11">
              <w:rPr>
                <w:rFonts w:ascii="Times New Roman" w:hAnsi="Times New Roman" w:cs="Times New Roman"/>
                <w:sz w:val="24"/>
                <w:szCs w:val="24"/>
                <w:lang w:val="en-US"/>
              </w:rPr>
              <w:t>Modified DFC objects representing the new values owned by the Actors</w:t>
            </w:r>
          </w:p>
          <w:p w14:paraId="47A0B7DF" w14:textId="77777777" w:rsidR="000C1F5E" w:rsidRPr="00421D11" w:rsidRDefault="000C1F5E" w:rsidP="00A24280">
            <w:pPr>
              <w:pStyle w:val="BodyText"/>
              <w:numPr>
                <w:ilvl w:val="0"/>
                <w:numId w:val="18"/>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lang w:val="en-US"/>
              </w:rPr>
            </w:pPr>
            <w:r w:rsidRPr="00421D11">
              <w:rPr>
                <w:rFonts w:ascii="Times New Roman" w:hAnsi="Times New Roman" w:cs="Times New Roman"/>
                <w:sz w:val="24"/>
                <w:szCs w:val="24"/>
                <w:lang w:val="en-US"/>
              </w:rPr>
              <w:t xml:space="preserve">An immutable electronic record of the transactions signed by the parties for non-repudiation. </w:t>
            </w:r>
          </w:p>
        </w:tc>
      </w:tr>
    </w:tbl>
    <w:p w14:paraId="48EE4261" w14:textId="77777777" w:rsidR="000C1F5E" w:rsidRPr="00827206" w:rsidRDefault="000C1F5E" w:rsidP="000C1F5E">
      <w:pPr>
        <w:rPr>
          <w:b/>
        </w:rPr>
      </w:pP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81"/>
      </w:tblGrid>
      <w:tr w:rsidR="000C1F5E" w:rsidRPr="00827206" w14:paraId="6F6078D4" w14:textId="77777777" w:rsidTr="00F8181D">
        <w:tc>
          <w:tcPr>
            <w:tcW w:w="9781" w:type="dxa"/>
            <w:tcBorders>
              <w:top w:val="single" w:sz="6" w:space="0" w:color="000000"/>
              <w:left w:val="single" w:sz="6" w:space="0" w:color="000000"/>
              <w:bottom w:val="single" w:sz="6" w:space="0" w:color="000000"/>
              <w:right w:val="single" w:sz="6" w:space="0" w:color="000000"/>
            </w:tcBorders>
            <w:shd w:val="clear" w:color="auto" w:fill="D9D9D9"/>
          </w:tcPr>
          <w:p w14:paraId="77757042" w14:textId="77777777" w:rsidR="000C1F5E" w:rsidRPr="00827206" w:rsidRDefault="000C1F5E" w:rsidP="00F8181D">
            <w:pPr>
              <w:spacing w:before="0"/>
              <w:rPr>
                <w:b/>
              </w:rPr>
            </w:pPr>
            <w:r w:rsidRPr="00827206">
              <w:rPr>
                <w:b/>
              </w:rPr>
              <w:t xml:space="preserve">Overview of the </w:t>
            </w:r>
            <w:r>
              <w:rPr>
                <w:b/>
              </w:rPr>
              <w:t>Process</w:t>
            </w:r>
          </w:p>
        </w:tc>
      </w:tr>
      <w:tr w:rsidR="000C1F5E" w:rsidRPr="00827206" w14:paraId="48022373" w14:textId="77777777" w:rsidTr="00F8181D">
        <w:tc>
          <w:tcPr>
            <w:tcW w:w="9781" w:type="dxa"/>
            <w:tcBorders>
              <w:top w:val="single" w:sz="6" w:space="0" w:color="000000"/>
              <w:left w:val="single" w:sz="6" w:space="0" w:color="000000"/>
              <w:bottom w:val="single" w:sz="6" w:space="0" w:color="000000"/>
              <w:right w:val="single" w:sz="6" w:space="0" w:color="000000"/>
            </w:tcBorders>
          </w:tcPr>
          <w:p w14:paraId="630849BC" w14:textId="77777777" w:rsidR="000C1F5E" w:rsidRDefault="000C1F5E" w:rsidP="00F8181D">
            <w:pPr>
              <w:jc w:val="both"/>
            </w:pPr>
            <w:r>
              <w:t>The process execution can take many paths and involve many actors belonging to many actor types. All cases involve a sender and at least one recipient, and in all cases can be bolied down to the following steps:</w:t>
            </w:r>
          </w:p>
          <w:p w14:paraId="5001A0B7" w14:textId="77777777" w:rsidR="000C1F5E" w:rsidRPr="00421D11" w:rsidRDefault="000C1F5E" w:rsidP="00A24280">
            <w:pPr>
              <w:pStyle w:val="ListParagraph"/>
              <w:numPr>
                <w:ilvl w:val="0"/>
                <w:numId w:val="37"/>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421D11">
              <w:rPr>
                <w:rFonts w:ascii="Times New Roman" w:hAnsi="Times New Roman" w:cs="Times New Roman"/>
                <w:sz w:val="24"/>
                <w:szCs w:val="24"/>
              </w:rPr>
              <w:t>The sender accesses a payment system through a UI which can take many forms such smart phones, feature phones, browser UIs, prepaid cards etc.</w:t>
            </w:r>
          </w:p>
          <w:p w14:paraId="697F6A23" w14:textId="77777777" w:rsidR="000C1F5E" w:rsidRPr="00421D11" w:rsidRDefault="000C1F5E" w:rsidP="00A24280">
            <w:pPr>
              <w:pStyle w:val="ListParagraph"/>
              <w:numPr>
                <w:ilvl w:val="0"/>
                <w:numId w:val="37"/>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421D11">
              <w:rPr>
                <w:rFonts w:ascii="Times New Roman" w:hAnsi="Times New Roman" w:cs="Times New Roman"/>
                <w:sz w:val="24"/>
                <w:szCs w:val="24"/>
              </w:rPr>
              <w:t>The sender authenticates and initiates the DFC transfer request</w:t>
            </w:r>
          </w:p>
          <w:p w14:paraId="5817C2DD" w14:textId="77777777" w:rsidR="000C1F5E" w:rsidRPr="00421D11" w:rsidRDefault="000C1F5E" w:rsidP="00A24280">
            <w:pPr>
              <w:pStyle w:val="ListParagraph"/>
              <w:numPr>
                <w:ilvl w:val="0"/>
                <w:numId w:val="37"/>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421D11">
              <w:rPr>
                <w:rFonts w:ascii="Times New Roman" w:hAnsi="Times New Roman" w:cs="Times New Roman"/>
                <w:sz w:val="24"/>
                <w:szCs w:val="24"/>
              </w:rPr>
              <w:t>The request is delivered to the DFC system through an API (contributed by eCurrency to this standards body) and contains the DFC object representing the DFC value held by the sender prior to the transaction</w:t>
            </w:r>
          </w:p>
          <w:p w14:paraId="229B85AF" w14:textId="77777777" w:rsidR="000C1F5E" w:rsidRPr="00421D11" w:rsidRDefault="000C1F5E" w:rsidP="00A24280">
            <w:pPr>
              <w:pStyle w:val="ListParagraph"/>
              <w:numPr>
                <w:ilvl w:val="0"/>
                <w:numId w:val="37"/>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421D11">
              <w:rPr>
                <w:rFonts w:ascii="Times New Roman" w:hAnsi="Times New Roman" w:cs="Times New Roman"/>
                <w:sz w:val="24"/>
                <w:szCs w:val="24"/>
              </w:rPr>
              <w:t>The request is routed to the recipient</w:t>
            </w:r>
          </w:p>
          <w:p w14:paraId="4364458B" w14:textId="77777777" w:rsidR="000C1F5E" w:rsidRPr="00421D11" w:rsidRDefault="000C1F5E" w:rsidP="00A24280">
            <w:pPr>
              <w:pStyle w:val="ListParagraph"/>
              <w:numPr>
                <w:ilvl w:val="0"/>
                <w:numId w:val="37"/>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421D11">
              <w:rPr>
                <w:rFonts w:ascii="Times New Roman" w:hAnsi="Times New Roman" w:cs="Times New Roman"/>
                <w:sz w:val="24"/>
                <w:szCs w:val="24"/>
              </w:rPr>
              <w:t>Sender’s and recipient’s DFC objects transact inside the cryptographic appliances to exchange the required value</w:t>
            </w:r>
          </w:p>
          <w:p w14:paraId="78CCBD75" w14:textId="77777777" w:rsidR="000C1F5E" w:rsidRPr="00421D11" w:rsidRDefault="000C1F5E" w:rsidP="00A24280">
            <w:pPr>
              <w:pStyle w:val="ListParagraph"/>
              <w:numPr>
                <w:ilvl w:val="0"/>
                <w:numId w:val="37"/>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421D11">
              <w:rPr>
                <w:rFonts w:ascii="Times New Roman" w:hAnsi="Times New Roman" w:cs="Times New Roman"/>
                <w:sz w:val="24"/>
                <w:szCs w:val="24"/>
              </w:rPr>
              <w:t>Modified sender and recipient objects are returned to them and now represent the value post-transaction</w:t>
            </w:r>
          </w:p>
          <w:p w14:paraId="618D3B25" w14:textId="77777777" w:rsidR="000C1F5E" w:rsidRPr="00421D11" w:rsidRDefault="000C1F5E" w:rsidP="00A24280">
            <w:pPr>
              <w:pStyle w:val="ListParagraph"/>
              <w:numPr>
                <w:ilvl w:val="0"/>
                <w:numId w:val="37"/>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421D11">
              <w:rPr>
                <w:rFonts w:ascii="Times New Roman" w:hAnsi="Times New Roman" w:cs="Times New Roman"/>
                <w:sz w:val="24"/>
                <w:szCs w:val="24"/>
              </w:rPr>
              <w:t>An electronic record of the transaction signed by all the participating parties is created and stored. The record can be made available to the transacting parties, e-money operators or the government as allowed by the corresponding laws, in many scenarios requiring a legal discovery process.</w:t>
            </w:r>
          </w:p>
          <w:p w14:paraId="0222EE36" w14:textId="77777777" w:rsidR="000C1F5E" w:rsidRPr="00421D11" w:rsidRDefault="000C1F5E" w:rsidP="00F8181D">
            <w:pPr>
              <w:jc w:val="both"/>
              <w:rPr>
                <w:szCs w:val="24"/>
              </w:rPr>
            </w:pPr>
            <w:r w:rsidRPr="00421D11">
              <w:rPr>
                <w:szCs w:val="24"/>
              </w:rPr>
              <w:t>In point (5) above, the cryptographic DFC appliance can take many forms:</w:t>
            </w:r>
          </w:p>
          <w:p w14:paraId="11193316" w14:textId="77777777" w:rsidR="000C1F5E" w:rsidRPr="00421D11" w:rsidRDefault="000C1F5E" w:rsidP="00A24280">
            <w:pPr>
              <w:pStyle w:val="ListParagraph"/>
              <w:numPr>
                <w:ilvl w:val="0"/>
                <w:numId w:val="38"/>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421D11">
              <w:rPr>
                <w:rFonts w:ascii="Times New Roman" w:hAnsi="Times New Roman" w:cs="Times New Roman"/>
                <w:sz w:val="24"/>
                <w:szCs w:val="24"/>
              </w:rPr>
              <w:t>It can be a powerful computing environment allowing many thousands of transactions per second</w:t>
            </w:r>
          </w:p>
          <w:p w14:paraId="0EC97F95" w14:textId="77777777" w:rsidR="000C1F5E" w:rsidRPr="00421D11" w:rsidRDefault="000C1F5E" w:rsidP="00A24280">
            <w:pPr>
              <w:pStyle w:val="ListParagraph"/>
              <w:numPr>
                <w:ilvl w:val="0"/>
                <w:numId w:val="38"/>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421D11">
              <w:rPr>
                <w:rFonts w:ascii="Times New Roman" w:hAnsi="Times New Roman" w:cs="Times New Roman"/>
                <w:sz w:val="24"/>
                <w:szCs w:val="24"/>
              </w:rPr>
              <w:t>It can be a small environment represented by a (logically) single appliance</w:t>
            </w:r>
          </w:p>
          <w:p w14:paraId="63301E2A" w14:textId="77777777" w:rsidR="000C1F5E" w:rsidRPr="00827206" w:rsidRDefault="000C1F5E" w:rsidP="00A24280">
            <w:pPr>
              <w:pStyle w:val="ListParagraph"/>
              <w:numPr>
                <w:ilvl w:val="0"/>
                <w:numId w:val="38"/>
              </w:numPr>
              <w:pBdr>
                <w:top w:val="nil"/>
                <w:left w:val="nil"/>
                <w:bottom w:val="nil"/>
                <w:right w:val="nil"/>
                <w:between w:val="nil"/>
              </w:pBdr>
              <w:tabs>
                <w:tab w:val="left" w:pos="794"/>
                <w:tab w:val="left" w:pos="1191"/>
                <w:tab w:val="left" w:pos="1588"/>
                <w:tab w:val="left" w:pos="1985"/>
              </w:tabs>
              <w:spacing w:before="120" w:after="0" w:line="240" w:lineRule="auto"/>
            </w:pPr>
            <w:r w:rsidRPr="00421D11">
              <w:rPr>
                <w:rFonts w:ascii="Times New Roman" w:hAnsi="Times New Roman" w:cs="Times New Roman"/>
                <w:sz w:val="24"/>
                <w:szCs w:val="24"/>
              </w:rPr>
              <w:t>It can be a hand-held device containing a secure element and interacting with another similar device via short-distance communication (NFC, Bluetooth etc.)</w:t>
            </w:r>
          </w:p>
        </w:tc>
      </w:tr>
    </w:tbl>
    <w:p w14:paraId="1516C5BA" w14:textId="77777777" w:rsidR="000C1F5E" w:rsidRPr="00827206" w:rsidRDefault="000C1F5E" w:rsidP="000C1F5E">
      <w:pPr>
        <w:rPr>
          <w:b/>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73"/>
      </w:tblGrid>
      <w:tr w:rsidR="000C1F5E" w:rsidRPr="00827206" w14:paraId="585FCCFD" w14:textId="77777777" w:rsidTr="00F8181D">
        <w:trPr>
          <w:trHeight w:val="280"/>
        </w:trPr>
        <w:tc>
          <w:tcPr>
            <w:tcW w:w="9773" w:type="dxa"/>
            <w:tcBorders>
              <w:top w:val="single" w:sz="6" w:space="0" w:color="000000"/>
              <w:left w:val="single" w:sz="6" w:space="0" w:color="000000"/>
              <w:bottom w:val="nil"/>
              <w:right w:val="single" w:sz="6" w:space="0" w:color="000000"/>
            </w:tcBorders>
            <w:shd w:val="clear" w:color="auto" w:fill="D9D9D9"/>
          </w:tcPr>
          <w:p w14:paraId="25AC26F8" w14:textId="77777777" w:rsidR="000C1F5E" w:rsidRPr="00827206" w:rsidRDefault="000C1F5E" w:rsidP="00F8181D">
            <w:pPr>
              <w:spacing w:before="0"/>
              <w:rPr>
                <w:b/>
              </w:rPr>
            </w:pPr>
            <w:r w:rsidRPr="00827206">
              <w:rPr>
                <w:b/>
              </w:rPr>
              <w:t>Process schem</w:t>
            </w:r>
            <w:r>
              <w:rPr>
                <w:b/>
              </w:rPr>
              <w:t>atic</w:t>
            </w:r>
          </w:p>
        </w:tc>
      </w:tr>
      <w:tr w:rsidR="000C1F5E" w:rsidRPr="00827206" w14:paraId="553787BE" w14:textId="77777777" w:rsidTr="00F8181D">
        <w:trPr>
          <w:trHeight w:val="540"/>
        </w:trPr>
        <w:tc>
          <w:tcPr>
            <w:tcW w:w="9773" w:type="dxa"/>
            <w:tcBorders>
              <w:top w:val="single" w:sz="6" w:space="0" w:color="000000"/>
              <w:left w:val="single" w:sz="6" w:space="0" w:color="000000"/>
              <w:bottom w:val="single" w:sz="6" w:space="0" w:color="000000"/>
              <w:right w:val="single" w:sz="6" w:space="0" w:color="000000"/>
            </w:tcBorders>
          </w:tcPr>
          <w:p w14:paraId="6E47D807" w14:textId="77777777" w:rsidR="000C1F5E" w:rsidRPr="00827206" w:rsidRDefault="000C1F5E" w:rsidP="00F8181D">
            <w:pPr>
              <w:rPr>
                <w:color w:val="0000FF"/>
              </w:rPr>
            </w:pPr>
            <w:r w:rsidRPr="00827206">
              <w:rPr>
                <w:color w:val="0000FF"/>
              </w:rPr>
              <w:t xml:space="preserve"> </w:t>
            </w:r>
            <w:r>
              <w:rPr>
                <w:noProof/>
                <w:color w:val="0000FF"/>
                <w:lang w:eastAsia="en-GB"/>
              </w:rPr>
              <w:drawing>
                <wp:inline distT="0" distB="0" distL="0" distR="0" wp14:anchorId="691B51A8" wp14:editId="581895E3">
                  <wp:extent cx="2953063" cy="29863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25 at 17.20.22 .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961077" cy="2994498"/>
                          </a:xfrm>
                          <a:prstGeom prst="rect">
                            <a:avLst/>
                          </a:prstGeom>
                        </pic:spPr>
                      </pic:pic>
                    </a:graphicData>
                  </a:graphic>
                </wp:inline>
              </w:drawing>
            </w:r>
          </w:p>
        </w:tc>
      </w:tr>
    </w:tbl>
    <w:p w14:paraId="4E5F5FF6" w14:textId="77777777" w:rsidR="000C1F5E" w:rsidRDefault="000C1F5E" w:rsidP="000C1F5E">
      <w:pPr>
        <w:rPr>
          <w:b/>
        </w:rPr>
      </w:pP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81"/>
      </w:tblGrid>
      <w:tr w:rsidR="000C1F5E" w:rsidRPr="00827206" w14:paraId="2F97FD55" w14:textId="77777777" w:rsidTr="00F8181D">
        <w:tc>
          <w:tcPr>
            <w:tcW w:w="9781" w:type="dxa"/>
            <w:tcBorders>
              <w:top w:val="single" w:sz="6" w:space="0" w:color="000000"/>
              <w:left w:val="single" w:sz="6" w:space="0" w:color="000000"/>
              <w:bottom w:val="single" w:sz="6" w:space="0" w:color="000000"/>
              <w:right w:val="single" w:sz="6" w:space="0" w:color="000000"/>
            </w:tcBorders>
            <w:shd w:val="clear" w:color="auto" w:fill="D9D9D9"/>
          </w:tcPr>
          <w:p w14:paraId="3BF13556" w14:textId="77777777" w:rsidR="000C1F5E" w:rsidRPr="00827206" w:rsidRDefault="000C1F5E" w:rsidP="00F8181D">
            <w:pPr>
              <w:spacing w:before="0"/>
              <w:rPr>
                <w:b/>
              </w:rPr>
            </w:pPr>
            <w:r>
              <w:rPr>
                <w:b/>
              </w:rPr>
              <w:t>Implementation dependencies</w:t>
            </w:r>
          </w:p>
        </w:tc>
      </w:tr>
      <w:tr w:rsidR="000C1F5E" w:rsidRPr="00827206" w14:paraId="257FA706" w14:textId="77777777" w:rsidTr="00F8181D">
        <w:tc>
          <w:tcPr>
            <w:tcW w:w="9781" w:type="dxa"/>
            <w:tcBorders>
              <w:top w:val="single" w:sz="6" w:space="0" w:color="000000"/>
              <w:left w:val="single" w:sz="6" w:space="0" w:color="000000"/>
              <w:bottom w:val="single" w:sz="6" w:space="0" w:color="000000"/>
              <w:right w:val="single" w:sz="6" w:space="0" w:color="000000"/>
            </w:tcBorders>
          </w:tcPr>
          <w:p w14:paraId="74DE7E97" w14:textId="77777777" w:rsidR="000C1F5E" w:rsidRDefault="000C1F5E" w:rsidP="00F8181D">
            <w:pPr>
              <w:spacing w:after="60"/>
            </w:pPr>
            <w:r>
              <w:t>A variety of technologies can be used to implement this use case. Discussion of possible implementation techniques is beyond the scope of this use case definition.</w:t>
            </w:r>
          </w:p>
          <w:p w14:paraId="16AB6975" w14:textId="77777777" w:rsidR="000C1F5E" w:rsidRDefault="000C1F5E" w:rsidP="00F8181D">
            <w:pPr>
              <w:spacing w:after="60"/>
            </w:pPr>
            <w:r>
              <w:t>In the commercial implementation of this use case, multiple payment systems interface to the DFC environment and transact directly or indirectly (through a switch) with the DFC cryptographic appliances using the contributed API.</w:t>
            </w:r>
          </w:p>
          <w:p w14:paraId="48F9780F" w14:textId="77777777" w:rsidR="000C1F5E" w:rsidRPr="00D03E78" w:rsidRDefault="000C1F5E" w:rsidP="00F8181D">
            <w:pPr>
              <w:spacing w:after="60"/>
            </w:pPr>
            <w:r>
              <w:t>In the commercial implementation of this use case, the role of the central bank is played by RCBC.</w:t>
            </w:r>
          </w:p>
        </w:tc>
      </w:tr>
    </w:tbl>
    <w:p w14:paraId="2D376746" w14:textId="55A5134E" w:rsidR="000C1F5E" w:rsidRPr="00827206" w:rsidRDefault="000C1F5E" w:rsidP="000C1F5E">
      <w:pPr>
        <w:rPr>
          <w:b/>
        </w:rPr>
      </w:pPr>
    </w:p>
    <w:p w14:paraId="6452E38A" w14:textId="77777777" w:rsidR="007C2653" w:rsidRDefault="007C2653">
      <w:pPr>
        <w:spacing w:before="0"/>
        <w:rPr>
          <w:rFonts w:cs="Arial"/>
          <w:b/>
          <w:bCs/>
          <w:kern w:val="32"/>
          <w:szCs w:val="32"/>
          <w:lang w:eastAsia="ja-JP"/>
        </w:rPr>
      </w:pPr>
      <w:r>
        <w:br w:type="page"/>
      </w:r>
    </w:p>
    <w:p w14:paraId="4181B6F4" w14:textId="5FD7912F" w:rsidR="000C1F5E" w:rsidRDefault="000C1F5E" w:rsidP="005157BE">
      <w:pPr>
        <w:pStyle w:val="Heading2"/>
        <w:numPr>
          <w:ilvl w:val="0"/>
          <w:numId w:val="47"/>
        </w:numPr>
        <w:ind w:left="0" w:firstLine="0"/>
      </w:pPr>
      <w:bookmarkStart w:id="80" w:name="_Toc14190304"/>
      <w:r>
        <w:t xml:space="preserve">E-Peso Use Case for </w:t>
      </w:r>
      <w:r w:rsidR="00701906">
        <w:t>Financial I</w:t>
      </w:r>
      <w:r>
        <w:t>nclusion in Uruguay</w:t>
      </w:r>
      <w:bookmarkEnd w:id="80"/>
    </w:p>
    <w:tbl>
      <w:tblPr>
        <w:tblpPr w:leftFromText="180" w:rightFromText="180" w:vertAnchor="text" w:horzAnchor="margin" w:tblpY="147"/>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32"/>
        <w:gridCol w:w="3189"/>
        <w:gridCol w:w="2126"/>
        <w:gridCol w:w="2126"/>
      </w:tblGrid>
      <w:tr w:rsidR="000C1F5E" w:rsidRPr="00BC2010" w14:paraId="5015908F" w14:textId="77777777" w:rsidTr="00F8181D">
        <w:tc>
          <w:tcPr>
            <w:tcW w:w="9773" w:type="dxa"/>
            <w:gridSpan w:val="4"/>
            <w:tcBorders>
              <w:top w:val="single" w:sz="6" w:space="0" w:color="auto"/>
              <w:left w:val="single" w:sz="6" w:space="0" w:color="auto"/>
              <w:bottom w:val="single" w:sz="6" w:space="0" w:color="auto"/>
              <w:right w:val="single" w:sz="6" w:space="0" w:color="auto"/>
            </w:tcBorders>
            <w:shd w:val="pct15" w:color="auto" w:fill="FFFFFF"/>
            <w:hideMark/>
          </w:tcPr>
          <w:p w14:paraId="28549645" w14:textId="77777777" w:rsidR="000C1F5E" w:rsidRPr="00BC2010" w:rsidRDefault="000C1F5E" w:rsidP="00F8181D">
            <w:pPr>
              <w:pStyle w:val="FigureTitle"/>
              <w:keepLines w:val="0"/>
              <w:spacing w:before="0" w:after="0"/>
              <w:rPr>
                <w:sz w:val="24"/>
                <w:szCs w:val="24"/>
              </w:rPr>
            </w:pPr>
            <w:r w:rsidRPr="00BC2010">
              <w:rPr>
                <w:sz w:val="24"/>
                <w:szCs w:val="24"/>
              </w:rPr>
              <w:t xml:space="preserve">Use Case </w:t>
            </w:r>
            <w:r>
              <w:rPr>
                <w:sz w:val="24"/>
                <w:szCs w:val="24"/>
              </w:rPr>
              <w:t>Summary</w:t>
            </w:r>
          </w:p>
        </w:tc>
      </w:tr>
      <w:tr w:rsidR="000C1F5E" w:rsidRPr="00BC2010" w14:paraId="2DC968AE"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6657A054" w14:textId="77777777" w:rsidR="000C1F5E" w:rsidRPr="00BC2010" w:rsidRDefault="000C1F5E" w:rsidP="00F8181D">
            <w:pPr>
              <w:pStyle w:val="FigureTitle"/>
              <w:keepLines w:val="0"/>
              <w:spacing w:before="0" w:after="0"/>
              <w:jc w:val="left"/>
              <w:rPr>
                <w:sz w:val="24"/>
                <w:szCs w:val="24"/>
              </w:rPr>
            </w:pPr>
            <w:r w:rsidRPr="00BC2010">
              <w:rPr>
                <w:sz w:val="24"/>
                <w:szCs w:val="24"/>
              </w:rPr>
              <w:t>Use Case ID:</w:t>
            </w:r>
          </w:p>
        </w:tc>
        <w:tc>
          <w:tcPr>
            <w:tcW w:w="3189" w:type="dxa"/>
            <w:tcBorders>
              <w:top w:val="single" w:sz="6" w:space="0" w:color="auto"/>
              <w:left w:val="single" w:sz="6" w:space="0" w:color="auto"/>
              <w:bottom w:val="single" w:sz="6" w:space="0" w:color="auto"/>
              <w:right w:val="single" w:sz="6" w:space="0" w:color="auto"/>
            </w:tcBorders>
            <w:hideMark/>
          </w:tcPr>
          <w:p w14:paraId="4AAEA350" w14:textId="77777777" w:rsidR="000C1F5E" w:rsidRPr="00BC2010" w:rsidRDefault="000C1F5E" w:rsidP="00F8181D">
            <w:pPr>
              <w:pStyle w:val="BodyText"/>
              <w:rPr>
                <w:lang w:val="en-US"/>
              </w:rPr>
            </w:pP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28BC0403" w14:textId="77777777" w:rsidR="000C1F5E" w:rsidRPr="00BC2010" w:rsidRDefault="000C1F5E" w:rsidP="00F8181D">
            <w:pPr>
              <w:pStyle w:val="FigureTitle"/>
              <w:keepLines w:val="0"/>
              <w:spacing w:before="0" w:after="0"/>
              <w:jc w:val="left"/>
              <w:rPr>
                <w:sz w:val="24"/>
                <w:szCs w:val="24"/>
              </w:rPr>
            </w:pPr>
            <w:r w:rsidRPr="00BC2010">
              <w:rPr>
                <w:sz w:val="24"/>
                <w:szCs w:val="24"/>
              </w:rPr>
              <w:t>Use Case Type:</w:t>
            </w:r>
          </w:p>
        </w:tc>
        <w:tc>
          <w:tcPr>
            <w:tcW w:w="2126" w:type="dxa"/>
            <w:tcBorders>
              <w:top w:val="single" w:sz="6" w:space="0" w:color="auto"/>
              <w:left w:val="single" w:sz="6" w:space="0" w:color="auto"/>
              <w:bottom w:val="single" w:sz="6" w:space="0" w:color="auto"/>
              <w:right w:val="single" w:sz="6" w:space="0" w:color="auto"/>
            </w:tcBorders>
          </w:tcPr>
          <w:p w14:paraId="4FF2B9A9" w14:textId="7B9F4E1E" w:rsidR="000C1F5E" w:rsidRPr="00703E67" w:rsidRDefault="000C1F5E" w:rsidP="00F8181D">
            <w:pPr>
              <w:pStyle w:val="FigureTitle"/>
              <w:keepLines w:val="0"/>
              <w:spacing w:before="0" w:after="0"/>
              <w:jc w:val="left"/>
              <w:rPr>
                <w:b w:val="0"/>
                <w:sz w:val="24"/>
                <w:szCs w:val="24"/>
              </w:rPr>
            </w:pPr>
          </w:p>
        </w:tc>
      </w:tr>
      <w:tr w:rsidR="000C1F5E" w:rsidRPr="00BC2010" w14:paraId="78183052" w14:textId="77777777" w:rsidTr="00F8181D">
        <w:tc>
          <w:tcPr>
            <w:tcW w:w="233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C19E59" w14:textId="77777777" w:rsidR="000C1F5E" w:rsidRPr="00A60C72" w:rsidRDefault="000C1F5E" w:rsidP="00F8181D">
            <w:pPr>
              <w:pStyle w:val="FigureTitle"/>
              <w:keepLines w:val="0"/>
              <w:tabs>
                <w:tab w:val="left" w:pos="1944"/>
              </w:tabs>
              <w:spacing w:before="0" w:after="0"/>
              <w:jc w:val="left"/>
              <w:rPr>
                <w:sz w:val="24"/>
                <w:szCs w:val="24"/>
              </w:rPr>
            </w:pPr>
            <w:r>
              <w:rPr>
                <w:sz w:val="24"/>
                <w:szCs w:val="24"/>
              </w:rPr>
              <w:t>Submission Date</w:t>
            </w:r>
            <w:r w:rsidRPr="00A60C72">
              <w:rPr>
                <w:sz w:val="24"/>
                <w:szCs w:val="24"/>
              </w:rPr>
              <w:t>:</w:t>
            </w:r>
            <w:r>
              <w:rPr>
                <w:sz w:val="24"/>
                <w:szCs w:val="24"/>
              </w:rPr>
              <w:tab/>
            </w:r>
          </w:p>
        </w:tc>
        <w:tc>
          <w:tcPr>
            <w:tcW w:w="3189" w:type="dxa"/>
            <w:tcBorders>
              <w:top w:val="single" w:sz="6" w:space="0" w:color="auto"/>
              <w:left w:val="single" w:sz="6" w:space="0" w:color="auto"/>
              <w:bottom w:val="single" w:sz="6" w:space="0" w:color="auto"/>
              <w:right w:val="single" w:sz="6" w:space="0" w:color="auto"/>
            </w:tcBorders>
            <w:shd w:val="clear" w:color="auto" w:fill="auto"/>
          </w:tcPr>
          <w:p w14:paraId="78E48C94" w14:textId="77777777" w:rsidR="000C1F5E" w:rsidRPr="00703E67" w:rsidRDefault="000C1F5E" w:rsidP="00F8181D">
            <w:pPr>
              <w:pStyle w:val="FigureTitle"/>
              <w:keepLines w:val="0"/>
              <w:tabs>
                <w:tab w:val="left" w:pos="1944"/>
              </w:tabs>
              <w:spacing w:before="0" w:after="0"/>
              <w:jc w:val="left"/>
              <w:rPr>
                <w:b w:val="0"/>
                <w:sz w:val="24"/>
                <w:szCs w:val="24"/>
              </w:rPr>
            </w:pPr>
            <w:r>
              <w:rPr>
                <w:b w:val="0"/>
                <w:sz w:val="24"/>
                <w:szCs w:val="24"/>
              </w:rPr>
              <w:t>10</w:t>
            </w:r>
            <w:r w:rsidRPr="00703E67">
              <w:rPr>
                <w:b w:val="0"/>
                <w:sz w:val="24"/>
                <w:szCs w:val="24"/>
              </w:rPr>
              <w:t>-</w:t>
            </w:r>
            <w:r>
              <w:rPr>
                <w:b w:val="0"/>
                <w:sz w:val="24"/>
                <w:szCs w:val="24"/>
              </w:rPr>
              <w:t>May</w:t>
            </w:r>
            <w:r w:rsidRPr="00703E67">
              <w:rPr>
                <w:b w:val="0"/>
                <w:sz w:val="24"/>
                <w:szCs w:val="24"/>
              </w:rPr>
              <w:t xml:space="preserve"> 201</w:t>
            </w:r>
            <w:r>
              <w:rPr>
                <w:b w:val="0"/>
                <w:sz w:val="24"/>
                <w:szCs w:val="24"/>
              </w:rPr>
              <w:t>9</w:t>
            </w:r>
          </w:p>
        </w:tc>
        <w:tc>
          <w:tcPr>
            <w:tcW w:w="2126" w:type="dxa"/>
            <w:tcBorders>
              <w:top w:val="single" w:sz="6" w:space="0" w:color="auto"/>
              <w:left w:val="single" w:sz="6" w:space="0" w:color="auto"/>
              <w:bottom w:val="single" w:sz="6" w:space="0" w:color="auto"/>
              <w:right w:val="single" w:sz="6" w:space="0" w:color="auto"/>
            </w:tcBorders>
            <w:shd w:val="pct15" w:color="auto" w:fill="FFFFFF"/>
          </w:tcPr>
          <w:p w14:paraId="72F1F835" w14:textId="77777777" w:rsidR="000C1F5E" w:rsidRPr="00BC2010" w:rsidRDefault="000C1F5E" w:rsidP="00F8181D">
            <w:pPr>
              <w:pStyle w:val="FigureTitle"/>
              <w:keepLines w:val="0"/>
              <w:spacing w:before="0" w:after="0"/>
              <w:jc w:val="left"/>
              <w:rPr>
                <w:sz w:val="24"/>
                <w:szCs w:val="24"/>
              </w:rPr>
            </w:pPr>
            <w:r>
              <w:rPr>
                <w:sz w:val="24"/>
                <w:szCs w:val="24"/>
              </w:rPr>
              <w:t>Is Use Case supporting SDGs</w:t>
            </w:r>
          </w:p>
        </w:tc>
        <w:tc>
          <w:tcPr>
            <w:tcW w:w="2126" w:type="dxa"/>
            <w:tcBorders>
              <w:top w:val="single" w:sz="6" w:space="0" w:color="auto"/>
              <w:left w:val="single" w:sz="6" w:space="0" w:color="auto"/>
              <w:bottom w:val="single" w:sz="6" w:space="0" w:color="auto"/>
              <w:right w:val="single" w:sz="6" w:space="0" w:color="auto"/>
            </w:tcBorders>
          </w:tcPr>
          <w:p w14:paraId="47CBFF91" w14:textId="77777777" w:rsidR="000C1F5E" w:rsidRPr="00703E67" w:rsidRDefault="000C1F5E" w:rsidP="00F8181D">
            <w:pPr>
              <w:pStyle w:val="FigureTitle"/>
              <w:keepLines w:val="0"/>
              <w:spacing w:before="0" w:after="0"/>
              <w:jc w:val="left"/>
              <w:rPr>
                <w:b w:val="0"/>
                <w:sz w:val="24"/>
                <w:szCs w:val="24"/>
              </w:rPr>
            </w:pPr>
            <w:r w:rsidRPr="00703E67">
              <w:rPr>
                <w:b w:val="0"/>
                <w:sz w:val="24"/>
                <w:szCs w:val="24"/>
              </w:rPr>
              <w:t>Yes</w:t>
            </w:r>
          </w:p>
        </w:tc>
      </w:tr>
      <w:tr w:rsidR="000C1F5E" w:rsidRPr="00BC2010" w14:paraId="7483D398"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5302A10A" w14:textId="77777777" w:rsidR="000C1F5E" w:rsidRPr="00BC2010" w:rsidRDefault="000C1F5E" w:rsidP="00F8181D">
            <w:pPr>
              <w:pStyle w:val="FigureTitle"/>
              <w:keepLines w:val="0"/>
              <w:spacing w:before="0" w:after="0"/>
              <w:jc w:val="left"/>
              <w:rPr>
                <w:sz w:val="24"/>
                <w:szCs w:val="24"/>
              </w:rPr>
            </w:pPr>
            <w:r w:rsidRPr="00BC2010">
              <w:rPr>
                <w:sz w:val="24"/>
                <w:szCs w:val="24"/>
              </w:rPr>
              <w:t>Use Case Title:</w:t>
            </w:r>
          </w:p>
        </w:tc>
        <w:tc>
          <w:tcPr>
            <w:tcW w:w="3189" w:type="dxa"/>
            <w:tcBorders>
              <w:top w:val="single" w:sz="6" w:space="0" w:color="auto"/>
              <w:left w:val="single" w:sz="6" w:space="0" w:color="auto"/>
              <w:bottom w:val="single" w:sz="6" w:space="0" w:color="auto"/>
              <w:right w:val="single" w:sz="6" w:space="0" w:color="auto"/>
            </w:tcBorders>
          </w:tcPr>
          <w:p w14:paraId="26E8E22A" w14:textId="77777777" w:rsidR="000C1F5E" w:rsidRPr="001F7B51" w:rsidRDefault="000C1F5E" w:rsidP="00F8181D">
            <w:pPr>
              <w:pStyle w:val="BodyText"/>
              <w:rPr>
                <w:rFonts w:ascii="Times New Roman" w:hAnsi="Times New Roman" w:cs="Times New Roman"/>
                <w:sz w:val="24"/>
                <w:szCs w:val="24"/>
                <w:lang w:val="en-US"/>
              </w:rPr>
            </w:pPr>
            <w:r w:rsidRPr="001F7B51">
              <w:rPr>
                <w:rFonts w:ascii="Times New Roman" w:hAnsi="Times New Roman" w:cs="Times New Roman"/>
                <w:sz w:val="24"/>
                <w:szCs w:val="24"/>
              </w:rPr>
              <w:t>Public sector lending transparency</w:t>
            </w:r>
          </w:p>
        </w:tc>
        <w:tc>
          <w:tcPr>
            <w:tcW w:w="2126" w:type="dxa"/>
            <w:tcBorders>
              <w:top w:val="single" w:sz="6" w:space="0" w:color="auto"/>
              <w:left w:val="single" w:sz="6" w:space="0" w:color="auto"/>
              <w:bottom w:val="single" w:sz="6" w:space="0" w:color="auto"/>
              <w:right w:val="single" w:sz="6" w:space="0" w:color="auto"/>
            </w:tcBorders>
            <w:shd w:val="pct15" w:color="auto" w:fill="FFFFFF"/>
          </w:tcPr>
          <w:p w14:paraId="4F391D74" w14:textId="77777777" w:rsidR="000C1F5E" w:rsidRPr="00BC2010" w:rsidRDefault="000C1F5E" w:rsidP="00F8181D">
            <w:pPr>
              <w:pStyle w:val="FigureTitle"/>
              <w:keepLines w:val="0"/>
              <w:spacing w:before="0" w:after="0"/>
              <w:jc w:val="left"/>
              <w:rPr>
                <w:sz w:val="24"/>
                <w:szCs w:val="24"/>
              </w:rPr>
            </w:pPr>
            <w:r w:rsidRPr="00BC2010">
              <w:rPr>
                <w:sz w:val="24"/>
                <w:szCs w:val="24"/>
              </w:rPr>
              <w:t>Domain:</w:t>
            </w:r>
          </w:p>
        </w:tc>
        <w:tc>
          <w:tcPr>
            <w:tcW w:w="2126" w:type="dxa"/>
            <w:tcBorders>
              <w:top w:val="single" w:sz="6" w:space="0" w:color="auto"/>
              <w:left w:val="single" w:sz="6" w:space="0" w:color="auto"/>
              <w:bottom w:val="single" w:sz="6" w:space="0" w:color="auto"/>
              <w:right w:val="single" w:sz="6" w:space="0" w:color="auto"/>
            </w:tcBorders>
          </w:tcPr>
          <w:p w14:paraId="5D2BCDD2" w14:textId="77777777" w:rsidR="000C1F5E" w:rsidRPr="00703E67" w:rsidRDefault="000C1F5E" w:rsidP="00F8181D">
            <w:pPr>
              <w:pStyle w:val="FigureTitle"/>
              <w:keepLines w:val="0"/>
              <w:spacing w:before="0" w:after="0"/>
              <w:jc w:val="left"/>
              <w:rPr>
                <w:b w:val="0"/>
                <w:sz w:val="24"/>
                <w:szCs w:val="24"/>
              </w:rPr>
            </w:pPr>
            <w:r w:rsidRPr="00703E67">
              <w:rPr>
                <w:b w:val="0"/>
              </w:rPr>
              <w:t>Government and public sector</w:t>
            </w:r>
          </w:p>
        </w:tc>
      </w:tr>
      <w:tr w:rsidR="000C1F5E" w:rsidRPr="00BC2010" w14:paraId="7090FE5B"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0059540D" w14:textId="77777777" w:rsidR="000C1F5E" w:rsidRPr="00BC2010" w:rsidRDefault="000C1F5E" w:rsidP="00F8181D">
            <w:pPr>
              <w:pStyle w:val="FigureTitle"/>
              <w:keepLines w:val="0"/>
              <w:spacing w:before="0" w:after="0"/>
              <w:jc w:val="left"/>
              <w:rPr>
                <w:sz w:val="24"/>
                <w:szCs w:val="24"/>
              </w:rPr>
            </w:pPr>
            <w:r>
              <w:rPr>
                <w:sz w:val="24"/>
                <w:szCs w:val="24"/>
              </w:rPr>
              <w:t>Status of Case</w:t>
            </w:r>
          </w:p>
        </w:tc>
        <w:tc>
          <w:tcPr>
            <w:tcW w:w="3189" w:type="dxa"/>
            <w:tcBorders>
              <w:top w:val="single" w:sz="6" w:space="0" w:color="auto"/>
              <w:left w:val="single" w:sz="6" w:space="0" w:color="auto"/>
              <w:bottom w:val="single" w:sz="6" w:space="0" w:color="auto"/>
              <w:right w:val="single" w:sz="6" w:space="0" w:color="auto"/>
            </w:tcBorders>
          </w:tcPr>
          <w:p w14:paraId="7DFA2480" w14:textId="77777777" w:rsidR="000C1F5E" w:rsidRPr="001F7B51" w:rsidRDefault="000C1F5E" w:rsidP="00F8181D">
            <w:pPr>
              <w:pStyle w:val="BodyText"/>
              <w:rPr>
                <w:rFonts w:ascii="Times New Roman" w:hAnsi="Times New Roman" w:cs="Times New Roman"/>
                <w:sz w:val="24"/>
                <w:szCs w:val="24"/>
                <w:lang w:val="en-US"/>
              </w:rPr>
            </w:pPr>
            <w:r w:rsidRPr="001F7B51">
              <w:rPr>
                <w:rFonts w:ascii="Times New Roman" w:hAnsi="Times New Roman" w:cs="Times New Roman"/>
                <w:sz w:val="24"/>
                <w:szCs w:val="24"/>
                <w:lang w:val="en-US"/>
              </w:rPr>
              <w:t>PoC</w:t>
            </w:r>
          </w:p>
        </w:tc>
        <w:tc>
          <w:tcPr>
            <w:tcW w:w="2126" w:type="dxa"/>
            <w:tcBorders>
              <w:top w:val="single" w:sz="6" w:space="0" w:color="auto"/>
              <w:left w:val="single" w:sz="6" w:space="0" w:color="auto"/>
              <w:bottom w:val="single" w:sz="6" w:space="0" w:color="auto"/>
              <w:right w:val="single" w:sz="6" w:space="0" w:color="auto"/>
            </w:tcBorders>
            <w:shd w:val="pct15" w:color="auto" w:fill="FFFFFF"/>
          </w:tcPr>
          <w:p w14:paraId="00574209" w14:textId="77777777" w:rsidR="000C1F5E" w:rsidRPr="00BC2010" w:rsidRDefault="000C1F5E" w:rsidP="00F8181D">
            <w:pPr>
              <w:pStyle w:val="FigureTitle"/>
              <w:keepLines w:val="0"/>
              <w:spacing w:before="0" w:after="0"/>
              <w:jc w:val="left"/>
              <w:rPr>
                <w:sz w:val="24"/>
                <w:szCs w:val="24"/>
              </w:rPr>
            </w:pPr>
            <w:r>
              <w:rPr>
                <w:sz w:val="24"/>
                <w:szCs w:val="24"/>
              </w:rPr>
              <w:t>Sub-Domain</w:t>
            </w:r>
          </w:p>
        </w:tc>
        <w:tc>
          <w:tcPr>
            <w:tcW w:w="2126" w:type="dxa"/>
            <w:tcBorders>
              <w:top w:val="single" w:sz="6" w:space="0" w:color="auto"/>
              <w:left w:val="single" w:sz="6" w:space="0" w:color="auto"/>
              <w:bottom w:val="single" w:sz="6" w:space="0" w:color="auto"/>
              <w:right w:val="single" w:sz="6" w:space="0" w:color="auto"/>
            </w:tcBorders>
          </w:tcPr>
          <w:p w14:paraId="2E8CF49D" w14:textId="77777777" w:rsidR="000C1F5E" w:rsidRPr="00703E67" w:rsidRDefault="000C1F5E" w:rsidP="00F8181D">
            <w:pPr>
              <w:pStyle w:val="FigureTitle"/>
              <w:keepLines w:val="0"/>
              <w:spacing w:before="0" w:after="0"/>
              <w:jc w:val="left"/>
              <w:rPr>
                <w:b w:val="0"/>
                <w:sz w:val="24"/>
                <w:szCs w:val="24"/>
              </w:rPr>
            </w:pPr>
            <w:r w:rsidRPr="00703E67">
              <w:rPr>
                <w:b w:val="0"/>
              </w:rPr>
              <w:t>Government and non-profit transparency</w:t>
            </w:r>
          </w:p>
        </w:tc>
      </w:tr>
      <w:tr w:rsidR="000C1F5E" w:rsidRPr="00BC2010" w14:paraId="651D162A"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057AD0B0" w14:textId="77777777" w:rsidR="000C1F5E" w:rsidRDefault="000C1F5E" w:rsidP="00F8181D">
            <w:pPr>
              <w:pStyle w:val="FigureTitle"/>
              <w:keepLines w:val="0"/>
              <w:spacing w:before="0" w:after="0"/>
              <w:jc w:val="left"/>
              <w:rPr>
                <w:rFonts w:cstheme="minorHAnsi"/>
                <w:color w:val="000000"/>
                <w:sz w:val="24"/>
                <w:szCs w:val="24"/>
                <w:lang w:val="en-GB"/>
              </w:rPr>
            </w:pPr>
            <w:r w:rsidRPr="0025568D">
              <w:rPr>
                <w:rFonts w:cstheme="minorHAnsi"/>
                <w:color w:val="000000"/>
                <w:sz w:val="24"/>
                <w:szCs w:val="24"/>
                <w:lang w:val="en-GB"/>
              </w:rPr>
              <w:t>Contact information of pe</w:t>
            </w:r>
            <w:r>
              <w:rPr>
                <w:rFonts w:cstheme="minorHAnsi"/>
                <w:color w:val="000000"/>
                <w:sz w:val="24"/>
                <w:szCs w:val="24"/>
                <w:lang w:val="en-GB"/>
              </w:rPr>
              <w:t>rson submitting/</w:t>
            </w:r>
          </w:p>
          <w:p w14:paraId="53A4AB81" w14:textId="77777777" w:rsidR="000C1F5E" w:rsidRPr="00BC2010" w:rsidRDefault="000C1F5E" w:rsidP="00F8181D">
            <w:pPr>
              <w:pStyle w:val="FigureTitle"/>
              <w:keepLines w:val="0"/>
              <w:spacing w:before="0" w:after="0"/>
              <w:jc w:val="left"/>
              <w:rPr>
                <w:sz w:val="24"/>
                <w:szCs w:val="24"/>
              </w:rPr>
            </w:pPr>
            <w:r>
              <w:rPr>
                <w:rFonts w:cstheme="minorHAnsi"/>
                <w:color w:val="000000"/>
                <w:sz w:val="24"/>
                <w:szCs w:val="24"/>
                <w:lang w:val="en-GB"/>
              </w:rPr>
              <w:t>managing the use-case</w:t>
            </w:r>
          </w:p>
        </w:tc>
        <w:tc>
          <w:tcPr>
            <w:tcW w:w="7441" w:type="dxa"/>
            <w:gridSpan w:val="3"/>
            <w:tcBorders>
              <w:top w:val="single" w:sz="6" w:space="0" w:color="auto"/>
              <w:left w:val="single" w:sz="6" w:space="0" w:color="auto"/>
              <w:bottom w:val="single" w:sz="6" w:space="0" w:color="auto"/>
              <w:right w:val="single" w:sz="6" w:space="0" w:color="auto"/>
            </w:tcBorders>
          </w:tcPr>
          <w:p w14:paraId="6F545D36" w14:textId="77777777" w:rsidR="000C1F5E" w:rsidRPr="00C106AC" w:rsidRDefault="000C1F5E" w:rsidP="00F8181D">
            <w:pPr>
              <w:rPr>
                <w:rFonts w:cstheme="minorHAnsi"/>
                <w:lang w:val="en-US"/>
              </w:rPr>
            </w:pPr>
            <w:r w:rsidRPr="00C106AC">
              <w:rPr>
                <w:rFonts w:cstheme="minorHAnsi"/>
                <w:lang w:val="en-US"/>
              </w:rPr>
              <w:t>Full Name: John William Kiff (IMF)</w:t>
            </w:r>
          </w:p>
          <w:p w14:paraId="1288C94C" w14:textId="77777777" w:rsidR="000C1F5E" w:rsidRPr="00703E67" w:rsidRDefault="000C1F5E" w:rsidP="00F8181D">
            <w:pPr>
              <w:rPr>
                <w:rFonts w:cstheme="minorHAnsi"/>
              </w:rPr>
            </w:pPr>
            <w:r w:rsidRPr="00703E67">
              <w:rPr>
                <w:rFonts w:cstheme="minorHAnsi"/>
              </w:rPr>
              <w:t>Job Title: S</w:t>
            </w:r>
            <w:r>
              <w:rPr>
                <w:rFonts w:cstheme="minorHAnsi"/>
              </w:rPr>
              <w:t>enior Financial Sector Expert</w:t>
            </w:r>
          </w:p>
          <w:p w14:paraId="249F12A5" w14:textId="77777777" w:rsidR="000C1F5E" w:rsidRPr="00703E67" w:rsidRDefault="000C1F5E" w:rsidP="00F8181D">
            <w:pPr>
              <w:rPr>
                <w:rFonts w:cstheme="minorHAnsi"/>
              </w:rPr>
            </w:pPr>
            <w:r w:rsidRPr="00703E67">
              <w:rPr>
                <w:rFonts w:cstheme="minorHAnsi"/>
              </w:rPr>
              <w:t xml:space="preserve">E-mail address: </w:t>
            </w:r>
            <w:hyperlink r:id="rId82" w:history="1">
              <w:r w:rsidRPr="006D7DBA">
                <w:rPr>
                  <w:rStyle w:val="Hyperlink"/>
                  <w:rFonts w:cstheme="minorHAnsi"/>
                </w:rPr>
                <w:t>jkiff@imf.org</w:t>
              </w:r>
            </w:hyperlink>
            <w:r>
              <w:rPr>
                <w:rFonts w:cstheme="minorHAnsi"/>
              </w:rPr>
              <w:t xml:space="preserve"> </w:t>
            </w:r>
            <w:r w:rsidRPr="00703E67">
              <w:rPr>
                <w:rFonts w:cstheme="minorHAnsi"/>
              </w:rPr>
              <w:t xml:space="preserve">                          </w:t>
            </w:r>
          </w:p>
          <w:p w14:paraId="059B19F7" w14:textId="77777777" w:rsidR="000C1F5E" w:rsidRPr="00703E67" w:rsidRDefault="000C1F5E" w:rsidP="00F8181D">
            <w:pPr>
              <w:rPr>
                <w:rFonts w:cstheme="minorHAnsi"/>
              </w:rPr>
            </w:pPr>
            <w:r w:rsidRPr="00703E67">
              <w:rPr>
                <w:rFonts w:cstheme="minorHAnsi"/>
              </w:rPr>
              <w:t>Telephone number:</w:t>
            </w:r>
            <w:r>
              <w:t xml:space="preserve"> </w:t>
            </w:r>
            <w:r w:rsidRPr="00BF141E">
              <w:rPr>
                <w:rFonts w:cstheme="minorHAnsi"/>
              </w:rPr>
              <w:t>+1</w:t>
            </w:r>
            <w:r>
              <w:rPr>
                <w:rFonts w:cstheme="minorHAnsi"/>
              </w:rPr>
              <w:t>-</w:t>
            </w:r>
            <w:r w:rsidRPr="00BF141E">
              <w:rPr>
                <w:rFonts w:cstheme="minorHAnsi"/>
              </w:rPr>
              <w:t>202-623-4052</w:t>
            </w:r>
          </w:p>
          <w:p w14:paraId="2A3FB9ED" w14:textId="77777777" w:rsidR="000C1F5E" w:rsidRPr="00C106AC" w:rsidRDefault="000C1F5E" w:rsidP="00F8181D">
            <w:pPr>
              <w:pStyle w:val="BodyText"/>
              <w:rPr>
                <w:rFonts w:ascii="Times New Roman" w:hAnsi="Times New Roman" w:cs="Times New Roman"/>
                <w:color w:val="000000"/>
                <w:sz w:val="24"/>
                <w:szCs w:val="24"/>
                <w:lang w:val="en-US"/>
              </w:rPr>
            </w:pPr>
            <w:r w:rsidRPr="00C106AC">
              <w:rPr>
                <w:rFonts w:ascii="Times New Roman" w:hAnsi="Times New Roman" w:cs="Times New Roman"/>
                <w:color w:val="000000"/>
                <w:sz w:val="24"/>
                <w:szCs w:val="24"/>
                <w:lang w:val="en-US"/>
              </w:rPr>
              <w:t>Social media:</w:t>
            </w:r>
            <w:r w:rsidRPr="00C106AC">
              <w:rPr>
                <w:rFonts w:ascii="Times New Roman" w:hAnsi="Times New Roman" w:cs="Times New Roman"/>
                <w:sz w:val="24"/>
                <w:szCs w:val="24"/>
                <w:lang w:val="en-US"/>
              </w:rPr>
              <w:t xml:space="preserve"> </w:t>
            </w:r>
            <w:r w:rsidRPr="001F7B51">
              <w:rPr>
                <w:rFonts w:ascii="Times New Roman" w:hAnsi="Times New Roman" w:cs="Times New Roman"/>
                <w:sz w:val="24"/>
                <w:szCs w:val="24"/>
              </w:rPr>
              <w:t xml:space="preserve"> </w:t>
            </w:r>
            <w:hyperlink r:id="rId83" w:history="1">
              <w:r w:rsidRPr="001F7B51">
                <w:rPr>
                  <w:rStyle w:val="Hyperlink"/>
                  <w:rFonts w:ascii="Times New Roman" w:hAnsi="Times New Roman" w:cs="Times New Roman"/>
                  <w:sz w:val="24"/>
                  <w:szCs w:val="24"/>
                </w:rPr>
                <w:t>https://www.linkedin.com/in/kiffmeister/</w:t>
              </w:r>
            </w:hyperlink>
            <w:r w:rsidRPr="00C106AC">
              <w:rPr>
                <w:rFonts w:ascii="Times New Roman" w:hAnsi="Times New Roman" w:cs="Times New Roman"/>
                <w:color w:val="000000"/>
                <w:sz w:val="24"/>
                <w:szCs w:val="24"/>
                <w:lang w:val="en-US"/>
              </w:rPr>
              <w:t xml:space="preserve">                         </w:t>
            </w:r>
          </w:p>
          <w:p w14:paraId="69CC7E7B" w14:textId="77777777" w:rsidR="000C1F5E" w:rsidRPr="00FE1151" w:rsidRDefault="000C1F5E" w:rsidP="00F8181D">
            <w:pPr>
              <w:pStyle w:val="BodyText"/>
              <w:rPr>
                <w:i/>
                <w:lang w:val="en-US"/>
              </w:rPr>
            </w:pPr>
            <w:r w:rsidRPr="001F7B51">
              <w:rPr>
                <w:rFonts w:ascii="Times New Roman" w:hAnsi="Times New Roman" w:cs="Times New Roman"/>
                <w:color w:val="000000"/>
                <w:sz w:val="24"/>
                <w:szCs w:val="24"/>
              </w:rPr>
              <w:t xml:space="preserve">Web site: </w:t>
            </w:r>
            <w:r w:rsidRPr="001F7B51">
              <w:rPr>
                <w:rFonts w:ascii="Times New Roman" w:hAnsi="Times New Roman" w:cs="Times New Roman"/>
                <w:sz w:val="24"/>
                <w:szCs w:val="24"/>
              </w:rPr>
              <w:t xml:space="preserve">  </w:t>
            </w:r>
            <w:hyperlink r:id="rId84" w:history="1">
              <w:r w:rsidRPr="001F7B51">
                <w:rPr>
                  <w:rStyle w:val="Hyperlink"/>
                  <w:rFonts w:ascii="Times New Roman" w:hAnsi="Times New Roman" w:cs="Times New Roman"/>
                  <w:sz w:val="24"/>
                  <w:szCs w:val="24"/>
                </w:rPr>
                <w:t>https://www.imf.org/external/index.htm</w:t>
              </w:r>
            </w:hyperlink>
          </w:p>
        </w:tc>
      </w:tr>
      <w:tr w:rsidR="000C1F5E" w:rsidRPr="00BC2010" w14:paraId="13F128E7"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27E82F29" w14:textId="77777777" w:rsidR="000C1F5E" w:rsidRPr="00BC2010" w:rsidRDefault="000C1F5E" w:rsidP="00F8181D">
            <w:pPr>
              <w:pStyle w:val="FigureTitle"/>
              <w:keepLines w:val="0"/>
              <w:spacing w:before="0" w:after="0"/>
              <w:jc w:val="left"/>
              <w:rPr>
                <w:sz w:val="24"/>
                <w:szCs w:val="24"/>
              </w:rPr>
            </w:pPr>
            <w:r w:rsidRPr="0025568D">
              <w:rPr>
                <w:rFonts w:cstheme="minorHAnsi"/>
                <w:color w:val="000000"/>
                <w:sz w:val="24"/>
                <w:szCs w:val="24"/>
                <w:lang w:val="en-GB"/>
              </w:rPr>
              <w:t>Proposing Organization</w:t>
            </w:r>
          </w:p>
        </w:tc>
        <w:tc>
          <w:tcPr>
            <w:tcW w:w="7441" w:type="dxa"/>
            <w:gridSpan w:val="3"/>
            <w:tcBorders>
              <w:top w:val="single" w:sz="6" w:space="0" w:color="auto"/>
              <w:left w:val="single" w:sz="6" w:space="0" w:color="auto"/>
              <w:bottom w:val="single" w:sz="6" w:space="0" w:color="auto"/>
              <w:right w:val="single" w:sz="6" w:space="0" w:color="auto"/>
            </w:tcBorders>
          </w:tcPr>
          <w:p w14:paraId="116612F0" w14:textId="77777777" w:rsidR="000C1F5E" w:rsidRPr="00703E67" w:rsidRDefault="000C1F5E" w:rsidP="00F8181D">
            <w:pPr>
              <w:pStyle w:val="FigureTitle"/>
              <w:keepLines w:val="0"/>
              <w:spacing w:before="0" w:after="0"/>
              <w:jc w:val="left"/>
              <w:rPr>
                <w:b w:val="0"/>
                <w:sz w:val="24"/>
                <w:szCs w:val="24"/>
              </w:rPr>
            </w:pPr>
            <w:r>
              <w:rPr>
                <w:rFonts w:cstheme="minorHAnsi"/>
                <w:b w:val="0"/>
                <w:color w:val="000000"/>
                <w:sz w:val="24"/>
                <w:szCs w:val="24"/>
                <w:lang w:val="en-GB"/>
              </w:rPr>
              <w:t>IMF, Washington D.C.</w:t>
            </w:r>
          </w:p>
        </w:tc>
      </w:tr>
      <w:tr w:rsidR="00892C4E" w:rsidRPr="00BC2010" w14:paraId="0558E317" w14:textId="77777777" w:rsidTr="00F8181D">
        <w:trPr>
          <w:trHeight w:val="2022"/>
        </w:trPr>
        <w:tc>
          <w:tcPr>
            <w:tcW w:w="2332" w:type="dxa"/>
            <w:tcBorders>
              <w:top w:val="single" w:sz="6" w:space="0" w:color="auto"/>
              <w:left w:val="single" w:sz="6" w:space="0" w:color="auto"/>
              <w:bottom w:val="single" w:sz="6" w:space="0" w:color="auto"/>
              <w:right w:val="single" w:sz="6" w:space="0" w:color="auto"/>
            </w:tcBorders>
            <w:shd w:val="pct15" w:color="auto" w:fill="FFFFFF"/>
          </w:tcPr>
          <w:p w14:paraId="25BAE3BC" w14:textId="77777777" w:rsidR="00892C4E" w:rsidRPr="00BC2010" w:rsidRDefault="00892C4E" w:rsidP="00892C4E">
            <w:pPr>
              <w:pStyle w:val="FigureTitle"/>
              <w:keepLines w:val="0"/>
              <w:spacing w:before="0" w:after="0"/>
              <w:jc w:val="left"/>
              <w:rPr>
                <w:sz w:val="24"/>
                <w:szCs w:val="24"/>
              </w:rPr>
            </w:pPr>
            <w:r w:rsidRPr="0025568D">
              <w:rPr>
                <w:rFonts w:cstheme="minorHAnsi"/>
                <w:color w:val="000000"/>
                <w:sz w:val="24"/>
                <w:szCs w:val="24"/>
                <w:lang w:val="en-GB"/>
              </w:rPr>
              <w:t>Short Description</w:t>
            </w:r>
          </w:p>
        </w:tc>
        <w:tc>
          <w:tcPr>
            <w:tcW w:w="7441" w:type="dxa"/>
            <w:gridSpan w:val="3"/>
            <w:tcBorders>
              <w:top w:val="single" w:sz="6" w:space="0" w:color="auto"/>
              <w:left w:val="single" w:sz="6" w:space="0" w:color="auto"/>
              <w:bottom w:val="single" w:sz="6" w:space="0" w:color="auto"/>
              <w:right w:val="single" w:sz="6" w:space="0" w:color="auto"/>
            </w:tcBorders>
          </w:tcPr>
          <w:p w14:paraId="0DBF7785" w14:textId="77777777" w:rsidR="00892C4E" w:rsidRPr="000B3945" w:rsidRDefault="00892C4E" w:rsidP="00892C4E">
            <w:r>
              <w:t xml:space="preserve">This retail CBDC use case refers to the digital version of the Uruguayan Peso called e-Peso. The Banco Central del Uruguay (BCU) completed a six-month pilot project in April 2018 to test out technical and operational aspects related to the e-Peso such as currency production and circulation. The pilot project offered the BCU a controlled environment, in which the stakeholder could learn about CBDCs without assuming excessive risks. </w:t>
            </w:r>
          </w:p>
        </w:tc>
      </w:tr>
      <w:tr w:rsidR="00892C4E" w:rsidRPr="00BC2010" w14:paraId="412E74FD"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3E0C9E8E" w14:textId="77777777" w:rsidR="00892C4E" w:rsidRPr="00BC2010" w:rsidRDefault="00892C4E" w:rsidP="00892C4E">
            <w:pPr>
              <w:pStyle w:val="FigureTitle"/>
              <w:keepLines w:val="0"/>
              <w:spacing w:before="0" w:after="0"/>
              <w:jc w:val="left"/>
              <w:rPr>
                <w:sz w:val="24"/>
                <w:szCs w:val="24"/>
              </w:rPr>
            </w:pPr>
            <w:r w:rsidRPr="0025568D">
              <w:rPr>
                <w:rFonts w:cstheme="minorHAnsi"/>
                <w:color w:val="000000"/>
                <w:sz w:val="24"/>
                <w:szCs w:val="24"/>
                <w:lang w:val="en-GB"/>
              </w:rPr>
              <w:t>Long description</w:t>
            </w:r>
          </w:p>
        </w:tc>
        <w:tc>
          <w:tcPr>
            <w:tcW w:w="7441" w:type="dxa"/>
            <w:gridSpan w:val="3"/>
            <w:tcBorders>
              <w:top w:val="single" w:sz="6" w:space="0" w:color="auto"/>
              <w:left w:val="single" w:sz="6" w:space="0" w:color="auto"/>
              <w:bottom w:val="single" w:sz="6" w:space="0" w:color="auto"/>
              <w:right w:val="single" w:sz="6" w:space="0" w:color="auto"/>
            </w:tcBorders>
          </w:tcPr>
          <w:p w14:paraId="71C37498" w14:textId="5A48774F" w:rsidR="00892C4E" w:rsidRDefault="00892C4E" w:rsidP="00892C4E">
            <w:r>
              <w:t xml:space="preserve">The e-Peso was designed as an electronic platform for the Uruguayan Peso with legal tender status. The BCU worked closely with a telecom provider and IT and payment solutions providers. The BCU issued 20 million e-Pesos with 10,000 participating mobile phone users selected on a first-come-first-serve basis. The e-Pesos were created at the BCU and transferred from the e-vault to the participants’ digital wallets. The users could use the e-Pesos in their mobile phone wallets to pay for goods and services in registered stores and businesses as well as for peer-to-peer transfers among registered users. The BCU built incentive structures that ensured users converted cash into e-Pesos at the onset of the project and continued using the currency through the duration of the project. The system provided for mobile-enabled instantaneous settlement, not requiring any bank account. The digital wallets and encrypted vault included system-designed anonymity while still allowing for traceability. Given that the e-Peso never leaves the circulation platform and just changes ownership between participants, the actual notes were secure even in cases when users lost their phones or passwords for their digital wallets. Each e-Peso had a unique serial number that could be traced to a user rendering the bills traceable and pre-empting double-spending and forgery. </w:t>
            </w:r>
          </w:p>
          <w:p w14:paraId="714D6527" w14:textId="2916082A" w:rsidR="00892C4E" w:rsidRPr="000B3945" w:rsidRDefault="00892C4E" w:rsidP="00892C4E">
            <w:r>
              <w:t xml:space="preserve">The initial pilot assessment revealed that most transactions were peer-to-peer. The pilot project did not encounter any technical incidents and the number of participating retails stores increased over time with banks expressing interest in joining the pilot. </w:t>
            </w:r>
          </w:p>
        </w:tc>
      </w:tr>
      <w:tr w:rsidR="00892C4E" w:rsidRPr="00BC2010" w14:paraId="4C5F2A18"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2E4AF670" w14:textId="77777777" w:rsidR="00892C4E" w:rsidRPr="0025568D" w:rsidRDefault="00892C4E" w:rsidP="00892C4E">
            <w:pPr>
              <w:pStyle w:val="FigureTitle"/>
              <w:keepLines w:val="0"/>
              <w:spacing w:before="0" w:after="0"/>
              <w:jc w:val="left"/>
              <w:rPr>
                <w:rFonts w:cstheme="minorHAnsi"/>
                <w:color w:val="000000"/>
                <w:sz w:val="24"/>
                <w:szCs w:val="24"/>
                <w:lang w:val="en-GB"/>
              </w:rPr>
            </w:pPr>
            <w:r w:rsidRPr="0025568D">
              <w:rPr>
                <w:rFonts w:cstheme="minorHAnsi"/>
                <w:color w:val="000000"/>
                <w:sz w:val="24"/>
                <w:szCs w:val="24"/>
                <w:lang w:val="en-GB"/>
              </w:rPr>
              <w:t>SDG in Focus</w:t>
            </w:r>
            <w:r>
              <w:rPr>
                <w:rFonts w:cstheme="minorHAnsi"/>
                <w:color w:val="000000"/>
                <w:sz w:val="24"/>
                <w:szCs w:val="24"/>
                <w:lang w:val="en-GB"/>
              </w:rPr>
              <w:t xml:space="preserve"> (when applicable)</w:t>
            </w:r>
          </w:p>
        </w:tc>
        <w:tc>
          <w:tcPr>
            <w:tcW w:w="7441" w:type="dxa"/>
            <w:gridSpan w:val="3"/>
            <w:tcBorders>
              <w:top w:val="single" w:sz="6" w:space="0" w:color="auto"/>
              <w:left w:val="single" w:sz="6" w:space="0" w:color="auto"/>
              <w:bottom w:val="single" w:sz="6" w:space="0" w:color="auto"/>
              <w:right w:val="single" w:sz="6" w:space="0" w:color="auto"/>
            </w:tcBorders>
          </w:tcPr>
          <w:p w14:paraId="0CDCE914" w14:textId="7DFFE3B9" w:rsidR="00892C4E" w:rsidRPr="00C55ACB" w:rsidRDefault="001F7B51" w:rsidP="001F7B51">
            <w:pPr>
              <w:pStyle w:val="BodyText"/>
              <w:spacing w:after="0"/>
              <w:rPr>
                <w:rFonts w:ascii="Times New Roman" w:eastAsia="MS Mincho" w:hAnsi="Times New Roman" w:cs="Times New Roman"/>
                <w:sz w:val="24"/>
                <w:lang w:eastAsia="zh-CN"/>
              </w:rPr>
            </w:pPr>
            <w:r>
              <w:rPr>
                <w:rFonts w:ascii="Times New Roman" w:eastAsia="MS Mincho" w:hAnsi="Times New Roman" w:cs="Times New Roman"/>
                <w:sz w:val="24"/>
                <w:lang w:eastAsia="zh-CN"/>
              </w:rPr>
              <w:t>1</w:t>
            </w:r>
            <w:r w:rsidR="00892C4E" w:rsidRPr="00C55ACB">
              <w:rPr>
                <w:rFonts w:ascii="Times New Roman" w:eastAsia="MS Mincho" w:hAnsi="Times New Roman" w:cs="Times New Roman"/>
                <w:sz w:val="24"/>
                <w:lang w:eastAsia="zh-CN"/>
              </w:rPr>
              <w:t>. Promote sustained, inclusive and sustainable economic growth, full and productive employment and decent work for all</w:t>
            </w:r>
          </w:p>
          <w:p w14:paraId="11E65532" w14:textId="23009480" w:rsidR="00892C4E" w:rsidRPr="006D6E13" w:rsidRDefault="001F7B51" w:rsidP="001F7B51">
            <w:pPr>
              <w:pStyle w:val="BodyText"/>
              <w:spacing w:after="0"/>
            </w:pPr>
            <w:r>
              <w:rPr>
                <w:rFonts w:ascii="Times New Roman" w:eastAsia="MS Mincho" w:hAnsi="Times New Roman" w:cs="Times New Roman"/>
                <w:sz w:val="24"/>
                <w:lang w:eastAsia="zh-CN"/>
              </w:rPr>
              <w:t>2.</w:t>
            </w:r>
            <w:r w:rsidR="00892C4E" w:rsidRPr="00C55ACB">
              <w:rPr>
                <w:rFonts w:ascii="Times New Roman" w:eastAsia="MS Mincho" w:hAnsi="Times New Roman" w:cs="Times New Roman"/>
                <w:sz w:val="24"/>
                <w:lang w:eastAsia="zh-CN"/>
              </w:rPr>
              <w:t xml:space="preserve"> Build resilient infrastructure, promote inclusive and sustainable industrialization and foster innovation.</w:t>
            </w:r>
          </w:p>
        </w:tc>
      </w:tr>
      <w:tr w:rsidR="00892C4E" w:rsidRPr="00BC2010" w14:paraId="14202834"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79DEA6C5" w14:textId="77777777" w:rsidR="00892C4E" w:rsidRPr="00BC2010" w:rsidRDefault="00892C4E" w:rsidP="00892C4E">
            <w:pPr>
              <w:pStyle w:val="FigureTitle"/>
              <w:keepLines w:val="0"/>
              <w:spacing w:before="0" w:after="0"/>
              <w:jc w:val="left"/>
              <w:rPr>
                <w:sz w:val="24"/>
                <w:szCs w:val="24"/>
              </w:rPr>
            </w:pPr>
            <w:r w:rsidRPr="00BC2010">
              <w:rPr>
                <w:sz w:val="24"/>
                <w:szCs w:val="24"/>
              </w:rPr>
              <w:t>Value Transfer:</w:t>
            </w:r>
          </w:p>
        </w:tc>
        <w:tc>
          <w:tcPr>
            <w:tcW w:w="3189" w:type="dxa"/>
            <w:tcBorders>
              <w:top w:val="single" w:sz="6" w:space="0" w:color="auto"/>
              <w:left w:val="single" w:sz="6" w:space="0" w:color="auto"/>
              <w:bottom w:val="single" w:sz="6" w:space="0" w:color="auto"/>
              <w:right w:val="single" w:sz="6" w:space="0" w:color="auto"/>
            </w:tcBorders>
          </w:tcPr>
          <w:p w14:paraId="6DB0BB6A" w14:textId="77777777" w:rsidR="00892C4E" w:rsidRPr="00C55ACB" w:rsidRDefault="00892C4E" w:rsidP="00892C4E">
            <w:pPr>
              <w:pStyle w:val="BodyText"/>
              <w:rPr>
                <w:rFonts w:ascii="Times New Roman" w:hAnsi="Times New Roman" w:cs="Times New Roman"/>
                <w:sz w:val="24"/>
                <w:szCs w:val="24"/>
              </w:rPr>
            </w:pPr>
            <w:r w:rsidRPr="00C55ACB">
              <w:rPr>
                <w:rFonts w:ascii="Times New Roman" w:hAnsi="Times New Roman" w:cs="Times New Roman"/>
                <w:sz w:val="24"/>
                <w:szCs w:val="24"/>
              </w:rPr>
              <w:t>Digital fiat currency</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3012C86C" w14:textId="77777777" w:rsidR="00892C4E" w:rsidRPr="00C55ACB" w:rsidRDefault="00892C4E" w:rsidP="00892C4E">
            <w:pPr>
              <w:pStyle w:val="BodyText"/>
              <w:rPr>
                <w:rFonts w:ascii="Times New Roman" w:hAnsi="Times New Roman" w:cs="Times New Roman"/>
                <w:sz w:val="24"/>
                <w:szCs w:val="24"/>
              </w:rPr>
            </w:pPr>
            <w:r w:rsidRPr="00C55ACB">
              <w:rPr>
                <w:rFonts w:ascii="Times New Roman" w:hAnsi="Times New Roman" w:cs="Times New Roman"/>
                <w:sz w:val="24"/>
                <w:szCs w:val="24"/>
              </w:rPr>
              <w:t>Number of Users:</w:t>
            </w:r>
          </w:p>
        </w:tc>
        <w:tc>
          <w:tcPr>
            <w:tcW w:w="2126" w:type="dxa"/>
            <w:tcBorders>
              <w:top w:val="single" w:sz="6" w:space="0" w:color="auto"/>
              <w:left w:val="single" w:sz="6" w:space="0" w:color="auto"/>
              <w:bottom w:val="single" w:sz="6" w:space="0" w:color="auto"/>
              <w:right w:val="single" w:sz="6" w:space="0" w:color="auto"/>
            </w:tcBorders>
          </w:tcPr>
          <w:p w14:paraId="5B9F94E6" w14:textId="77777777" w:rsidR="00892C4E" w:rsidRPr="00C55ACB" w:rsidRDefault="00892C4E" w:rsidP="00892C4E">
            <w:pPr>
              <w:pStyle w:val="BodyText"/>
              <w:rPr>
                <w:rFonts w:ascii="Times New Roman" w:hAnsi="Times New Roman" w:cs="Times New Roman"/>
                <w:sz w:val="24"/>
                <w:szCs w:val="24"/>
              </w:rPr>
            </w:pPr>
            <w:r w:rsidRPr="00C55ACB">
              <w:rPr>
                <w:rFonts w:ascii="Times New Roman" w:hAnsi="Times New Roman" w:cs="Times New Roman"/>
                <w:sz w:val="24"/>
                <w:szCs w:val="24"/>
              </w:rPr>
              <w:t>10,000</w:t>
            </w:r>
          </w:p>
        </w:tc>
      </w:tr>
      <w:tr w:rsidR="00892C4E" w:rsidRPr="00BC2010" w14:paraId="65963177"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30B314E7" w14:textId="77777777" w:rsidR="00892C4E" w:rsidRPr="00BC2010" w:rsidRDefault="00892C4E" w:rsidP="00892C4E">
            <w:pPr>
              <w:pStyle w:val="FigureTitle"/>
              <w:keepLines w:val="0"/>
              <w:spacing w:before="0" w:after="0"/>
              <w:jc w:val="left"/>
              <w:rPr>
                <w:sz w:val="24"/>
                <w:szCs w:val="24"/>
              </w:rPr>
            </w:pPr>
            <w:r>
              <w:rPr>
                <w:sz w:val="24"/>
                <w:szCs w:val="24"/>
              </w:rPr>
              <w:t xml:space="preserve">Types of </w:t>
            </w:r>
            <w:r w:rsidRPr="00BC2010">
              <w:rPr>
                <w:sz w:val="24"/>
                <w:szCs w:val="24"/>
              </w:rPr>
              <w:t>Users:</w:t>
            </w:r>
          </w:p>
        </w:tc>
        <w:tc>
          <w:tcPr>
            <w:tcW w:w="7441" w:type="dxa"/>
            <w:gridSpan w:val="3"/>
            <w:tcBorders>
              <w:top w:val="single" w:sz="6" w:space="0" w:color="auto"/>
              <w:left w:val="single" w:sz="6" w:space="0" w:color="auto"/>
              <w:bottom w:val="single" w:sz="6" w:space="0" w:color="auto"/>
              <w:right w:val="single" w:sz="6" w:space="0" w:color="auto"/>
            </w:tcBorders>
          </w:tcPr>
          <w:p w14:paraId="6135BCBB" w14:textId="77777777" w:rsidR="00892C4E" w:rsidRPr="00C55ACB" w:rsidRDefault="00892C4E" w:rsidP="00892C4E">
            <w:pPr>
              <w:pStyle w:val="BodyText"/>
              <w:rPr>
                <w:rFonts w:ascii="Times New Roman" w:hAnsi="Times New Roman" w:cs="Times New Roman"/>
                <w:i/>
                <w:sz w:val="24"/>
                <w:szCs w:val="24"/>
                <w:lang w:val="en-US"/>
              </w:rPr>
            </w:pPr>
            <w:r w:rsidRPr="00C55ACB">
              <w:rPr>
                <w:rFonts w:ascii="Times New Roman" w:hAnsi="Times New Roman" w:cs="Times New Roman"/>
                <w:sz w:val="24"/>
                <w:szCs w:val="24"/>
              </w:rPr>
              <w:t>General population, small retail business (retail stores)</w:t>
            </w:r>
          </w:p>
        </w:tc>
      </w:tr>
      <w:tr w:rsidR="00892C4E" w:rsidRPr="000B4C3C" w14:paraId="7B2895E0"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4DF492C6" w14:textId="77777777" w:rsidR="00892C4E" w:rsidRDefault="00892C4E" w:rsidP="00892C4E">
            <w:pPr>
              <w:pStyle w:val="FigureTitle"/>
              <w:keepLines w:val="0"/>
              <w:spacing w:before="0" w:after="0"/>
              <w:jc w:val="left"/>
              <w:rPr>
                <w:sz w:val="24"/>
                <w:szCs w:val="24"/>
              </w:rPr>
            </w:pPr>
            <w:r>
              <w:rPr>
                <w:sz w:val="24"/>
                <w:szCs w:val="24"/>
              </w:rPr>
              <w:t>Stakeholders</w:t>
            </w:r>
          </w:p>
        </w:tc>
        <w:tc>
          <w:tcPr>
            <w:tcW w:w="7441" w:type="dxa"/>
            <w:gridSpan w:val="3"/>
            <w:tcBorders>
              <w:top w:val="single" w:sz="6" w:space="0" w:color="auto"/>
              <w:left w:val="single" w:sz="6" w:space="0" w:color="auto"/>
              <w:bottom w:val="single" w:sz="6" w:space="0" w:color="auto"/>
              <w:right w:val="single" w:sz="6" w:space="0" w:color="auto"/>
            </w:tcBorders>
          </w:tcPr>
          <w:p w14:paraId="3AAF8907" w14:textId="77777777" w:rsidR="00892C4E" w:rsidRPr="00C55ACB" w:rsidRDefault="00892C4E" w:rsidP="00892C4E">
            <w:pPr>
              <w:pStyle w:val="BodyText"/>
              <w:rPr>
                <w:rFonts w:ascii="Times New Roman" w:hAnsi="Times New Roman" w:cs="Times New Roman"/>
                <w:i/>
                <w:sz w:val="24"/>
                <w:szCs w:val="24"/>
                <w:lang w:val="en-US"/>
              </w:rPr>
            </w:pPr>
            <w:r w:rsidRPr="00C55ACB">
              <w:rPr>
                <w:rFonts w:ascii="Times New Roman" w:hAnsi="Times New Roman" w:cs="Times New Roman"/>
                <w:sz w:val="24"/>
                <w:szCs w:val="24"/>
              </w:rPr>
              <w:t>Government, Central Bank, telecommunications company, IT and wallet providers, citizens, private retail businesses, banks.</w:t>
            </w:r>
          </w:p>
        </w:tc>
      </w:tr>
      <w:tr w:rsidR="00892C4E" w:rsidRPr="000B4C3C" w14:paraId="0A98784F"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5F0AA563" w14:textId="77777777" w:rsidR="00892C4E" w:rsidRDefault="00892C4E" w:rsidP="00892C4E">
            <w:pPr>
              <w:pStyle w:val="FigureTitle"/>
              <w:keepLines w:val="0"/>
              <w:spacing w:before="0" w:after="0"/>
              <w:jc w:val="left"/>
              <w:rPr>
                <w:sz w:val="24"/>
                <w:szCs w:val="24"/>
              </w:rPr>
            </w:pPr>
            <w:r w:rsidRPr="00BC2010">
              <w:rPr>
                <w:sz w:val="24"/>
                <w:szCs w:val="24"/>
              </w:rPr>
              <w:t>Data:</w:t>
            </w:r>
          </w:p>
        </w:tc>
        <w:tc>
          <w:tcPr>
            <w:tcW w:w="7441" w:type="dxa"/>
            <w:gridSpan w:val="3"/>
            <w:tcBorders>
              <w:top w:val="single" w:sz="6" w:space="0" w:color="auto"/>
              <w:left w:val="single" w:sz="6" w:space="0" w:color="auto"/>
              <w:bottom w:val="single" w:sz="6" w:space="0" w:color="auto"/>
              <w:right w:val="single" w:sz="6" w:space="0" w:color="auto"/>
            </w:tcBorders>
          </w:tcPr>
          <w:p w14:paraId="3677C046" w14:textId="77777777" w:rsidR="00892C4E" w:rsidRPr="00C55ACB" w:rsidRDefault="00892C4E" w:rsidP="00892C4E">
            <w:pPr>
              <w:jc w:val="both"/>
              <w:rPr>
                <w:szCs w:val="24"/>
              </w:rPr>
            </w:pPr>
            <w:r w:rsidRPr="0093235C">
              <w:rPr>
                <w:szCs w:val="24"/>
              </w:rPr>
              <w:t>Data availab</w:t>
            </w:r>
            <w:r w:rsidRPr="00C55ACB">
              <w:rPr>
                <w:szCs w:val="24"/>
              </w:rPr>
              <w:t>le from the pilot:</w:t>
            </w:r>
          </w:p>
          <w:p w14:paraId="2B181A31" w14:textId="77777777" w:rsidR="00892C4E" w:rsidRPr="00C55ACB" w:rsidRDefault="00892C4E" w:rsidP="00A24280">
            <w:pPr>
              <w:pStyle w:val="ListParagraph"/>
              <w:numPr>
                <w:ilvl w:val="0"/>
                <w:numId w:val="23"/>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C55ACB">
              <w:rPr>
                <w:rFonts w:ascii="Times New Roman" w:hAnsi="Times New Roman" w:cs="Times New Roman"/>
                <w:sz w:val="24"/>
                <w:szCs w:val="24"/>
              </w:rPr>
              <w:t>Number of participating users and retail businesses</w:t>
            </w:r>
          </w:p>
          <w:p w14:paraId="56B19EB2" w14:textId="77777777" w:rsidR="00892C4E" w:rsidRPr="00C55ACB" w:rsidRDefault="00892C4E" w:rsidP="00A24280">
            <w:pPr>
              <w:pStyle w:val="ListParagraph"/>
              <w:numPr>
                <w:ilvl w:val="0"/>
                <w:numId w:val="23"/>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C55ACB">
              <w:rPr>
                <w:rFonts w:ascii="Times New Roman" w:hAnsi="Times New Roman" w:cs="Times New Roman"/>
                <w:sz w:val="24"/>
                <w:szCs w:val="24"/>
              </w:rPr>
              <w:t>Volume and size of transactions</w:t>
            </w:r>
          </w:p>
          <w:p w14:paraId="7721E4C8" w14:textId="77777777" w:rsidR="00892C4E" w:rsidRPr="00C55ACB" w:rsidRDefault="00892C4E" w:rsidP="00A24280">
            <w:pPr>
              <w:pStyle w:val="ListParagraph"/>
              <w:numPr>
                <w:ilvl w:val="0"/>
                <w:numId w:val="23"/>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C55ACB">
              <w:rPr>
                <w:rFonts w:ascii="Times New Roman" w:hAnsi="Times New Roman" w:cs="Times New Roman"/>
                <w:sz w:val="24"/>
                <w:szCs w:val="24"/>
              </w:rPr>
              <w:t>Number of notes in circulation</w:t>
            </w:r>
          </w:p>
          <w:p w14:paraId="6A52CFDA" w14:textId="77777777" w:rsidR="00892C4E" w:rsidRPr="00C55ACB" w:rsidRDefault="00892C4E" w:rsidP="00A24280">
            <w:pPr>
              <w:pStyle w:val="ListParagraph"/>
              <w:numPr>
                <w:ilvl w:val="0"/>
                <w:numId w:val="23"/>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C55ACB">
              <w:rPr>
                <w:rFonts w:ascii="Times New Roman" w:hAnsi="Times New Roman" w:cs="Times New Roman"/>
                <w:sz w:val="24"/>
                <w:szCs w:val="24"/>
              </w:rPr>
              <w:t>Serial numbers of notes in circulation</w:t>
            </w:r>
          </w:p>
          <w:p w14:paraId="05FCE080" w14:textId="77777777" w:rsidR="00892C4E" w:rsidRPr="00C55ACB" w:rsidRDefault="00892C4E" w:rsidP="00A24280">
            <w:pPr>
              <w:pStyle w:val="ListParagraph"/>
              <w:numPr>
                <w:ilvl w:val="0"/>
                <w:numId w:val="23"/>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C55ACB">
              <w:rPr>
                <w:rFonts w:ascii="Times New Roman" w:hAnsi="Times New Roman" w:cs="Times New Roman"/>
                <w:sz w:val="24"/>
                <w:szCs w:val="24"/>
              </w:rPr>
              <w:t xml:space="preserve">Mobile phone numbers </w:t>
            </w:r>
          </w:p>
          <w:p w14:paraId="513D3D1B" w14:textId="77777777" w:rsidR="00892C4E" w:rsidRPr="00C55ACB" w:rsidRDefault="00892C4E" w:rsidP="00A24280">
            <w:pPr>
              <w:pStyle w:val="ListParagraph"/>
              <w:numPr>
                <w:ilvl w:val="0"/>
                <w:numId w:val="23"/>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C55ACB">
              <w:rPr>
                <w:rFonts w:ascii="Times New Roman" w:hAnsi="Times New Roman" w:cs="Times New Roman"/>
                <w:sz w:val="24"/>
                <w:szCs w:val="24"/>
              </w:rPr>
              <w:t>Any user identity data linked to the participating mobile phone</w:t>
            </w:r>
          </w:p>
          <w:p w14:paraId="74480944" w14:textId="3AF5F214" w:rsidR="00892C4E" w:rsidRPr="001F7B51" w:rsidRDefault="00892C4E" w:rsidP="00A24280">
            <w:pPr>
              <w:pStyle w:val="ListParagraph"/>
              <w:numPr>
                <w:ilvl w:val="0"/>
                <w:numId w:val="23"/>
              </w:numPr>
              <w:pBdr>
                <w:top w:val="nil"/>
                <w:left w:val="nil"/>
                <w:bottom w:val="nil"/>
                <w:right w:val="nil"/>
                <w:between w:val="nil"/>
              </w:pBdr>
              <w:tabs>
                <w:tab w:val="left" w:pos="794"/>
                <w:tab w:val="left" w:pos="1191"/>
                <w:tab w:val="left" w:pos="1588"/>
                <w:tab w:val="left" w:pos="1985"/>
              </w:tabs>
              <w:spacing w:before="120" w:after="0" w:line="240" w:lineRule="auto"/>
              <w:rPr>
                <w:rFonts w:ascii="Times New Roman" w:hAnsi="Times New Roman" w:cs="Times New Roman"/>
                <w:sz w:val="24"/>
                <w:szCs w:val="24"/>
              </w:rPr>
            </w:pPr>
            <w:r w:rsidRPr="00C55ACB">
              <w:rPr>
                <w:rFonts w:ascii="Times New Roman" w:hAnsi="Times New Roman" w:cs="Times New Roman"/>
                <w:sz w:val="24"/>
                <w:szCs w:val="24"/>
              </w:rPr>
              <w:t>Amount of e-Peso per wallet</w:t>
            </w:r>
          </w:p>
        </w:tc>
      </w:tr>
      <w:tr w:rsidR="00892C4E" w:rsidRPr="000B4C3C" w14:paraId="0D4D3984"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164C12E4" w14:textId="77777777" w:rsidR="00892C4E" w:rsidRPr="00BC2010" w:rsidRDefault="00892C4E" w:rsidP="00892C4E">
            <w:pPr>
              <w:pStyle w:val="FigureTitle"/>
              <w:keepLines w:val="0"/>
              <w:spacing w:before="0" w:after="0"/>
              <w:jc w:val="left"/>
              <w:rPr>
                <w:sz w:val="24"/>
                <w:szCs w:val="24"/>
              </w:rPr>
            </w:pPr>
            <w:r>
              <w:rPr>
                <w:sz w:val="24"/>
                <w:szCs w:val="24"/>
              </w:rPr>
              <w:t>Identification:</w:t>
            </w:r>
          </w:p>
        </w:tc>
        <w:tc>
          <w:tcPr>
            <w:tcW w:w="7441" w:type="dxa"/>
            <w:gridSpan w:val="3"/>
            <w:tcBorders>
              <w:top w:val="single" w:sz="6" w:space="0" w:color="auto"/>
              <w:left w:val="single" w:sz="6" w:space="0" w:color="auto"/>
              <w:bottom w:val="single" w:sz="6" w:space="0" w:color="auto"/>
              <w:right w:val="single" w:sz="6" w:space="0" w:color="auto"/>
            </w:tcBorders>
          </w:tcPr>
          <w:p w14:paraId="7F7D8466" w14:textId="77777777" w:rsidR="00892C4E" w:rsidRPr="00C55ACB" w:rsidRDefault="00892C4E" w:rsidP="00892C4E">
            <w:pPr>
              <w:pStyle w:val="BodyText"/>
              <w:rPr>
                <w:rFonts w:ascii="Times New Roman" w:hAnsi="Times New Roman" w:cs="Times New Roman"/>
                <w:i/>
                <w:sz w:val="24"/>
                <w:szCs w:val="24"/>
                <w:lang w:val="en-US"/>
              </w:rPr>
            </w:pPr>
            <w:r w:rsidRPr="00C55ACB">
              <w:rPr>
                <w:rFonts w:ascii="Times New Roman" w:hAnsi="Times New Roman" w:cs="Times New Roman"/>
                <w:sz w:val="24"/>
                <w:szCs w:val="24"/>
              </w:rPr>
              <w:t xml:space="preserve">The users are anonymous. User identity is linked to their mobile phone and associated mobile phone number. </w:t>
            </w:r>
            <w:r w:rsidRPr="00C55ACB">
              <w:rPr>
                <w:rFonts w:ascii="Times New Roman" w:hAnsi="Times New Roman" w:cs="Times New Roman"/>
                <w:i/>
                <w:sz w:val="24"/>
                <w:szCs w:val="24"/>
                <w:lang w:val="en-US"/>
              </w:rPr>
              <w:t xml:space="preserve"> </w:t>
            </w:r>
          </w:p>
        </w:tc>
      </w:tr>
      <w:tr w:rsidR="00892C4E" w:rsidRPr="00BC2010" w14:paraId="4C328BD2" w14:textId="77777777" w:rsidTr="00F8181D">
        <w:tc>
          <w:tcPr>
            <w:tcW w:w="2332" w:type="dxa"/>
            <w:tcBorders>
              <w:top w:val="single" w:sz="6" w:space="0" w:color="auto"/>
              <w:left w:val="single" w:sz="6" w:space="0" w:color="auto"/>
              <w:bottom w:val="single" w:sz="6" w:space="0" w:color="auto"/>
              <w:right w:val="single" w:sz="6" w:space="0" w:color="auto"/>
            </w:tcBorders>
            <w:shd w:val="pct15" w:color="auto" w:fill="FFFFFF"/>
          </w:tcPr>
          <w:p w14:paraId="66A42530" w14:textId="77777777" w:rsidR="00892C4E" w:rsidRPr="00BC2010" w:rsidRDefault="00892C4E" w:rsidP="00892C4E">
            <w:pPr>
              <w:pStyle w:val="FigureTitle"/>
              <w:keepLines w:val="0"/>
              <w:spacing w:before="0" w:after="0"/>
              <w:jc w:val="left"/>
              <w:rPr>
                <w:sz w:val="24"/>
                <w:szCs w:val="24"/>
              </w:rPr>
            </w:pPr>
            <w:r>
              <w:rPr>
                <w:sz w:val="24"/>
                <w:szCs w:val="24"/>
              </w:rPr>
              <w:t>Predicted Outcomes:</w:t>
            </w:r>
          </w:p>
        </w:tc>
        <w:tc>
          <w:tcPr>
            <w:tcW w:w="7441" w:type="dxa"/>
            <w:gridSpan w:val="3"/>
            <w:tcBorders>
              <w:top w:val="single" w:sz="6" w:space="0" w:color="auto"/>
              <w:left w:val="single" w:sz="6" w:space="0" w:color="auto"/>
              <w:bottom w:val="single" w:sz="6" w:space="0" w:color="auto"/>
              <w:right w:val="single" w:sz="6" w:space="0" w:color="auto"/>
            </w:tcBorders>
          </w:tcPr>
          <w:p w14:paraId="42339108" w14:textId="77777777" w:rsidR="00892C4E" w:rsidRPr="00C55ACB" w:rsidRDefault="00892C4E" w:rsidP="00A24280">
            <w:pPr>
              <w:pStyle w:val="BodyText"/>
              <w:numPr>
                <w:ilvl w:val="0"/>
                <w:numId w:val="23"/>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lang w:val="en-US"/>
              </w:rPr>
            </w:pPr>
            <w:r w:rsidRPr="00C55ACB">
              <w:rPr>
                <w:rFonts w:ascii="Times New Roman" w:hAnsi="Times New Roman" w:cs="Times New Roman"/>
                <w:sz w:val="24"/>
                <w:szCs w:val="24"/>
                <w:lang w:val="en-US"/>
              </w:rPr>
              <w:t xml:space="preserve">Lower cost of financial transactions </w:t>
            </w:r>
          </w:p>
          <w:p w14:paraId="4F4FBDA4" w14:textId="77777777" w:rsidR="00892C4E" w:rsidRPr="00C55ACB" w:rsidRDefault="00892C4E" w:rsidP="00A24280">
            <w:pPr>
              <w:pStyle w:val="BodyText"/>
              <w:numPr>
                <w:ilvl w:val="0"/>
                <w:numId w:val="23"/>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lang w:val="en-US"/>
              </w:rPr>
            </w:pPr>
            <w:r w:rsidRPr="00C55ACB">
              <w:rPr>
                <w:rFonts w:ascii="Times New Roman" w:hAnsi="Times New Roman" w:cs="Times New Roman"/>
                <w:sz w:val="24"/>
                <w:szCs w:val="24"/>
                <w:lang w:val="en-US"/>
              </w:rPr>
              <w:t>Efficiency gains</w:t>
            </w:r>
          </w:p>
          <w:p w14:paraId="412B1F55" w14:textId="77777777" w:rsidR="00892C4E" w:rsidRPr="00C55ACB" w:rsidRDefault="00892C4E" w:rsidP="00A24280">
            <w:pPr>
              <w:pStyle w:val="BodyText"/>
              <w:numPr>
                <w:ilvl w:val="0"/>
                <w:numId w:val="23"/>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lang w:val="en-US"/>
              </w:rPr>
            </w:pPr>
            <w:r w:rsidRPr="00C55ACB">
              <w:rPr>
                <w:rFonts w:ascii="Times New Roman" w:hAnsi="Times New Roman" w:cs="Times New Roman"/>
                <w:sz w:val="24"/>
                <w:szCs w:val="24"/>
                <w:lang w:val="en-US"/>
              </w:rPr>
              <w:t>Expanded financial inclusion</w:t>
            </w:r>
          </w:p>
          <w:p w14:paraId="2E5DE928" w14:textId="77777777" w:rsidR="00892C4E" w:rsidRPr="00C55ACB" w:rsidRDefault="00892C4E" w:rsidP="00A24280">
            <w:pPr>
              <w:pStyle w:val="BodyText"/>
              <w:numPr>
                <w:ilvl w:val="0"/>
                <w:numId w:val="23"/>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lang w:val="en-US"/>
              </w:rPr>
            </w:pPr>
            <w:r w:rsidRPr="00C55ACB">
              <w:rPr>
                <w:rFonts w:ascii="Times New Roman" w:hAnsi="Times New Roman" w:cs="Times New Roman"/>
                <w:sz w:val="24"/>
                <w:szCs w:val="24"/>
                <w:lang w:val="en-US"/>
              </w:rPr>
              <w:t>Prevention of fraud and tax evasion</w:t>
            </w:r>
          </w:p>
          <w:p w14:paraId="63C65EDF" w14:textId="77777777" w:rsidR="00892C4E" w:rsidRPr="00C55ACB" w:rsidRDefault="00892C4E" w:rsidP="00A24280">
            <w:pPr>
              <w:pStyle w:val="BodyText"/>
              <w:numPr>
                <w:ilvl w:val="0"/>
                <w:numId w:val="23"/>
              </w:numPr>
              <w:tabs>
                <w:tab w:val="left" w:pos="794"/>
                <w:tab w:val="left" w:pos="1191"/>
                <w:tab w:val="left" w:pos="1588"/>
                <w:tab w:val="left" w:pos="1985"/>
              </w:tabs>
              <w:overflowPunct w:val="0"/>
              <w:autoSpaceDE w:val="0"/>
              <w:autoSpaceDN w:val="0"/>
              <w:adjustRightInd w:val="0"/>
              <w:spacing w:after="0" w:line="240" w:lineRule="auto"/>
              <w:textAlignment w:val="baseline"/>
              <w:rPr>
                <w:rFonts w:ascii="Times New Roman" w:hAnsi="Times New Roman" w:cs="Times New Roman"/>
                <w:sz w:val="24"/>
                <w:szCs w:val="24"/>
                <w:lang w:val="en-US"/>
              </w:rPr>
            </w:pPr>
            <w:r w:rsidRPr="00C55ACB">
              <w:rPr>
                <w:rFonts w:ascii="Times New Roman" w:hAnsi="Times New Roman" w:cs="Times New Roman"/>
                <w:sz w:val="24"/>
                <w:szCs w:val="24"/>
                <w:lang w:val="en-US"/>
              </w:rPr>
              <w:t>Improved consumer protection</w:t>
            </w:r>
          </w:p>
        </w:tc>
      </w:tr>
    </w:tbl>
    <w:p w14:paraId="4A2AC5F7" w14:textId="77777777" w:rsidR="000C1F5E" w:rsidRPr="00827206" w:rsidRDefault="000C1F5E" w:rsidP="000C1F5E">
      <w:pPr>
        <w:rPr>
          <w:b/>
        </w:rPr>
      </w:pP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81"/>
      </w:tblGrid>
      <w:tr w:rsidR="000C1F5E" w:rsidRPr="00827206" w14:paraId="2B7B7B14" w14:textId="77777777" w:rsidTr="00F8181D">
        <w:tc>
          <w:tcPr>
            <w:tcW w:w="9781" w:type="dxa"/>
            <w:tcBorders>
              <w:top w:val="single" w:sz="6" w:space="0" w:color="000000"/>
              <w:left w:val="single" w:sz="6" w:space="0" w:color="000000"/>
              <w:bottom w:val="single" w:sz="6" w:space="0" w:color="000000"/>
              <w:right w:val="single" w:sz="6" w:space="0" w:color="000000"/>
            </w:tcBorders>
            <w:shd w:val="clear" w:color="auto" w:fill="D9D9D9"/>
          </w:tcPr>
          <w:p w14:paraId="65F963ED" w14:textId="77777777" w:rsidR="000C1F5E" w:rsidRPr="00827206" w:rsidRDefault="000C1F5E" w:rsidP="00F8181D">
            <w:pPr>
              <w:spacing w:before="0"/>
              <w:rPr>
                <w:b/>
              </w:rPr>
            </w:pPr>
            <w:r w:rsidRPr="00827206">
              <w:rPr>
                <w:b/>
              </w:rPr>
              <w:t>Overview of the Business Problem or Opportunity</w:t>
            </w:r>
          </w:p>
        </w:tc>
      </w:tr>
      <w:tr w:rsidR="000C1F5E" w:rsidRPr="00827206" w14:paraId="5A7CDB7F" w14:textId="77777777" w:rsidTr="00F8181D">
        <w:tc>
          <w:tcPr>
            <w:tcW w:w="9781" w:type="dxa"/>
            <w:tcBorders>
              <w:top w:val="single" w:sz="6" w:space="0" w:color="000000"/>
              <w:left w:val="single" w:sz="6" w:space="0" w:color="000000"/>
              <w:bottom w:val="single" w:sz="6" w:space="0" w:color="000000"/>
              <w:right w:val="single" w:sz="6" w:space="0" w:color="000000"/>
            </w:tcBorders>
          </w:tcPr>
          <w:p w14:paraId="3B2D6B08" w14:textId="77777777" w:rsidR="000C1F5E" w:rsidRDefault="000C1F5E" w:rsidP="00F8181D">
            <w:pPr>
              <w:jc w:val="both"/>
            </w:pPr>
            <w:r>
              <w:t xml:space="preserve">In Uruguay, there are opportunities to reduce transaction costs in payments systems. The main costs for using physical cash are related to the costs of production of notes and coins for the CBU, transportation and security-related costs for banks and retailers, and fees and opportunity costs for the consumers (e.g. time commitment and fees associated with cash withdrawal from ATMs, risk of holding cash etc). Estimates show that the cost of using cash in Uruguay is approximately 0.58 percent of GDP with most of the cost borne by the private sector. If paper money and checks were fully replaced by digital means of payment, including retail CBDCs, the transaction costs would be reduced by about 0.60 percent of GDP. </w:t>
            </w:r>
          </w:p>
          <w:p w14:paraId="586FF7A8" w14:textId="77777777" w:rsidR="000C1F5E" w:rsidRPr="00827206" w:rsidRDefault="000C1F5E" w:rsidP="00F8181D">
            <w:pPr>
              <w:jc w:val="both"/>
            </w:pPr>
          </w:p>
        </w:tc>
      </w:tr>
      <w:tr w:rsidR="000C1F5E" w:rsidRPr="00827206" w14:paraId="4F5CDE92" w14:textId="77777777" w:rsidTr="00F8181D">
        <w:tc>
          <w:tcPr>
            <w:tcW w:w="9781" w:type="dxa"/>
            <w:tcBorders>
              <w:top w:val="single" w:sz="6" w:space="0" w:color="000000"/>
              <w:left w:val="single" w:sz="6" w:space="0" w:color="000000"/>
              <w:bottom w:val="single" w:sz="6" w:space="0" w:color="000000"/>
              <w:right w:val="single" w:sz="6" w:space="0" w:color="000000"/>
            </w:tcBorders>
            <w:shd w:val="clear" w:color="auto" w:fill="D9D9D9"/>
          </w:tcPr>
          <w:p w14:paraId="02FD6D75" w14:textId="77777777" w:rsidR="000C1F5E" w:rsidRPr="00827206" w:rsidRDefault="000C1F5E" w:rsidP="00F8181D">
            <w:pPr>
              <w:spacing w:before="0"/>
              <w:rPr>
                <w:b/>
              </w:rPr>
            </w:pPr>
            <w:r w:rsidRPr="00827206">
              <w:rPr>
                <w:b/>
              </w:rPr>
              <w:t xml:space="preserve">Why </w:t>
            </w:r>
            <w:r>
              <w:rPr>
                <w:b/>
              </w:rPr>
              <w:t>Retail CBDC</w:t>
            </w:r>
            <w:r w:rsidRPr="00827206">
              <w:rPr>
                <w:b/>
              </w:rPr>
              <w:t>?</w:t>
            </w:r>
          </w:p>
        </w:tc>
      </w:tr>
      <w:tr w:rsidR="000C1F5E" w:rsidRPr="00892C4E" w14:paraId="27F517A7" w14:textId="77777777" w:rsidTr="00F8181D">
        <w:tc>
          <w:tcPr>
            <w:tcW w:w="9781" w:type="dxa"/>
            <w:tcBorders>
              <w:top w:val="single" w:sz="6" w:space="0" w:color="000000"/>
              <w:left w:val="single" w:sz="6" w:space="0" w:color="000000"/>
              <w:bottom w:val="single" w:sz="6" w:space="0" w:color="000000"/>
              <w:right w:val="single" w:sz="6" w:space="0" w:color="000000"/>
            </w:tcBorders>
          </w:tcPr>
          <w:p w14:paraId="38D3624E" w14:textId="77777777" w:rsidR="000C1F5E" w:rsidRPr="00C55ACB" w:rsidRDefault="000C1F5E" w:rsidP="00A24280">
            <w:pPr>
              <w:pStyle w:val="ListParagraph"/>
              <w:numPr>
                <w:ilvl w:val="0"/>
                <w:numId w:val="23"/>
              </w:numPr>
              <w:pBdr>
                <w:top w:val="nil"/>
                <w:left w:val="nil"/>
                <w:bottom w:val="nil"/>
                <w:right w:val="nil"/>
                <w:between w:val="nil"/>
              </w:pBdr>
              <w:tabs>
                <w:tab w:val="left" w:pos="794"/>
                <w:tab w:val="left" w:pos="1191"/>
                <w:tab w:val="left" w:pos="1588"/>
                <w:tab w:val="left" w:pos="1985"/>
              </w:tabs>
              <w:spacing w:before="120" w:after="60" w:line="240" w:lineRule="auto"/>
              <w:jc w:val="left"/>
              <w:rPr>
                <w:rFonts w:ascii="Times New Roman" w:hAnsi="Times New Roman" w:cs="Times New Roman"/>
                <w:sz w:val="24"/>
                <w:szCs w:val="24"/>
              </w:rPr>
            </w:pPr>
            <w:r w:rsidRPr="00C55ACB">
              <w:rPr>
                <w:rFonts w:ascii="Times New Roman" w:hAnsi="Times New Roman" w:cs="Times New Roman"/>
                <w:sz w:val="24"/>
                <w:szCs w:val="24"/>
              </w:rPr>
              <w:t xml:space="preserve">The introduction of efficiency gains in payment systems would lower the cost of producing, transporting, and using cash. Lowering the cost of cash would contribute to private sector development. </w:t>
            </w:r>
          </w:p>
          <w:p w14:paraId="206F1DF5" w14:textId="77777777" w:rsidR="000C1F5E" w:rsidRPr="00C55ACB" w:rsidRDefault="000C1F5E" w:rsidP="00A24280">
            <w:pPr>
              <w:pStyle w:val="ListParagraph"/>
              <w:numPr>
                <w:ilvl w:val="0"/>
                <w:numId w:val="23"/>
              </w:numPr>
              <w:pBdr>
                <w:top w:val="nil"/>
                <w:left w:val="nil"/>
                <w:bottom w:val="nil"/>
                <w:right w:val="nil"/>
                <w:between w:val="nil"/>
              </w:pBdr>
              <w:tabs>
                <w:tab w:val="left" w:pos="794"/>
                <w:tab w:val="left" w:pos="1191"/>
                <w:tab w:val="left" w:pos="1588"/>
                <w:tab w:val="left" w:pos="1985"/>
              </w:tabs>
              <w:spacing w:before="120" w:after="60" w:line="240" w:lineRule="auto"/>
              <w:jc w:val="left"/>
              <w:rPr>
                <w:rFonts w:ascii="Times New Roman" w:hAnsi="Times New Roman" w:cs="Times New Roman"/>
                <w:sz w:val="24"/>
                <w:szCs w:val="24"/>
              </w:rPr>
            </w:pPr>
            <w:r w:rsidRPr="00C55ACB">
              <w:rPr>
                <w:rFonts w:ascii="Times New Roman" w:hAnsi="Times New Roman" w:cs="Times New Roman"/>
                <w:sz w:val="24"/>
                <w:szCs w:val="24"/>
              </w:rPr>
              <w:t xml:space="preserve">The proactive contribution to financial digitalization through the e-Peso project would allow the </w:t>
            </w:r>
            <w:r w:rsidR="00892C4E" w:rsidRPr="00C55ACB">
              <w:rPr>
                <w:rFonts w:ascii="Times New Roman" w:hAnsi="Times New Roman" w:cs="Times New Roman"/>
                <w:sz w:val="24"/>
                <w:szCs w:val="24"/>
              </w:rPr>
              <w:t xml:space="preserve">BCU </w:t>
            </w:r>
            <w:r w:rsidRPr="00C55ACB">
              <w:rPr>
                <w:rFonts w:ascii="Times New Roman" w:hAnsi="Times New Roman" w:cs="Times New Roman"/>
                <w:sz w:val="24"/>
                <w:szCs w:val="24"/>
              </w:rPr>
              <w:t xml:space="preserve">to develop financial markets and infrastructures. The introduction of the e-Peso might spur the development of related innovative financial products and entice the growth of a start-up community. </w:t>
            </w:r>
          </w:p>
          <w:p w14:paraId="61DD0EC0" w14:textId="77777777" w:rsidR="000C1F5E" w:rsidRPr="00C55ACB" w:rsidRDefault="000C1F5E" w:rsidP="00A24280">
            <w:pPr>
              <w:pStyle w:val="ListParagraph"/>
              <w:numPr>
                <w:ilvl w:val="0"/>
                <w:numId w:val="23"/>
              </w:numPr>
              <w:pBdr>
                <w:top w:val="nil"/>
                <w:left w:val="nil"/>
                <w:bottom w:val="nil"/>
                <w:right w:val="nil"/>
                <w:between w:val="nil"/>
              </w:pBdr>
              <w:tabs>
                <w:tab w:val="left" w:pos="794"/>
                <w:tab w:val="left" w:pos="1191"/>
                <w:tab w:val="left" w:pos="1588"/>
                <w:tab w:val="left" w:pos="1985"/>
              </w:tabs>
              <w:spacing w:before="120" w:after="60" w:line="240" w:lineRule="auto"/>
              <w:jc w:val="left"/>
              <w:rPr>
                <w:rFonts w:ascii="Times New Roman" w:hAnsi="Times New Roman" w:cs="Times New Roman"/>
                <w:sz w:val="24"/>
                <w:szCs w:val="24"/>
              </w:rPr>
            </w:pPr>
            <w:r w:rsidRPr="00C55ACB">
              <w:rPr>
                <w:rFonts w:ascii="Times New Roman" w:hAnsi="Times New Roman" w:cs="Times New Roman"/>
                <w:sz w:val="24"/>
                <w:szCs w:val="24"/>
              </w:rPr>
              <w:t xml:space="preserve">The digitalization of payments for goods and services would pre-empt tax evasion with a positive contribution to the government’s fiscal position. </w:t>
            </w:r>
          </w:p>
          <w:p w14:paraId="788BD847" w14:textId="77777777" w:rsidR="000C1F5E" w:rsidRPr="00C55ACB" w:rsidRDefault="000C1F5E" w:rsidP="00A24280">
            <w:pPr>
              <w:pStyle w:val="ListParagraph"/>
              <w:numPr>
                <w:ilvl w:val="0"/>
                <w:numId w:val="23"/>
              </w:numPr>
              <w:pBdr>
                <w:top w:val="nil"/>
                <w:left w:val="nil"/>
                <w:bottom w:val="nil"/>
                <w:right w:val="nil"/>
                <w:between w:val="nil"/>
              </w:pBdr>
              <w:tabs>
                <w:tab w:val="left" w:pos="794"/>
                <w:tab w:val="left" w:pos="1191"/>
                <w:tab w:val="left" w:pos="1588"/>
                <w:tab w:val="left" w:pos="1985"/>
              </w:tabs>
              <w:spacing w:before="120" w:after="60" w:line="240" w:lineRule="auto"/>
              <w:jc w:val="left"/>
              <w:rPr>
                <w:rFonts w:ascii="Times New Roman" w:hAnsi="Times New Roman" w:cs="Times New Roman"/>
                <w:sz w:val="24"/>
                <w:szCs w:val="24"/>
              </w:rPr>
            </w:pPr>
            <w:r w:rsidRPr="00C55ACB">
              <w:rPr>
                <w:rFonts w:ascii="Times New Roman" w:hAnsi="Times New Roman" w:cs="Times New Roman"/>
                <w:sz w:val="24"/>
                <w:szCs w:val="24"/>
              </w:rPr>
              <w:t xml:space="preserve">The traceability of the e-Peso would allow supervisors and law enforcement officers to improve the monitoring and reporting of suspicious transactions.  </w:t>
            </w:r>
          </w:p>
        </w:tc>
      </w:tr>
    </w:tbl>
    <w:p w14:paraId="00991EE3" w14:textId="77777777" w:rsidR="000C1F5E" w:rsidRPr="00C55ACB" w:rsidRDefault="000C1F5E" w:rsidP="000C1F5E">
      <w:pPr>
        <w:spacing w:before="0"/>
        <w:rPr>
          <w:b/>
          <w:szCs w:val="24"/>
        </w:rPr>
      </w:pPr>
    </w:p>
    <w:p w14:paraId="51FF3DB6" w14:textId="1F841643" w:rsidR="000C1F5E" w:rsidRPr="00827206" w:rsidRDefault="00421B73" w:rsidP="005157BE">
      <w:pPr>
        <w:pStyle w:val="Heading3"/>
        <w:numPr>
          <w:ilvl w:val="0"/>
          <w:numId w:val="0"/>
        </w:numPr>
        <w:ind w:left="720" w:hanging="720"/>
        <w:rPr>
          <w:u w:val="single"/>
        </w:rPr>
      </w:pPr>
      <w:bookmarkStart w:id="81" w:name="_Toc12961940"/>
      <w:bookmarkStart w:id="82" w:name="_Toc14190305"/>
      <w:r>
        <w:t>Current Process</w:t>
      </w:r>
      <w:bookmarkEnd w:id="81"/>
      <w:bookmarkEnd w:id="82"/>
    </w:p>
    <w:p w14:paraId="47EF532F" w14:textId="77777777" w:rsidR="000C1F5E" w:rsidRPr="00827206" w:rsidRDefault="000C1F5E" w:rsidP="000C1F5E">
      <w:pPr>
        <w:keepNext/>
        <w:rPr>
          <w:b/>
        </w:rPr>
      </w:pP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81"/>
      </w:tblGrid>
      <w:tr w:rsidR="000C1F5E" w:rsidRPr="00827206" w14:paraId="7DE6BC60" w14:textId="77777777" w:rsidTr="00F8181D">
        <w:tc>
          <w:tcPr>
            <w:tcW w:w="9781" w:type="dxa"/>
            <w:tcBorders>
              <w:top w:val="single" w:sz="6" w:space="0" w:color="000000"/>
              <w:left w:val="single" w:sz="6" w:space="0" w:color="000000"/>
              <w:bottom w:val="single" w:sz="6" w:space="0" w:color="000000"/>
              <w:right w:val="single" w:sz="6" w:space="0" w:color="000000"/>
            </w:tcBorders>
            <w:shd w:val="clear" w:color="auto" w:fill="D9D9D9"/>
          </w:tcPr>
          <w:p w14:paraId="43570EFC" w14:textId="77777777" w:rsidR="000C1F5E" w:rsidRPr="00827206" w:rsidRDefault="000C1F5E" w:rsidP="00F8181D">
            <w:pPr>
              <w:keepNext/>
              <w:spacing w:before="0"/>
              <w:rPr>
                <w:b/>
              </w:rPr>
            </w:pPr>
            <w:r w:rsidRPr="00827206">
              <w:rPr>
                <w:b/>
              </w:rPr>
              <w:t>Current Solutions</w:t>
            </w:r>
          </w:p>
        </w:tc>
      </w:tr>
      <w:tr w:rsidR="000C1F5E" w:rsidRPr="00827206" w14:paraId="79461FA1" w14:textId="77777777" w:rsidTr="00F8181D">
        <w:tc>
          <w:tcPr>
            <w:tcW w:w="9781" w:type="dxa"/>
            <w:tcBorders>
              <w:top w:val="single" w:sz="6" w:space="0" w:color="000000"/>
              <w:left w:val="single" w:sz="6" w:space="0" w:color="000000"/>
              <w:bottom w:val="single" w:sz="6" w:space="0" w:color="000000"/>
              <w:right w:val="single" w:sz="6" w:space="0" w:color="000000"/>
            </w:tcBorders>
          </w:tcPr>
          <w:p w14:paraId="17D59F1F" w14:textId="77777777" w:rsidR="000C1F5E" w:rsidRPr="00827206" w:rsidRDefault="000C1F5E" w:rsidP="00F8181D">
            <w:pPr>
              <w:jc w:val="both"/>
            </w:pPr>
            <w:r>
              <w:t>The central bank produces and distributes physical cash (coins and bank notes) and when they become too worn they destroy and replace them.</w:t>
            </w:r>
          </w:p>
        </w:tc>
      </w:tr>
    </w:tbl>
    <w:p w14:paraId="12386C9C" w14:textId="77777777" w:rsidR="000C1F5E" w:rsidRPr="00827206" w:rsidRDefault="000C1F5E" w:rsidP="000C1F5E">
      <w:pPr>
        <w:rPr>
          <w:b/>
        </w:rPr>
      </w:pP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26"/>
        <w:gridCol w:w="3240"/>
        <w:gridCol w:w="5615"/>
      </w:tblGrid>
      <w:tr w:rsidR="000C1F5E" w:rsidRPr="00827206" w14:paraId="5E847893" w14:textId="77777777" w:rsidTr="00F8181D">
        <w:trPr>
          <w:trHeight w:val="280"/>
        </w:trPr>
        <w:tc>
          <w:tcPr>
            <w:tcW w:w="9781" w:type="dxa"/>
            <w:gridSpan w:val="3"/>
            <w:tcBorders>
              <w:top w:val="single" w:sz="6" w:space="0" w:color="000000"/>
              <w:left w:val="single" w:sz="6" w:space="0" w:color="000000"/>
              <w:bottom w:val="nil"/>
              <w:right w:val="single" w:sz="6" w:space="0" w:color="000000"/>
            </w:tcBorders>
            <w:shd w:val="clear" w:color="auto" w:fill="D9D9D9"/>
          </w:tcPr>
          <w:p w14:paraId="19AB5FBC" w14:textId="77777777" w:rsidR="000C1F5E" w:rsidRPr="00827206" w:rsidRDefault="000C1F5E" w:rsidP="00F8181D">
            <w:pPr>
              <w:spacing w:before="0"/>
            </w:pPr>
            <w:r w:rsidRPr="00827206">
              <w:rPr>
                <w:b/>
              </w:rPr>
              <w:t>Existing Flow (as-is)</w:t>
            </w:r>
          </w:p>
        </w:tc>
      </w:tr>
      <w:tr w:rsidR="000C1F5E" w:rsidRPr="00827206" w14:paraId="62BB6CB9" w14:textId="77777777" w:rsidTr="00F8181D">
        <w:trPr>
          <w:trHeight w:val="280"/>
        </w:trPr>
        <w:tc>
          <w:tcPr>
            <w:tcW w:w="926" w:type="dxa"/>
            <w:tcBorders>
              <w:top w:val="single" w:sz="6" w:space="0" w:color="000000"/>
              <w:left w:val="single" w:sz="6" w:space="0" w:color="000000"/>
              <w:bottom w:val="nil"/>
              <w:right w:val="single" w:sz="6" w:space="0" w:color="000000"/>
            </w:tcBorders>
            <w:shd w:val="clear" w:color="auto" w:fill="D9D9D9"/>
          </w:tcPr>
          <w:p w14:paraId="1B1291F8" w14:textId="77777777" w:rsidR="000C1F5E" w:rsidRPr="00827206" w:rsidRDefault="000C1F5E" w:rsidP="00F8181D">
            <w:pPr>
              <w:spacing w:before="0"/>
              <w:jc w:val="center"/>
              <w:rPr>
                <w:b/>
              </w:rPr>
            </w:pPr>
            <w:r w:rsidRPr="00827206">
              <w:rPr>
                <w:b/>
              </w:rPr>
              <w:t>Step</w:t>
            </w:r>
          </w:p>
        </w:tc>
        <w:tc>
          <w:tcPr>
            <w:tcW w:w="3240" w:type="dxa"/>
            <w:tcBorders>
              <w:top w:val="single" w:sz="6" w:space="0" w:color="000000"/>
              <w:left w:val="single" w:sz="6" w:space="0" w:color="000000"/>
              <w:bottom w:val="nil"/>
              <w:right w:val="single" w:sz="6" w:space="0" w:color="000000"/>
            </w:tcBorders>
            <w:shd w:val="clear" w:color="auto" w:fill="D9D9D9"/>
          </w:tcPr>
          <w:p w14:paraId="3276A685" w14:textId="77777777" w:rsidR="000C1F5E" w:rsidRPr="00827206" w:rsidRDefault="000C1F5E" w:rsidP="00F8181D">
            <w:pPr>
              <w:spacing w:before="0"/>
              <w:jc w:val="center"/>
              <w:rPr>
                <w:b/>
              </w:rPr>
            </w:pPr>
            <w:r w:rsidRPr="00827206">
              <w:rPr>
                <w:b/>
              </w:rPr>
              <w:t>User Actions</w:t>
            </w:r>
          </w:p>
        </w:tc>
        <w:tc>
          <w:tcPr>
            <w:tcW w:w="5615" w:type="dxa"/>
            <w:tcBorders>
              <w:top w:val="single" w:sz="6" w:space="0" w:color="000000"/>
              <w:left w:val="single" w:sz="6" w:space="0" w:color="000000"/>
              <w:bottom w:val="single" w:sz="6" w:space="0" w:color="000000"/>
              <w:right w:val="single" w:sz="6" w:space="0" w:color="000000"/>
            </w:tcBorders>
            <w:shd w:val="clear" w:color="auto" w:fill="D9D9D9"/>
          </w:tcPr>
          <w:p w14:paraId="0CDF047A" w14:textId="77777777" w:rsidR="000C1F5E" w:rsidRPr="00827206" w:rsidRDefault="000C1F5E" w:rsidP="00F8181D">
            <w:pPr>
              <w:spacing w:before="0"/>
              <w:jc w:val="center"/>
              <w:rPr>
                <w:b/>
              </w:rPr>
            </w:pPr>
            <w:r w:rsidRPr="00827206">
              <w:rPr>
                <w:b/>
              </w:rPr>
              <w:t>System Actions</w:t>
            </w:r>
          </w:p>
        </w:tc>
      </w:tr>
      <w:tr w:rsidR="00892C4E" w:rsidRPr="00827206" w14:paraId="15132A32" w14:textId="77777777" w:rsidTr="00F8181D">
        <w:trPr>
          <w:trHeight w:val="540"/>
        </w:trPr>
        <w:tc>
          <w:tcPr>
            <w:tcW w:w="926" w:type="dxa"/>
            <w:tcBorders>
              <w:top w:val="single" w:sz="6" w:space="0" w:color="000000"/>
              <w:left w:val="single" w:sz="6" w:space="0" w:color="000000"/>
              <w:bottom w:val="single" w:sz="6" w:space="0" w:color="000000"/>
              <w:right w:val="single" w:sz="6" w:space="0" w:color="000000"/>
            </w:tcBorders>
          </w:tcPr>
          <w:p w14:paraId="4B46DC15" w14:textId="77777777" w:rsidR="00892C4E" w:rsidRPr="00827206" w:rsidRDefault="00892C4E" w:rsidP="00892C4E">
            <w:r w:rsidRPr="00827206">
              <w:t>1.</w:t>
            </w:r>
          </w:p>
        </w:tc>
        <w:tc>
          <w:tcPr>
            <w:tcW w:w="3240" w:type="dxa"/>
            <w:tcBorders>
              <w:top w:val="single" w:sz="6" w:space="0" w:color="000000"/>
              <w:left w:val="single" w:sz="6" w:space="0" w:color="000000"/>
              <w:bottom w:val="single" w:sz="6" w:space="0" w:color="000000"/>
              <w:right w:val="single" w:sz="6" w:space="0" w:color="000000"/>
            </w:tcBorders>
          </w:tcPr>
          <w:p w14:paraId="7875FA87" w14:textId="77777777" w:rsidR="00892C4E" w:rsidRPr="00827206" w:rsidRDefault="00892C4E" w:rsidP="00892C4E">
            <w:pPr>
              <w:spacing w:after="60"/>
            </w:pPr>
            <w:r>
              <w:t xml:space="preserve">The BCU produces the coins and bank notes </w:t>
            </w:r>
          </w:p>
        </w:tc>
        <w:tc>
          <w:tcPr>
            <w:tcW w:w="5615" w:type="dxa"/>
            <w:tcBorders>
              <w:top w:val="single" w:sz="6" w:space="0" w:color="000000"/>
              <w:left w:val="single" w:sz="6" w:space="0" w:color="000000"/>
              <w:bottom w:val="single" w:sz="6" w:space="0" w:color="000000"/>
              <w:right w:val="single" w:sz="6" w:space="0" w:color="000000"/>
            </w:tcBorders>
          </w:tcPr>
          <w:p w14:paraId="6118F245" w14:textId="77777777" w:rsidR="00892C4E" w:rsidRPr="005157BE" w:rsidRDefault="00892C4E" w:rsidP="00892C4E">
            <w:pPr>
              <w:spacing w:after="60"/>
            </w:pPr>
            <w:r w:rsidRPr="005157BE">
              <w:t>The BCU contracts with and pays third-party firms outside of Uruguay to print finished banknotes.</w:t>
            </w:r>
          </w:p>
        </w:tc>
      </w:tr>
      <w:tr w:rsidR="00892C4E" w:rsidRPr="00827206" w14:paraId="5DEC3D61" w14:textId="77777777" w:rsidTr="00F8181D">
        <w:trPr>
          <w:trHeight w:val="540"/>
        </w:trPr>
        <w:tc>
          <w:tcPr>
            <w:tcW w:w="926" w:type="dxa"/>
            <w:tcBorders>
              <w:top w:val="single" w:sz="6" w:space="0" w:color="000000"/>
              <w:left w:val="single" w:sz="6" w:space="0" w:color="000000"/>
              <w:bottom w:val="single" w:sz="6" w:space="0" w:color="000000"/>
              <w:right w:val="single" w:sz="6" w:space="0" w:color="000000"/>
            </w:tcBorders>
          </w:tcPr>
          <w:p w14:paraId="1B466D93" w14:textId="77777777" w:rsidR="00892C4E" w:rsidRPr="00827206" w:rsidRDefault="00892C4E" w:rsidP="00892C4E">
            <w:r w:rsidRPr="00827206">
              <w:t xml:space="preserve">2. </w:t>
            </w:r>
          </w:p>
        </w:tc>
        <w:tc>
          <w:tcPr>
            <w:tcW w:w="3240" w:type="dxa"/>
            <w:tcBorders>
              <w:top w:val="single" w:sz="6" w:space="0" w:color="000000"/>
              <w:left w:val="single" w:sz="6" w:space="0" w:color="000000"/>
              <w:bottom w:val="single" w:sz="6" w:space="0" w:color="000000"/>
              <w:right w:val="single" w:sz="6" w:space="0" w:color="000000"/>
            </w:tcBorders>
          </w:tcPr>
          <w:p w14:paraId="77E656B9" w14:textId="77777777" w:rsidR="00892C4E" w:rsidRPr="00827206" w:rsidRDefault="00892C4E" w:rsidP="00892C4E">
            <w:pPr>
              <w:spacing w:after="60"/>
            </w:pPr>
            <w:r>
              <w:t>The BCU distributes the physical cash.</w:t>
            </w:r>
          </w:p>
        </w:tc>
        <w:tc>
          <w:tcPr>
            <w:tcW w:w="5615" w:type="dxa"/>
            <w:tcBorders>
              <w:top w:val="single" w:sz="6" w:space="0" w:color="000000"/>
              <w:left w:val="single" w:sz="6" w:space="0" w:color="000000"/>
              <w:bottom w:val="single" w:sz="6" w:space="0" w:color="000000"/>
              <w:right w:val="single" w:sz="6" w:space="0" w:color="000000"/>
            </w:tcBorders>
          </w:tcPr>
          <w:p w14:paraId="5A99EB7F" w14:textId="77777777" w:rsidR="00892C4E" w:rsidRPr="005157BE" w:rsidRDefault="00892C4E" w:rsidP="00892C4E">
            <w:pPr>
              <w:spacing w:after="60"/>
            </w:pPr>
            <w:r w:rsidRPr="005157BE">
              <w:t>The BCU distributes the cash to commercial banks, who pay for them with a debit to their reserve account at the BCU. The banks then distribute the cash to the general public.</w:t>
            </w:r>
          </w:p>
        </w:tc>
      </w:tr>
      <w:tr w:rsidR="00892C4E" w:rsidRPr="00827206" w14:paraId="2A718F17" w14:textId="77777777" w:rsidTr="00F8181D">
        <w:trPr>
          <w:trHeight w:val="540"/>
        </w:trPr>
        <w:tc>
          <w:tcPr>
            <w:tcW w:w="926" w:type="dxa"/>
            <w:tcBorders>
              <w:top w:val="single" w:sz="6" w:space="0" w:color="000000"/>
              <w:left w:val="single" w:sz="6" w:space="0" w:color="000000"/>
              <w:bottom w:val="single" w:sz="6" w:space="0" w:color="000000"/>
              <w:right w:val="single" w:sz="6" w:space="0" w:color="000000"/>
            </w:tcBorders>
          </w:tcPr>
          <w:p w14:paraId="4AFB8EB3" w14:textId="77777777" w:rsidR="00892C4E" w:rsidRPr="00827206" w:rsidRDefault="00892C4E" w:rsidP="00892C4E">
            <w:r w:rsidRPr="00827206">
              <w:t>3.</w:t>
            </w:r>
          </w:p>
        </w:tc>
        <w:tc>
          <w:tcPr>
            <w:tcW w:w="3240" w:type="dxa"/>
            <w:tcBorders>
              <w:top w:val="single" w:sz="6" w:space="0" w:color="000000"/>
              <w:left w:val="single" w:sz="6" w:space="0" w:color="000000"/>
              <w:bottom w:val="single" w:sz="6" w:space="0" w:color="000000"/>
              <w:right w:val="single" w:sz="6" w:space="0" w:color="000000"/>
            </w:tcBorders>
          </w:tcPr>
          <w:p w14:paraId="2F9E486A" w14:textId="77777777" w:rsidR="00892C4E" w:rsidRPr="00827206" w:rsidRDefault="00892C4E" w:rsidP="00892C4E">
            <w:pPr>
              <w:spacing w:after="60"/>
            </w:pPr>
            <w:r>
              <w:t>The BCU destroys coins and notes that have become too worn out to be useful.</w:t>
            </w:r>
          </w:p>
        </w:tc>
        <w:tc>
          <w:tcPr>
            <w:tcW w:w="5615" w:type="dxa"/>
            <w:tcBorders>
              <w:top w:val="single" w:sz="6" w:space="0" w:color="000000"/>
              <w:left w:val="single" w:sz="6" w:space="0" w:color="000000"/>
              <w:bottom w:val="single" w:sz="6" w:space="0" w:color="000000"/>
              <w:right w:val="single" w:sz="6" w:space="0" w:color="000000"/>
            </w:tcBorders>
          </w:tcPr>
          <w:p w14:paraId="664CC6C0" w14:textId="3DC97C25" w:rsidR="00892C4E" w:rsidRPr="005157BE" w:rsidRDefault="00892C4E" w:rsidP="005A043A">
            <w:pPr>
              <w:spacing w:after="60"/>
            </w:pPr>
            <w:r w:rsidRPr="005157BE">
              <w:t>The commercial banks presumably ship the cash to the BCU, the BCU credits their accounts accordingly, and the BCU destroys the cash.</w:t>
            </w:r>
          </w:p>
        </w:tc>
      </w:tr>
    </w:tbl>
    <w:p w14:paraId="618B28F0" w14:textId="77777777" w:rsidR="000C1F5E" w:rsidRPr="00827206" w:rsidRDefault="000C1F5E" w:rsidP="000C1F5E">
      <w:pPr>
        <w:rPr>
          <w:b/>
        </w:rPr>
      </w:pPr>
    </w:p>
    <w:p w14:paraId="15068F15" w14:textId="77777777" w:rsidR="000C1F5E" w:rsidRPr="00827206" w:rsidRDefault="000C1F5E" w:rsidP="000C1F5E">
      <w:pPr>
        <w:rPr>
          <w:b/>
        </w:rPr>
      </w:pPr>
      <w:r w:rsidRPr="00827206">
        <w:rPr>
          <w:b/>
        </w:rPr>
        <w:tab/>
      </w: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18"/>
        <w:gridCol w:w="2476"/>
        <w:gridCol w:w="6379"/>
      </w:tblGrid>
      <w:tr w:rsidR="000C1F5E" w:rsidRPr="00827206" w14:paraId="58AD2C58" w14:textId="77777777" w:rsidTr="00F8181D">
        <w:trPr>
          <w:trHeight w:val="280"/>
        </w:trPr>
        <w:tc>
          <w:tcPr>
            <w:tcW w:w="9773" w:type="dxa"/>
            <w:gridSpan w:val="3"/>
            <w:tcBorders>
              <w:top w:val="single" w:sz="6" w:space="0" w:color="000000"/>
              <w:left w:val="single" w:sz="6" w:space="0" w:color="000000"/>
              <w:bottom w:val="nil"/>
              <w:right w:val="single" w:sz="6" w:space="0" w:color="000000"/>
            </w:tcBorders>
            <w:shd w:val="clear" w:color="auto" w:fill="D9D9D9"/>
          </w:tcPr>
          <w:p w14:paraId="37ABE641" w14:textId="77777777" w:rsidR="000C1F5E" w:rsidRPr="00827206" w:rsidRDefault="000C1F5E" w:rsidP="00F8181D">
            <w:pPr>
              <w:spacing w:before="0"/>
              <w:rPr>
                <w:b/>
              </w:rPr>
            </w:pPr>
            <w:bookmarkStart w:id="83" w:name="_Hlk8386799"/>
            <w:r w:rsidRPr="00827206">
              <w:rPr>
                <w:b/>
              </w:rPr>
              <w:t>Data and information (as-is)</w:t>
            </w:r>
          </w:p>
        </w:tc>
      </w:tr>
      <w:tr w:rsidR="000C1F5E" w:rsidRPr="00827206" w14:paraId="5A0EF459" w14:textId="77777777" w:rsidTr="00F8181D">
        <w:trPr>
          <w:trHeight w:val="280"/>
        </w:trPr>
        <w:tc>
          <w:tcPr>
            <w:tcW w:w="918" w:type="dxa"/>
            <w:tcBorders>
              <w:top w:val="single" w:sz="6" w:space="0" w:color="000000"/>
              <w:left w:val="single" w:sz="6" w:space="0" w:color="000000"/>
              <w:bottom w:val="nil"/>
              <w:right w:val="single" w:sz="6" w:space="0" w:color="000000"/>
            </w:tcBorders>
            <w:shd w:val="clear" w:color="auto" w:fill="D9D9D9"/>
          </w:tcPr>
          <w:p w14:paraId="068B18EB" w14:textId="77777777" w:rsidR="000C1F5E" w:rsidRPr="00827206" w:rsidRDefault="000C1F5E" w:rsidP="00F8181D">
            <w:pPr>
              <w:spacing w:before="0"/>
              <w:rPr>
                <w:b/>
              </w:rPr>
            </w:pPr>
            <w:r w:rsidRPr="00827206">
              <w:rPr>
                <w:b/>
              </w:rPr>
              <w:t>Data</w:t>
            </w:r>
          </w:p>
        </w:tc>
        <w:tc>
          <w:tcPr>
            <w:tcW w:w="2476" w:type="dxa"/>
            <w:tcBorders>
              <w:top w:val="single" w:sz="6" w:space="0" w:color="000000"/>
              <w:left w:val="single" w:sz="6" w:space="0" w:color="000000"/>
              <w:bottom w:val="nil"/>
              <w:right w:val="single" w:sz="6" w:space="0" w:color="000000"/>
            </w:tcBorders>
            <w:shd w:val="clear" w:color="auto" w:fill="D9D9D9"/>
          </w:tcPr>
          <w:p w14:paraId="2147A6E5" w14:textId="77777777" w:rsidR="000C1F5E" w:rsidRPr="00827206" w:rsidRDefault="000C1F5E" w:rsidP="00F8181D">
            <w:pPr>
              <w:spacing w:before="0"/>
              <w:rPr>
                <w:b/>
              </w:rPr>
            </w:pPr>
            <w:r w:rsidRPr="00827206">
              <w:rPr>
                <w:b/>
              </w:rPr>
              <w:t>Type</w:t>
            </w:r>
          </w:p>
        </w:tc>
        <w:tc>
          <w:tcPr>
            <w:tcW w:w="6379" w:type="dxa"/>
            <w:tcBorders>
              <w:top w:val="single" w:sz="6" w:space="0" w:color="000000"/>
              <w:left w:val="single" w:sz="6" w:space="0" w:color="000000"/>
              <w:bottom w:val="single" w:sz="6" w:space="0" w:color="000000"/>
              <w:right w:val="single" w:sz="6" w:space="0" w:color="000000"/>
            </w:tcBorders>
            <w:shd w:val="clear" w:color="auto" w:fill="D9D9D9"/>
          </w:tcPr>
          <w:p w14:paraId="54DA6985" w14:textId="77777777" w:rsidR="000C1F5E" w:rsidRPr="00827206" w:rsidRDefault="000C1F5E" w:rsidP="00F8181D">
            <w:pPr>
              <w:spacing w:before="0"/>
              <w:rPr>
                <w:b/>
              </w:rPr>
            </w:pPr>
            <w:r w:rsidRPr="00827206">
              <w:rPr>
                <w:b/>
              </w:rPr>
              <w:t>Description</w:t>
            </w:r>
          </w:p>
        </w:tc>
      </w:tr>
      <w:tr w:rsidR="000C1F5E" w:rsidRPr="00827206" w14:paraId="1D3FC7C8" w14:textId="77777777" w:rsidTr="00F8181D">
        <w:trPr>
          <w:trHeight w:val="540"/>
        </w:trPr>
        <w:tc>
          <w:tcPr>
            <w:tcW w:w="918" w:type="dxa"/>
            <w:tcBorders>
              <w:top w:val="single" w:sz="6" w:space="0" w:color="000000"/>
              <w:left w:val="single" w:sz="6" w:space="0" w:color="000000"/>
              <w:bottom w:val="single" w:sz="6" w:space="0" w:color="000000"/>
              <w:right w:val="single" w:sz="6" w:space="0" w:color="000000"/>
            </w:tcBorders>
          </w:tcPr>
          <w:p w14:paraId="0AC0DCCB" w14:textId="77777777" w:rsidR="000C1F5E" w:rsidRPr="00827206" w:rsidRDefault="000C1F5E" w:rsidP="00F8181D">
            <w:pPr>
              <w:rPr>
                <w:b/>
              </w:rPr>
            </w:pPr>
            <w:r w:rsidRPr="00827206">
              <w:rPr>
                <w:b/>
              </w:rPr>
              <w:t>1</w:t>
            </w:r>
          </w:p>
        </w:tc>
        <w:tc>
          <w:tcPr>
            <w:tcW w:w="2476" w:type="dxa"/>
            <w:tcBorders>
              <w:top w:val="single" w:sz="6" w:space="0" w:color="000000"/>
              <w:left w:val="single" w:sz="6" w:space="0" w:color="000000"/>
              <w:bottom w:val="single" w:sz="6" w:space="0" w:color="000000"/>
              <w:right w:val="single" w:sz="6" w:space="0" w:color="000000"/>
            </w:tcBorders>
          </w:tcPr>
          <w:p w14:paraId="23E2FEC9" w14:textId="77777777" w:rsidR="000C1F5E" w:rsidRPr="00827206" w:rsidRDefault="000C1F5E" w:rsidP="00F8181D">
            <w:r w:rsidRPr="00827206">
              <w:t>Fiat money transactions</w:t>
            </w:r>
          </w:p>
        </w:tc>
        <w:tc>
          <w:tcPr>
            <w:tcW w:w="6379" w:type="dxa"/>
            <w:tcBorders>
              <w:top w:val="single" w:sz="6" w:space="0" w:color="000000"/>
              <w:left w:val="single" w:sz="6" w:space="0" w:color="000000"/>
              <w:bottom w:val="single" w:sz="6" w:space="0" w:color="000000"/>
              <w:right w:val="single" w:sz="6" w:space="0" w:color="000000"/>
            </w:tcBorders>
          </w:tcPr>
          <w:p w14:paraId="565530D9" w14:textId="77777777" w:rsidR="000C1F5E" w:rsidRPr="00827206" w:rsidRDefault="000C1F5E" w:rsidP="00F8181D">
            <w:r w:rsidRPr="00827206">
              <w:t xml:space="preserve">The way value is transferred between: (a) the </w:t>
            </w:r>
            <w:r>
              <w:t>BCU</w:t>
            </w:r>
            <w:r w:rsidRPr="00827206">
              <w:t xml:space="preserve"> </w:t>
            </w:r>
            <w:r>
              <w:t xml:space="preserve">(b) </w:t>
            </w:r>
            <w:r w:rsidRPr="00827206">
              <w:t xml:space="preserve">the </w:t>
            </w:r>
            <w:r>
              <w:t>commercial banks</w:t>
            </w:r>
            <w:r w:rsidRPr="00827206">
              <w:t xml:space="preserve"> and (</w:t>
            </w:r>
            <w:r>
              <w:t>c</w:t>
            </w:r>
            <w:r w:rsidRPr="00827206">
              <w:t xml:space="preserve">) the </w:t>
            </w:r>
            <w:r>
              <w:t>general public.</w:t>
            </w:r>
          </w:p>
        </w:tc>
      </w:tr>
      <w:bookmarkEnd w:id="83"/>
    </w:tbl>
    <w:p w14:paraId="32DFFA0E" w14:textId="77777777" w:rsidR="000C1F5E" w:rsidRPr="00827206" w:rsidRDefault="000C1F5E" w:rsidP="000C1F5E">
      <w:pPr>
        <w:rPr>
          <w:b/>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18"/>
        <w:gridCol w:w="2476"/>
        <w:gridCol w:w="6379"/>
      </w:tblGrid>
      <w:tr w:rsidR="000C1F5E" w:rsidRPr="00827206" w14:paraId="7A39D24D" w14:textId="77777777" w:rsidTr="00F8181D">
        <w:trPr>
          <w:trHeight w:val="280"/>
        </w:trPr>
        <w:tc>
          <w:tcPr>
            <w:tcW w:w="9773" w:type="dxa"/>
            <w:gridSpan w:val="3"/>
            <w:tcBorders>
              <w:top w:val="single" w:sz="6" w:space="0" w:color="000000"/>
              <w:left w:val="single" w:sz="6" w:space="0" w:color="000000"/>
              <w:bottom w:val="nil"/>
              <w:right w:val="single" w:sz="6" w:space="0" w:color="000000"/>
            </w:tcBorders>
            <w:shd w:val="clear" w:color="auto" w:fill="D9D9D9"/>
          </w:tcPr>
          <w:p w14:paraId="5588BFFB" w14:textId="77777777" w:rsidR="000C1F5E" w:rsidRPr="00827206" w:rsidRDefault="000C1F5E" w:rsidP="00F8181D">
            <w:pPr>
              <w:spacing w:before="0"/>
              <w:rPr>
                <w:b/>
              </w:rPr>
            </w:pPr>
            <w:r w:rsidRPr="00827206">
              <w:rPr>
                <w:b/>
              </w:rPr>
              <w:t>Participants and their roles (as-is)</w:t>
            </w:r>
          </w:p>
        </w:tc>
      </w:tr>
      <w:tr w:rsidR="000C1F5E" w:rsidRPr="00827206" w14:paraId="47977AA1" w14:textId="77777777" w:rsidTr="00F8181D">
        <w:trPr>
          <w:trHeight w:val="280"/>
        </w:trPr>
        <w:tc>
          <w:tcPr>
            <w:tcW w:w="918" w:type="dxa"/>
            <w:tcBorders>
              <w:top w:val="single" w:sz="6" w:space="0" w:color="000000"/>
              <w:left w:val="single" w:sz="6" w:space="0" w:color="000000"/>
              <w:bottom w:val="nil"/>
              <w:right w:val="single" w:sz="6" w:space="0" w:color="000000"/>
            </w:tcBorders>
            <w:shd w:val="clear" w:color="auto" w:fill="D9D9D9"/>
          </w:tcPr>
          <w:p w14:paraId="1745D72D" w14:textId="77777777" w:rsidR="000C1F5E" w:rsidRPr="00827206" w:rsidRDefault="000C1F5E" w:rsidP="00F8181D">
            <w:pPr>
              <w:spacing w:before="0"/>
              <w:rPr>
                <w:b/>
              </w:rPr>
            </w:pPr>
            <w:r w:rsidRPr="00827206">
              <w:rPr>
                <w:b/>
              </w:rPr>
              <w:t>Actor</w:t>
            </w:r>
          </w:p>
        </w:tc>
        <w:tc>
          <w:tcPr>
            <w:tcW w:w="2476" w:type="dxa"/>
            <w:tcBorders>
              <w:top w:val="single" w:sz="6" w:space="0" w:color="000000"/>
              <w:left w:val="single" w:sz="6" w:space="0" w:color="000000"/>
              <w:bottom w:val="nil"/>
              <w:right w:val="single" w:sz="6" w:space="0" w:color="000000"/>
            </w:tcBorders>
            <w:shd w:val="clear" w:color="auto" w:fill="D9D9D9"/>
          </w:tcPr>
          <w:p w14:paraId="6D5C8EEB" w14:textId="77777777" w:rsidR="000C1F5E" w:rsidRPr="00827206" w:rsidRDefault="000C1F5E" w:rsidP="00F8181D">
            <w:pPr>
              <w:spacing w:before="0"/>
              <w:rPr>
                <w:b/>
              </w:rPr>
            </w:pPr>
            <w:r w:rsidRPr="00827206">
              <w:rPr>
                <w:b/>
              </w:rPr>
              <w:t>Type/Role</w:t>
            </w:r>
          </w:p>
        </w:tc>
        <w:tc>
          <w:tcPr>
            <w:tcW w:w="6379" w:type="dxa"/>
            <w:tcBorders>
              <w:top w:val="single" w:sz="6" w:space="0" w:color="000000"/>
              <w:left w:val="single" w:sz="6" w:space="0" w:color="000000"/>
              <w:bottom w:val="single" w:sz="6" w:space="0" w:color="000000"/>
              <w:right w:val="single" w:sz="6" w:space="0" w:color="000000"/>
            </w:tcBorders>
            <w:shd w:val="clear" w:color="auto" w:fill="D9D9D9"/>
          </w:tcPr>
          <w:p w14:paraId="12E3C8B5" w14:textId="77777777" w:rsidR="000C1F5E" w:rsidRPr="00827206" w:rsidRDefault="000C1F5E" w:rsidP="00F8181D">
            <w:pPr>
              <w:spacing w:before="0"/>
              <w:rPr>
                <w:b/>
              </w:rPr>
            </w:pPr>
            <w:r w:rsidRPr="00827206">
              <w:rPr>
                <w:b/>
              </w:rPr>
              <w:t>Description</w:t>
            </w:r>
          </w:p>
        </w:tc>
      </w:tr>
      <w:tr w:rsidR="000C1F5E" w:rsidRPr="00827206" w14:paraId="5D6DEBEA" w14:textId="77777777" w:rsidTr="00F8181D">
        <w:trPr>
          <w:trHeight w:val="660"/>
        </w:trPr>
        <w:tc>
          <w:tcPr>
            <w:tcW w:w="918" w:type="dxa"/>
            <w:tcBorders>
              <w:top w:val="single" w:sz="6" w:space="0" w:color="000000"/>
              <w:left w:val="single" w:sz="6" w:space="0" w:color="000000"/>
              <w:bottom w:val="single" w:sz="6" w:space="0" w:color="000000"/>
              <w:right w:val="single" w:sz="6" w:space="0" w:color="000000"/>
            </w:tcBorders>
          </w:tcPr>
          <w:p w14:paraId="19485925" w14:textId="77777777" w:rsidR="000C1F5E" w:rsidRPr="00827206" w:rsidRDefault="000C1F5E" w:rsidP="00F8181D">
            <w:pPr>
              <w:rPr>
                <w:b/>
              </w:rPr>
            </w:pPr>
            <w:r w:rsidRPr="00827206">
              <w:rPr>
                <w:b/>
              </w:rPr>
              <w:t>1</w:t>
            </w:r>
          </w:p>
        </w:tc>
        <w:tc>
          <w:tcPr>
            <w:tcW w:w="2476" w:type="dxa"/>
            <w:tcBorders>
              <w:top w:val="single" w:sz="6" w:space="0" w:color="000000"/>
              <w:left w:val="single" w:sz="6" w:space="0" w:color="000000"/>
              <w:bottom w:val="single" w:sz="6" w:space="0" w:color="000000"/>
              <w:right w:val="single" w:sz="6" w:space="0" w:color="000000"/>
            </w:tcBorders>
          </w:tcPr>
          <w:p w14:paraId="07908E14" w14:textId="77777777" w:rsidR="000C1F5E" w:rsidRPr="00827206" w:rsidRDefault="000C1F5E" w:rsidP="00F8181D">
            <w:r>
              <w:t>BCU</w:t>
            </w:r>
          </w:p>
        </w:tc>
        <w:tc>
          <w:tcPr>
            <w:tcW w:w="6379" w:type="dxa"/>
            <w:tcBorders>
              <w:top w:val="single" w:sz="6" w:space="0" w:color="000000"/>
              <w:left w:val="single" w:sz="6" w:space="0" w:color="000000"/>
              <w:bottom w:val="single" w:sz="6" w:space="0" w:color="000000"/>
              <w:right w:val="single" w:sz="6" w:space="0" w:color="000000"/>
            </w:tcBorders>
          </w:tcPr>
          <w:p w14:paraId="4FA73A21" w14:textId="77777777" w:rsidR="000C1F5E" w:rsidRPr="00827206" w:rsidRDefault="000C1F5E" w:rsidP="00F8181D">
            <w:r>
              <w:t>Central Bank</w:t>
            </w:r>
          </w:p>
        </w:tc>
      </w:tr>
      <w:tr w:rsidR="000C1F5E" w:rsidRPr="00827206" w14:paraId="7DE4DE25" w14:textId="77777777" w:rsidTr="00F8181D">
        <w:trPr>
          <w:trHeight w:val="540"/>
        </w:trPr>
        <w:tc>
          <w:tcPr>
            <w:tcW w:w="918" w:type="dxa"/>
            <w:tcBorders>
              <w:top w:val="single" w:sz="6" w:space="0" w:color="000000"/>
              <w:left w:val="single" w:sz="6" w:space="0" w:color="000000"/>
              <w:bottom w:val="single" w:sz="6" w:space="0" w:color="000000"/>
              <w:right w:val="single" w:sz="6" w:space="0" w:color="000000"/>
            </w:tcBorders>
          </w:tcPr>
          <w:p w14:paraId="5D00475F" w14:textId="77777777" w:rsidR="000C1F5E" w:rsidRPr="00827206" w:rsidRDefault="000C1F5E" w:rsidP="00F8181D">
            <w:pPr>
              <w:rPr>
                <w:b/>
              </w:rPr>
            </w:pPr>
            <w:r w:rsidRPr="00827206">
              <w:rPr>
                <w:b/>
              </w:rPr>
              <w:t>2</w:t>
            </w:r>
          </w:p>
        </w:tc>
        <w:tc>
          <w:tcPr>
            <w:tcW w:w="2476" w:type="dxa"/>
            <w:tcBorders>
              <w:top w:val="single" w:sz="6" w:space="0" w:color="000000"/>
              <w:left w:val="single" w:sz="6" w:space="0" w:color="000000"/>
              <w:bottom w:val="single" w:sz="6" w:space="0" w:color="000000"/>
              <w:right w:val="single" w:sz="6" w:space="0" w:color="000000"/>
            </w:tcBorders>
          </w:tcPr>
          <w:p w14:paraId="6EBEFFC5" w14:textId="77777777" w:rsidR="000C1F5E" w:rsidRPr="00827206" w:rsidRDefault="000C1F5E" w:rsidP="00F8181D">
            <w:pPr>
              <w:spacing w:after="60"/>
            </w:pPr>
            <w:r w:rsidRPr="00827206">
              <w:t>Commercial bank</w:t>
            </w:r>
          </w:p>
        </w:tc>
        <w:tc>
          <w:tcPr>
            <w:tcW w:w="6379" w:type="dxa"/>
            <w:tcBorders>
              <w:top w:val="single" w:sz="6" w:space="0" w:color="000000"/>
              <w:left w:val="single" w:sz="6" w:space="0" w:color="000000"/>
              <w:bottom w:val="single" w:sz="6" w:space="0" w:color="000000"/>
              <w:right w:val="single" w:sz="6" w:space="0" w:color="000000"/>
            </w:tcBorders>
          </w:tcPr>
          <w:p w14:paraId="306716DD" w14:textId="77777777" w:rsidR="000C1F5E" w:rsidRPr="00827206" w:rsidRDefault="000C1F5E" w:rsidP="00F8181D">
            <w:pPr>
              <w:spacing w:after="60"/>
            </w:pPr>
            <w:r w:rsidRPr="00827206">
              <w:t xml:space="preserve">Financial institution to </w:t>
            </w:r>
            <w:r>
              <w:t>distribute the cash to the public.</w:t>
            </w:r>
          </w:p>
        </w:tc>
      </w:tr>
      <w:tr w:rsidR="000C1F5E" w:rsidRPr="00827206" w14:paraId="6EC7BC86" w14:textId="77777777" w:rsidTr="00F8181D">
        <w:trPr>
          <w:trHeight w:val="540"/>
        </w:trPr>
        <w:tc>
          <w:tcPr>
            <w:tcW w:w="918" w:type="dxa"/>
            <w:tcBorders>
              <w:top w:val="single" w:sz="6" w:space="0" w:color="000000"/>
              <w:left w:val="single" w:sz="6" w:space="0" w:color="000000"/>
              <w:bottom w:val="single" w:sz="6" w:space="0" w:color="000000"/>
              <w:right w:val="single" w:sz="6" w:space="0" w:color="000000"/>
            </w:tcBorders>
          </w:tcPr>
          <w:p w14:paraId="502B24AE" w14:textId="77777777" w:rsidR="000C1F5E" w:rsidRPr="00827206" w:rsidRDefault="000C1F5E" w:rsidP="00F8181D">
            <w:pPr>
              <w:rPr>
                <w:b/>
              </w:rPr>
            </w:pPr>
            <w:r w:rsidRPr="00827206">
              <w:rPr>
                <w:b/>
              </w:rPr>
              <w:t>3</w:t>
            </w:r>
          </w:p>
        </w:tc>
        <w:tc>
          <w:tcPr>
            <w:tcW w:w="2476" w:type="dxa"/>
            <w:tcBorders>
              <w:top w:val="single" w:sz="6" w:space="0" w:color="000000"/>
              <w:left w:val="single" w:sz="6" w:space="0" w:color="000000"/>
              <w:bottom w:val="single" w:sz="6" w:space="0" w:color="000000"/>
              <w:right w:val="single" w:sz="6" w:space="0" w:color="000000"/>
            </w:tcBorders>
          </w:tcPr>
          <w:p w14:paraId="222B0F23" w14:textId="77777777" w:rsidR="000C1F5E" w:rsidRPr="00827206" w:rsidRDefault="000C1F5E" w:rsidP="00F8181D">
            <w:pPr>
              <w:spacing w:after="60"/>
            </w:pPr>
            <w:r>
              <w:t>General Public</w:t>
            </w:r>
          </w:p>
        </w:tc>
        <w:tc>
          <w:tcPr>
            <w:tcW w:w="6379" w:type="dxa"/>
            <w:tcBorders>
              <w:top w:val="single" w:sz="6" w:space="0" w:color="000000"/>
              <w:left w:val="single" w:sz="6" w:space="0" w:color="000000"/>
              <w:bottom w:val="single" w:sz="6" w:space="0" w:color="000000"/>
              <w:right w:val="single" w:sz="6" w:space="0" w:color="000000"/>
            </w:tcBorders>
          </w:tcPr>
          <w:p w14:paraId="68F08914" w14:textId="77777777" w:rsidR="000C1F5E" w:rsidRPr="00827206" w:rsidRDefault="000C1F5E" w:rsidP="00F8181D">
            <w:pPr>
              <w:spacing w:after="60"/>
            </w:pPr>
            <w:r w:rsidRPr="00827206">
              <w:t xml:space="preserve">Entity who </w:t>
            </w:r>
            <w:r>
              <w:t>uses the cash to pay for goods and services.</w:t>
            </w:r>
          </w:p>
        </w:tc>
      </w:tr>
    </w:tbl>
    <w:p w14:paraId="7F984EF8" w14:textId="77777777" w:rsidR="000C1F5E" w:rsidRPr="00827206" w:rsidRDefault="000C1F5E" w:rsidP="000C1F5E">
      <w:pPr>
        <w:rPr>
          <w:b/>
        </w:rPr>
      </w:pPr>
    </w:p>
    <w:p w14:paraId="7C1790C4" w14:textId="02F58960" w:rsidR="000C1F5E" w:rsidRPr="00421B73" w:rsidRDefault="000C1F5E" w:rsidP="005157BE">
      <w:pPr>
        <w:pStyle w:val="Heading3"/>
        <w:numPr>
          <w:ilvl w:val="0"/>
          <w:numId w:val="0"/>
        </w:numPr>
        <w:ind w:left="720" w:hanging="720"/>
      </w:pPr>
      <w:bookmarkStart w:id="84" w:name="_Toc12961941"/>
      <w:bookmarkStart w:id="85" w:name="_Toc14190306"/>
      <w:r w:rsidRPr="00421B73">
        <w:t>Pilot project process</w:t>
      </w:r>
      <w:bookmarkEnd w:id="84"/>
      <w:bookmarkEnd w:id="85"/>
    </w:p>
    <w:p w14:paraId="078A992F" w14:textId="77777777" w:rsidR="000C1F5E" w:rsidRPr="00827206" w:rsidRDefault="000C1F5E" w:rsidP="000C1F5E">
      <w:pPr>
        <w:keepNext/>
        <w:rPr>
          <w:b/>
          <w:u w:val="single"/>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18"/>
        <w:gridCol w:w="3240"/>
        <w:gridCol w:w="5615"/>
      </w:tblGrid>
      <w:tr w:rsidR="000C1F5E" w:rsidRPr="00827206" w14:paraId="46432EA5" w14:textId="77777777" w:rsidTr="00F8181D">
        <w:trPr>
          <w:trHeight w:val="280"/>
        </w:trPr>
        <w:tc>
          <w:tcPr>
            <w:tcW w:w="9773" w:type="dxa"/>
            <w:gridSpan w:val="3"/>
            <w:tcBorders>
              <w:top w:val="single" w:sz="6" w:space="0" w:color="000000"/>
              <w:left w:val="single" w:sz="6" w:space="0" w:color="000000"/>
              <w:bottom w:val="nil"/>
              <w:right w:val="single" w:sz="6" w:space="0" w:color="000000"/>
            </w:tcBorders>
            <w:shd w:val="clear" w:color="auto" w:fill="D9D9D9"/>
          </w:tcPr>
          <w:p w14:paraId="6B235A11" w14:textId="77777777" w:rsidR="000C1F5E" w:rsidRPr="00827206" w:rsidRDefault="000C1F5E" w:rsidP="00F8181D">
            <w:pPr>
              <w:keepNext/>
              <w:spacing w:before="0"/>
              <w:rPr>
                <w:b/>
              </w:rPr>
            </w:pPr>
            <w:r>
              <w:rPr>
                <w:b/>
              </w:rPr>
              <w:t>Pilot project flow</w:t>
            </w:r>
          </w:p>
        </w:tc>
      </w:tr>
      <w:tr w:rsidR="000C1F5E" w:rsidRPr="00827206" w14:paraId="334EE79B" w14:textId="77777777" w:rsidTr="00F8181D">
        <w:trPr>
          <w:trHeight w:val="280"/>
        </w:trPr>
        <w:tc>
          <w:tcPr>
            <w:tcW w:w="918" w:type="dxa"/>
            <w:tcBorders>
              <w:top w:val="single" w:sz="6" w:space="0" w:color="000000"/>
              <w:left w:val="single" w:sz="6" w:space="0" w:color="000000"/>
              <w:bottom w:val="nil"/>
              <w:right w:val="single" w:sz="6" w:space="0" w:color="000000"/>
            </w:tcBorders>
            <w:shd w:val="clear" w:color="auto" w:fill="D9D9D9"/>
          </w:tcPr>
          <w:p w14:paraId="1A613C25" w14:textId="77777777" w:rsidR="000C1F5E" w:rsidRPr="00827206" w:rsidRDefault="000C1F5E" w:rsidP="00F8181D">
            <w:pPr>
              <w:keepNext/>
              <w:spacing w:before="0"/>
              <w:jc w:val="center"/>
              <w:rPr>
                <w:b/>
              </w:rPr>
            </w:pPr>
            <w:r w:rsidRPr="00827206">
              <w:rPr>
                <w:b/>
              </w:rPr>
              <w:t>Step</w:t>
            </w:r>
          </w:p>
        </w:tc>
        <w:tc>
          <w:tcPr>
            <w:tcW w:w="3240" w:type="dxa"/>
            <w:tcBorders>
              <w:top w:val="single" w:sz="6" w:space="0" w:color="000000"/>
              <w:left w:val="single" w:sz="6" w:space="0" w:color="000000"/>
              <w:bottom w:val="nil"/>
              <w:right w:val="single" w:sz="6" w:space="0" w:color="000000"/>
            </w:tcBorders>
            <w:shd w:val="clear" w:color="auto" w:fill="D9D9D9"/>
          </w:tcPr>
          <w:p w14:paraId="1F4D26DE" w14:textId="77777777" w:rsidR="000C1F5E" w:rsidRPr="00827206" w:rsidRDefault="000C1F5E" w:rsidP="00F8181D">
            <w:pPr>
              <w:keepNext/>
              <w:spacing w:before="0"/>
              <w:jc w:val="center"/>
              <w:rPr>
                <w:b/>
              </w:rPr>
            </w:pPr>
            <w:r w:rsidRPr="00827206">
              <w:rPr>
                <w:b/>
              </w:rPr>
              <w:t>User Actions</w:t>
            </w:r>
          </w:p>
        </w:tc>
        <w:tc>
          <w:tcPr>
            <w:tcW w:w="5615" w:type="dxa"/>
            <w:tcBorders>
              <w:top w:val="single" w:sz="6" w:space="0" w:color="000000"/>
              <w:left w:val="single" w:sz="6" w:space="0" w:color="000000"/>
              <w:bottom w:val="single" w:sz="6" w:space="0" w:color="000000"/>
              <w:right w:val="single" w:sz="6" w:space="0" w:color="000000"/>
            </w:tcBorders>
            <w:shd w:val="clear" w:color="auto" w:fill="D9D9D9"/>
          </w:tcPr>
          <w:p w14:paraId="6DD8DACD" w14:textId="77777777" w:rsidR="000C1F5E" w:rsidRPr="00827206" w:rsidRDefault="000C1F5E" w:rsidP="00F8181D">
            <w:pPr>
              <w:keepNext/>
              <w:spacing w:before="0"/>
              <w:jc w:val="center"/>
              <w:rPr>
                <w:b/>
              </w:rPr>
            </w:pPr>
            <w:r w:rsidRPr="00827206">
              <w:rPr>
                <w:b/>
              </w:rPr>
              <w:t>System Actions</w:t>
            </w:r>
          </w:p>
        </w:tc>
      </w:tr>
      <w:tr w:rsidR="00892C4E" w:rsidRPr="00827206" w14:paraId="1F2962F5" w14:textId="77777777" w:rsidTr="00F8181D">
        <w:trPr>
          <w:trHeight w:val="540"/>
        </w:trPr>
        <w:tc>
          <w:tcPr>
            <w:tcW w:w="918" w:type="dxa"/>
            <w:tcBorders>
              <w:top w:val="single" w:sz="6" w:space="0" w:color="000000"/>
              <w:left w:val="single" w:sz="6" w:space="0" w:color="000000"/>
              <w:bottom w:val="single" w:sz="6" w:space="0" w:color="000000"/>
              <w:right w:val="single" w:sz="6" w:space="0" w:color="000000"/>
            </w:tcBorders>
          </w:tcPr>
          <w:p w14:paraId="7517E5F8" w14:textId="77777777" w:rsidR="00892C4E" w:rsidRPr="00827206" w:rsidRDefault="00892C4E" w:rsidP="00892C4E">
            <w:r w:rsidRPr="00827206">
              <w:t>1.</w:t>
            </w:r>
          </w:p>
        </w:tc>
        <w:tc>
          <w:tcPr>
            <w:tcW w:w="3240" w:type="dxa"/>
            <w:tcBorders>
              <w:top w:val="single" w:sz="6" w:space="0" w:color="000000"/>
              <w:left w:val="single" w:sz="6" w:space="0" w:color="000000"/>
              <w:bottom w:val="single" w:sz="6" w:space="0" w:color="000000"/>
              <w:right w:val="single" w:sz="6" w:space="0" w:color="000000"/>
            </w:tcBorders>
          </w:tcPr>
          <w:p w14:paraId="30DE51EE" w14:textId="77777777" w:rsidR="00892C4E" w:rsidRPr="00827206" w:rsidRDefault="00892C4E" w:rsidP="00892C4E">
            <w:r>
              <w:t>The BCU produces the Giori Digital Money (GDM) using software provided by the Roberto Giori Company Limited (RGC).</w:t>
            </w:r>
          </w:p>
        </w:tc>
        <w:tc>
          <w:tcPr>
            <w:tcW w:w="5615" w:type="dxa"/>
            <w:tcBorders>
              <w:top w:val="single" w:sz="6" w:space="0" w:color="000000"/>
              <w:left w:val="single" w:sz="6" w:space="0" w:color="000000"/>
              <w:bottom w:val="single" w:sz="6" w:space="0" w:color="000000"/>
              <w:right w:val="single" w:sz="6" w:space="0" w:color="000000"/>
            </w:tcBorders>
          </w:tcPr>
          <w:p w14:paraId="5BF9F498" w14:textId="77777777" w:rsidR="00892C4E" w:rsidRPr="00827206" w:rsidRDefault="00892C4E" w:rsidP="00892C4E">
            <w:pPr>
              <w:rPr>
                <w:color w:val="0000FF"/>
              </w:rPr>
            </w:pPr>
            <w:r w:rsidRPr="00E033DF">
              <w:rPr>
                <w:color w:val="0000FF"/>
              </w:rPr>
              <w:t xml:space="preserve">The </w:t>
            </w:r>
            <w:r>
              <w:rPr>
                <w:color w:val="0000FF"/>
              </w:rPr>
              <w:t>BCU</w:t>
            </w:r>
            <w:r w:rsidRPr="00E033DF">
              <w:rPr>
                <w:color w:val="0000FF"/>
              </w:rPr>
              <w:t xml:space="preserve"> manages </w:t>
            </w:r>
            <w:r>
              <w:rPr>
                <w:color w:val="0000FF"/>
              </w:rPr>
              <w:t>the GDM production, g</w:t>
            </w:r>
            <w:r w:rsidRPr="00971B60">
              <w:rPr>
                <w:color w:val="0000FF"/>
              </w:rPr>
              <w:t>iven that the Banco Central del Uruguay has the exclusive right of issuing legal tender money in</w:t>
            </w:r>
            <w:r>
              <w:rPr>
                <w:color w:val="0000FF"/>
              </w:rPr>
              <w:t xml:space="preserve"> Uruguay.</w:t>
            </w:r>
          </w:p>
        </w:tc>
      </w:tr>
      <w:tr w:rsidR="00892C4E" w:rsidRPr="00827206" w14:paraId="11DE6540" w14:textId="77777777" w:rsidTr="00F8181D">
        <w:trPr>
          <w:trHeight w:val="540"/>
        </w:trPr>
        <w:tc>
          <w:tcPr>
            <w:tcW w:w="918" w:type="dxa"/>
            <w:tcBorders>
              <w:top w:val="single" w:sz="6" w:space="0" w:color="000000"/>
              <w:left w:val="single" w:sz="6" w:space="0" w:color="000000"/>
              <w:bottom w:val="single" w:sz="6" w:space="0" w:color="000000"/>
              <w:right w:val="single" w:sz="6" w:space="0" w:color="000000"/>
            </w:tcBorders>
          </w:tcPr>
          <w:p w14:paraId="11C60E86" w14:textId="77777777" w:rsidR="00892C4E" w:rsidRPr="00827206" w:rsidRDefault="00892C4E" w:rsidP="00892C4E">
            <w:r>
              <w:t xml:space="preserve">2. </w:t>
            </w:r>
          </w:p>
        </w:tc>
        <w:tc>
          <w:tcPr>
            <w:tcW w:w="3240" w:type="dxa"/>
            <w:tcBorders>
              <w:top w:val="single" w:sz="6" w:space="0" w:color="000000"/>
              <w:left w:val="single" w:sz="6" w:space="0" w:color="000000"/>
              <w:bottom w:val="single" w:sz="6" w:space="0" w:color="000000"/>
              <w:right w:val="single" w:sz="6" w:space="0" w:color="000000"/>
            </w:tcBorders>
          </w:tcPr>
          <w:p w14:paraId="7627E306" w14:textId="77777777" w:rsidR="00892C4E" w:rsidRDefault="00892C4E" w:rsidP="00892C4E">
            <w:pPr>
              <w:spacing w:after="60"/>
            </w:pPr>
            <w:r>
              <w:t xml:space="preserve">The e-Pesos that are produced by the BCU are transferred to the RGC </w:t>
            </w:r>
            <w:r w:rsidRPr="00971B60">
              <w:t>Global E</w:t>
            </w:r>
            <w:r>
              <w:t>-N</w:t>
            </w:r>
            <w:r w:rsidRPr="00971B60">
              <w:t xml:space="preserve">ote Manager (GEM) </w:t>
            </w:r>
            <w:r>
              <w:t xml:space="preserve">that </w:t>
            </w:r>
            <w:r w:rsidRPr="00971B60">
              <w:t xml:space="preserve">serves as virtual vault and digital wallet. </w:t>
            </w:r>
          </w:p>
        </w:tc>
        <w:tc>
          <w:tcPr>
            <w:tcW w:w="5615" w:type="dxa"/>
            <w:tcBorders>
              <w:top w:val="single" w:sz="6" w:space="0" w:color="000000"/>
              <w:left w:val="single" w:sz="6" w:space="0" w:color="000000"/>
              <w:bottom w:val="single" w:sz="6" w:space="0" w:color="000000"/>
              <w:right w:val="single" w:sz="6" w:space="0" w:color="000000"/>
            </w:tcBorders>
          </w:tcPr>
          <w:p w14:paraId="733D4DCB" w14:textId="77777777" w:rsidR="00892C4E" w:rsidRPr="00827206" w:rsidRDefault="00892C4E" w:rsidP="00892C4E">
            <w:pPr>
              <w:spacing w:after="60"/>
            </w:pPr>
            <w:r w:rsidRPr="00971B60">
              <w:t>This component provides the storage, security, verification and certification of all transactions.</w:t>
            </w:r>
            <w:r>
              <w:t xml:space="preserve"> The GEM was managed by IBM during the pilot, but it could be managed by the BCU if it goes live.</w:t>
            </w:r>
          </w:p>
        </w:tc>
      </w:tr>
      <w:tr w:rsidR="00892C4E" w:rsidRPr="00827206" w14:paraId="2F322BC4" w14:textId="77777777" w:rsidTr="00F8181D">
        <w:trPr>
          <w:trHeight w:val="540"/>
        </w:trPr>
        <w:tc>
          <w:tcPr>
            <w:tcW w:w="918" w:type="dxa"/>
            <w:tcBorders>
              <w:top w:val="single" w:sz="6" w:space="0" w:color="000000"/>
              <w:left w:val="single" w:sz="6" w:space="0" w:color="000000"/>
              <w:bottom w:val="single" w:sz="6" w:space="0" w:color="000000"/>
              <w:right w:val="single" w:sz="6" w:space="0" w:color="000000"/>
            </w:tcBorders>
          </w:tcPr>
          <w:p w14:paraId="1BDF0F82" w14:textId="77777777" w:rsidR="00892C4E" w:rsidRPr="00827206" w:rsidRDefault="00892C4E" w:rsidP="00892C4E">
            <w:r>
              <w:t>3</w:t>
            </w:r>
            <w:r w:rsidRPr="00827206">
              <w:t xml:space="preserve">. </w:t>
            </w:r>
          </w:p>
        </w:tc>
        <w:tc>
          <w:tcPr>
            <w:tcW w:w="3240" w:type="dxa"/>
            <w:tcBorders>
              <w:top w:val="single" w:sz="6" w:space="0" w:color="000000"/>
              <w:left w:val="single" w:sz="6" w:space="0" w:color="000000"/>
              <w:bottom w:val="single" w:sz="6" w:space="0" w:color="000000"/>
              <w:right w:val="single" w:sz="6" w:space="0" w:color="000000"/>
            </w:tcBorders>
          </w:tcPr>
          <w:p w14:paraId="5762BE19" w14:textId="77777777" w:rsidR="00892C4E" w:rsidRPr="00827206" w:rsidRDefault="00892C4E" w:rsidP="00892C4E">
            <w:pPr>
              <w:spacing w:after="60"/>
              <w:rPr>
                <w:color w:val="FF0000"/>
              </w:rPr>
            </w:pPr>
            <w:r>
              <w:t>IN Switch Solutions provides the mobile payment application for the user.</w:t>
            </w:r>
          </w:p>
        </w:tc>
        <w:tc>
          <w:tcPr>
            <w:tcW w:w="5615" w:type="dxa"/>
            <w:tcBorders>
              <w:top w:val="single" w:sz="6" w:space="0" w:color="000000"/>
              <w:left w:val="single" w:sz="6" w:space="0" w:color="000000"/>
              <w:bottom w:val="single" w:sz="6" w:space="0" w:color="000000"/>
              <w:right w:val="single" w:sz="6" w:space="0" w:color="000000"/>
            </w:tcBorders>
          </w:tcPr>
          <w:p w14:paraId="0223B70D" w14:textId="77777777" w:rsidR="00892C4E" w:rsidRPr="00827206" w:rsidRDefault="00892C4E" w:rsidP="00892C4E">
            <w:pPr>
              <w:spacing w:after="60"/>
            </w:pPr>
            <w:r>
              <w:t>U</w:t>
            </w:r>
            <w:r w:rsidRPr="00512D59">
              <w:t>sers’ digital wallets</w:t>
            </w:r>
            <w:r>
              <w:t xml:space="preserve"> in the Giori GEM platform are linked to their mobile phone numbers in the IN Switch application.</w:t>
            </w:r>
          </w:p>
        </w:tc>
      </w:tr>
      <w:tr w:rsidR="00892C4E" w:rsidRPr="00827206" w14:paraId="408489CC" w14:textId="77777777" w:rsidTr="00F8181D">
        <w:trPr>
          <w:trHeight w:val="540"/>
        </w:trPr>
        <w:tc>
          <w:tcPr>
            <w:tcW w:w="918" w:type="dxa"/>
            <w:tcBorders>
              <w:top w:val="single" w:sz="6" w:space="0" w:color="000000"/>
              <w:left w:val="single" w:sz="6" w:space="0" w:color="000000"/>
              <w:bottom w:val="single" w:sz="6" w:space="0" w:color="000000"/>
              <w:right w:val="single" w:sz="6" w:space="0" w:color="000000"/>
            </w:tcBorders>
          </w:tcPr>
          <w:p w14:paraId="32C5C0F8" w14:textId="77777777" w:rsidR="00892C4E" w:rsidRPr="00827206" w:rsidRDefault="00892C4E" w:rsidP="00892C4E">
            <w:r>
              <w:t>4</w:t>
            </w:r>
            <w:r w:rsidRPr="00827206">
              <w:t>.</w:t>
            </w:r>
          </w:p>
        </w:tc>
        <w:tc>
          <w:tcPr>
            <w:tcW w:w="3240" w:type="dxa"/>
            <w:tcBorders>
              <w:top w:val="single" w:sz="6" w:space="0" w:color="000000"/>
              <w:left w:val="single" w:sz="6" w:space="0" w:color="000000"/>
              <w:bottom w:val="single" w:sz="6" w:space="0" w:color="000000"/>
              <w:right w:val="single" w:sz="6" w:space="0" w:color="000000"/>
            </w:tcBorders>
          </w:tcPr>
          <w:p w14:paraId="6788AE80" w14:textId="77777777" w:rsidR="00892C4E" w:rsidRPr="00827206" w:rsidRDefault="00892C4E" w:rsidP="00892C4E">
            <w:pPr>
              <w:spacing w:after="60"/>
            </w:pPr>
            <w:r>
              <w:t>RedPagos manages the store front operation.</w:t>
            </w:r>
          </w:p>
        </w:tc>
        <w:tc>
          <w:tcPr>
            <w:tcW w:w="5615" w:type="dxa"/>
            <w:tcBorders>
              <w:top w:val="single" w:sz="6" w:space="0" w:color="000000"/>
              <w:left w:val="single" w:sz="6" w:space="0" w:color="000000"/>
              <w:bottom w:val="single" w:sz="6" w:space="0" w:color="000000"/>
              <w:right w:val="single" w:sz="6" w:space="0" w:color="000000"/>
            </w:tcBorders>
          </w:tcPr>
          <w:p w14:paraId="019B5E7D" w14:textId="77777777" w:rsidR="00892C4E" w:rsidRPr="00827206" w:rsidRDefault="00892C4E" w:rsidP="00892C4E">
            <w:pPr>
              <w:spacing w:after="60"/>
            </w:pPr>
            <w:r>
              <w:t>Users cash in and out of GDM at RedPagos branches.</w:t>
            </w:r>
          </w:p>
        </w:tc>
      </w:tr>
      <w:tr w:rsidR="00892C4E" w:rsidRPr="00827206" w14:paraId="0D71F7B0" w14:textId="77777777" w:rsidTr="00F8181D">
        <w:trPr>
          <w:trHeight w:val="540"/>
        </w:trPr>
        <w:tc>
          <w:tcPr>
            <w:tcW w:w="918" w:type="dxa"/>
            <w:tcBorders>
              <w:top w:val="single" w:sz="6" w:space="0" w:color="000000"/>
              <w:left w:val="single" w:sz="6" w:space="0" w:color="000000"/>
              <w:bottom w:val="single" w:sz="6" w:space="0" w:color="000000"/>
              <w:right w:val="single" w:sz="6" w:space="0" w:color="000000"/>
            </w:tcBorders>
          </w:tcPr>
          <w:p w14:paraId="37A72D47" w14:textId="77777777" w:rsidR="00892C4E" w:rsidRPr="00827206" w:rsidRDefault="00892C4E" w:rsidP="00892C4E">
            <w:r>
              <w:t>5.</w:t>
            </w:r>
          </w:p>
        </w:tc>
        <w:tc>
          <w:tcPr>
            <w:tcW w:w="3240" w:type="dxa"/>
            <w:tcBorders>
              <w:top w:val="single" w:sz="6" w:space="0" w:color="000000"/>
              <w:left w:val="single" w:sz="6" w:space="0" w:color="000000"/>
              <w:bottom w:val="single" w:sz="6" w:space="0" w:color="000000"/>
              <w:right w:val="single" w:sz="6" w:space="0" w:color="000000"/>
            </w:tcBorders>
          </w:tcPr>
          <w:p w14:paraId="2380DDC1" w14:textId="77777777" w:rsidR="00892C4E" w:rsidRDefault="00892C4E" w:rsidP="00892C4E">
            <w:pPr>
              <w:spacing w:after="60"/>
            </w:pPr>
            <w:r>
              <w:t>IBM provides cloud storage facilities and runs the call center.</w:t>
            </w:r>
          </w:p>
        </w:tc>
        <w:tc>
          <w:tcPr>
            <w:tcW w:w="5615" w:type="dxa"/>
            <w:tcBorders>
              <w:top w:val="single" w:sz="6" w:space="0" w:color="000000"/>
              <w:left w:val="single" w:sz="6" w:space="0" w:color="000000"/>
              <w:bottom w:val="single" w:sz="6" w:space="0" w:color="000000"/>
              <w:right w:val="single" w:sz="6" w:space="0" w:color="000000"/>
            </w:tcBorders>
          </w:tcPr>
          <w:p w14:paraId="21C7EA3D" w14:textId="77777777" w:rsidR="00892C4E" w:rsidRPr="00827206" w:rsidRDefault="00892C4E" w:rsidP="00892C4E">
            <w:pPr>
              <w:spacing w:after="60"/>
            </w:pPr>
          </w:p>
        </w:tc>
      </w:tr>
    </w:tbl>
    <w:p w14:paraId="6837C006" w14:textId="77777777" w:rsidR="000C1F5E" w:rsidRPr="00827206" w:rsidRDefault="000C1F5E" w:rsidP="000C1F5E">
      <w:pPr>
        <w:jc w:val="center"/>
        <w:rPr>
          <w:b/>
          <w:u w:val="single"/>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73"/>
      </w:tblGrid>
      <w:tr w:rsidR="000C1F5E" w:rsidRPr="00827206" w14:paraId="3B507518" w14:textId="77777777" w:rsidTr="00F8181D">
        <w:trPr>
          <w:trHeight w:val="280"/>
        </w:trPr>
        <w:tc>
          <w:tcPr>
            <w:tcW w:w="9773" w:type="dxa"/>
            <w:tcBorders>
              <w:top w:val="single" w:sz="6" w:space="0" w:color="000000"/>
              <w:left w:val="single" w:sz="6" w:space="0" w:color="000000"/>
              <w:bottom w:val="nil"/>
              <w:right w:val="single" w:sz="6" w:space="0" w:color="000000"/>
            </w:tcBorders>
            <w:shd w:val="clear" w:color="auto" w:fill="D9D9D9"/>
          </w:tcPr>
          <w:p w14:paraId="3DCEA303" w14:textId="77777777" w:rsidR="000C1F5E" w:rsidRPr="00827206" w:rsidRDefault="000C1F5E" w:rsidP="00F8181D">
            <w:pPr>
              <w:keepNext/>
              <w:spacing w:before="0"/>
              <w:rPr>
                <w:b/>
              </w:rPr>
            </w:pPr>
            <w:r w:rsidRPr="00827206">
              <w:rPr>
                <w:b/>
              </w:rPr>
              <w:t>Process scheme (to-be)</w:t>
            </w:r>
          </w:p>
        </w:tc>
      </w:tr>
      <w:tr w:rsidR="000C1F5E" w:rsidRPr="00827206" w14:paraId="238EF264" w14:textId="77777777" w:rsidTr="00F8181D">
        <w:trPr>
          <w:trHeight w:val="540"/>
        </w:trPr>
        <w:tc>
          <w:tcPr>
            <w:tcW w:w="9773" w:type="dxa"/>
            <w:tcBorders>
              <w:top w:val="single" w:sz="6" w:space="0" w:color="000000"/>
              <w:left w:val="single" w:sz="6" w:space="0" w:color="000000"/>
              <w:bottom w:val="single" w:sz="6" w:space="0" w:color="000000"/>
              <w:right w:val="single" w:sz="6" w:space="0" w:color="000000"/>
            </w:tcBorders>
          </w:tcPr>
          <w:p w14:paraId="18A8ECBE" w14:textId="77777777" w:rsidR="000C1F5E" w:rsidRPr="00827206" w:rsidRDefault="000C1F5E" w:rsidP="00F8181D">
            <w:pPr>
              <w:spacing w:after="60"/>
              <w:jc w:val="center"/>
              <w:rPr>
                <w:color w:val="FF0000"/>
              </w:rPr>
            </w:pPr>
            <w:r w:rsidRPr="00A7202B">
              <w:rPr>
                <w:noProof/>
                <w:color w:val="FF0000"/>
                <w:lang w:eastAsia="en-GB"/>
              </w:rPr>
              <w:drawing>
                <wp:inline distT="0" distB="0" distL="0" distR="0" wp14:anchorId="423B08F8" wp14:editId="6DD3F453">
                  <wp:extent cx="5403850" cy="33782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3850" cy="3378200"/>
                          </a:xfrm>
                          <a:prstGeom prst="rect">
                            <a:avLst/>
                          </a:prstGeom>
                          <a:noFill/>
                          <a:ln>
                            <a:noFill/>
                          </a:ln>
                        </pic:spPr>
                      </pic:pic>
                    </a:graphicData>
                  </a:graphic>
                </wp:inline>
              </w:drawing>
            </w:r>
          </w:p>
        </w:tc>
      </w:tr>
    </w:tbl>
    <w:p w14:paraId="3DF5B71A" w14:textId="77777777" w:rsidR="000C1F5E" w:rsidRDefault="000C1F5E" w:rsidP="000C1F5E">
      <w:pPr>
        <w:jc w:val="center"/>
        <w:rPr>
          <w:b/>
          <w:u w:val="single"/>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18"/>
        <w:gridCol w:w="2476"/>
        <w:gridCol w:w="6379"/>
      </w:tblGrid>
      <w:tr w:rsidR="000C1F5E" w:rsidRPr="00827206" w14:paraId="027520DF" w14:textId="77777777" w:rsidTr="00F8181D">
        <w:trPr>
          <w:trHeight w:val="280"/>
        </w:trPr>
        <w:tc>
          <w:tcPr>
            <w:tcW w:w="9773" w:type="dxa"/>
            <w:gridSpan w:val="3"/>
            <w:tcBorders>
              <w:top w:val="single" w:sz="6" w:space="0" w:color="000000"/>
              <w:left w:val="single" w:sz="6" w:space="0" w:color="000000"/>
              <w:bottom w:val="nil"/>
              <w:right w:val="single" w:sz="6" w:space="0" w:color="000000"/>
            </w:tcBorders>
            <w:shd w:val="clear" w:color="auto" w:fill="D9D9D9"/>
          </w:tcPr>
          <w:p w14:paraId="167E32F2" w14:textId="77777777" w:rsidR="000C1F5E" w:rsidRPr="00827206" w:rsidRDefault="000C1F5E" w:rsidP="00F8181D">
            <w:pPr>
              <w:keepNext/>
              <w:spacing w:before="0"/>
              <w:rPr>
                <w:b/>
              </w:rPr>
            </w:pPr>
            <w:r w:rsidRPr="00827206">
              <w:rPr>
                <w:b/>
              </w:rPr>
              <w:t>Data and information (</w:t>
            </w:r>
            <w:r>
              <w:rPr>
                <w:b/>
              </w:rPr>
              <w:t>to-be</w:t>
            </w:r>
            <w:r w:rsidRPr="00827206">
              <w:rPr>
                <w:b/>
              </w:rPr>
              <w:t>)</w:t>
            </w:r>
          </w:p>
        </w:tc>
      </w:tr>
      <w:tr w:rsidR="000C1F5E" w:rsidRPr="00827206" w14:paraId="55F0620D" w14:textId="77777777" w:rsidTr="00F8181D">
        <w:trPr>
          <w:trHeight w:val="280"/>
        </w:trPr>
        <w:tc>
          <w:tcPr>
            <w:tcW w:w="918" w:type="dxa"/>
            <w:tcBorders>
              <w:top w:val="single" w:sz="6" w:space="0" w:color="000000"/>
              <w:left w:val="single" w:sz="6" w:space="0" w:color="000000"/>
              <w:bottom w:val="nil"/>
              <w:right w:val="single" w:sz="6" w:space="0" w:color="000000"/>
            </w:tcBorders>
            <w:shd w:val="clear" w:color="auto" w:fill="D9D9D9"/>
          </w:tcPr>
          <w:p w14:paraId="627AABE7" w14:textId="77777777" w:rsidR="000C1F5E" w:rsidRPr="00827206" w:rsidRDefault="000C1F5E" w:rsidP="00F8181D">
            <w:pPr>
              <w:spacing w:before="0"/>
              <w:rPr>
                <w:b/>
              </w:rPr>
            </w:pPr>
            <w:r w:rsidRPr="00827206">
              <w:rPr>
                <w:b/>
              </w:rPr>
              <w:t>Data</w:t>
            </w:r>
          </w:p>
        </w:tc>
        <w:tc>
          <w:tcPr>
            <w:tcW w:w="2476" w:type="dxa"/>
            <w:tcBorders>
              <w:top w:val="single" w:sz="6" w:space="0" w:color="000000"/>
              <w:left w:val="single" w:sz="6" w:space="0" w:color="000000"/>
              <w:bottom w:val="nil"/>
              <w:right w:val="single" w:sz="6" w:space="0" w:color="000000"/>
            </w:tcBorders>
            <w:shd w:val="clear" w:color="auto" w:fill="D9D9D9"/>
          </w:tcPr>
          <w:p w14:paraId="1721B329" w14:textId="77777777" w:rsidR="000C1F5E" w:rsidRPr="00827206" w:rsidRDefault="000C1F5E" w:rsidP="00F8181D">
            <w:pPr>
              <w:spacing w:before="0"/>
              <w:rPr>
                <w:b/>
              </w:rPr>
            </w:pPr>
            <w:r w:rsidRPr="00827206">
              <w:rPr>
                <w:b/>
              </w:rPr>
              <w:t>Type</w:t>
            </w:r>
          </w:p>
        </w:tc>
        <w:tc>
          <w:tcPr>
            <w:tcW w:w="6379" w:type="dxa"/>
            <w:tcBorders>
              <w:top w:val="single" w:sz="6" w:space="0" w:color="000000"/>
              <w:left w:val="single" w:sz="6" w:space="0" w:color="000000"/>
              <w:bottom w:val="single" w:sz="6" w:space="0" w:color="000000"/>
              <w:right w:val="single" w:sz="6" w:space="0" w:color="000000"/>
            </w:tcBorders>
            <w:shd w:val="clear" w:color="auto" w:fill="D9D9D9"/>
          </w:tcPr>
          <w:p w14:paraId="02E2E824" w14:textId="77777777" w:rsidR="000C1F5E" w:rsidRPr="00827206" w:rsidRDefault="000C1F5E" w:rsidP="00F8181D">
            <w:pPr>
              <w:keepNext/>
              <w:spacing w:before="0"/>
              <w:rPr>
                <w:b/>
              </w:rPr>
            </w:pPr>
            <w:r w:rsidRPr="00827206">
              <w:rPr>
                <w:b/>
              </w:rPr>
              <w:t>Description</w:t>
            </w:r>
          </w:p>
        </w:tc>
      </w:tr>
      <w:tr w:rsidR="000C1F5E" w:rsidRPr="00827206" w14:paraId="6C2E2B71" w14:textId="77777777" w:rsidTr="00F8181D">
        <w:trPr>
          <w:trHeight w:val="540"/>
        </w:trPr>
        <w:tc>
          <w:tcPr>
            <w:tcW w:w="918" w:type="dxa"/>
            <w:tcBorders>
              <w:top w:val="single" w:sz="6" w:space="0" w:color="000000"/>
              <w:left w:val="single" w:sz="6" w:space="0" w:color="000000"/>
              <w:bottom w:val="single" w:sz="6" w:space="0" w:color="000000"/>
              <w:right w:val="single" w:sz="6" w:space="0" w:color="000000"/>
            </w:tcBorders>
          </w:tcPr>
          <w:p w14:paraId="01EE76AD" w14:textId="77777777" w:rsidR="000C1F5E" w:rsidRPr="00827206" w:rsidRDefault="000C1F5E" w:rsidP="00F8181D">
            <w:pPr>
              <w:rPr>
                <w:b/>
              </w:rPr>
            </w:pPr>
            <w:r w:rsidRPr="00827206">
              <w:rPr>
                <w:b/>
              </w:rPr>
              <w:t>1</w:t>
            </w:r>
          </w:p>
        </w:tc>
        <w:tc>
          <w:tcPr>
            <w:tcW w:w="2476" w:type="dxa"/>
            <w:tcBorders>
              <w:top w:val="single" w:sz="6" w:space="0" w:color="000000"/>
              <w:left w:val="single" w:sz="6" w:space="0" w:color="000000"/>
              <w:bottom w:val="single" w:sz="6" w:space="0" w:color="000000"/>
              <w:right w:val="single" w:sz="6" w:space="0" w:color="000000"/>
            </w:tcBorders>
          </w:tcPr>
          <w:p w14:paraId="344B8F2F" w14:textId="77777777" w:rsidR="000C1F5E" w:rsidRPr="00827206" w:rsidRDefault="000C1F5E" w:rsidP="00F8181D">
            <w:r>
              <w:t>Digital</w:t>
            </w:r>
            <w:r w:rsidRPr="00827206">
              <w:t xml:space="preserve"> money transactions</w:t>
            </w:r>
          </w:p>
        </w:tc>
        <w:tc>
          <w:tcPr>
            <w:tcW w:w="6379" w:type="dxa"/>
            <w:tcBorders>
              <w:top w:val="single" w:sz="6" w:space="0" w:color="000000"/>
              <w:left w:val="single" w:sz="6" w:space="0" w:color="000000"/>
              <w:bottom w:val="single" w:sz="6" w:space="0" w:color="000000"/>
              <w:right w:val="single" w:sz="6" w:space="0" w:color="000000"/>
            </w:tcBorders>
          </w:tcPr>
          <w:p w14:paraId="51C0CABA" w14:textId="77777777" w:rsidR="000C1F5E" w:rsidRPr="00827206" w:rsidRDefault="000C1F5E" w:rsidP="00F8181D">
            <w:r w:rsidRPr="00827206">
              <w:t xml:space="preserve">The way value is transferred between: (a) the </w:t>
            </w:r>
            <w:r>
              <w:t>BCU</w:t>
            </w:r>
            <w:r w:rsidRPr="00827206">
              <w:t xml:space="preserve"> and (</w:t>
            </w:r>
            <w:r>
              <w:t>c</w:t>
            </w:r>
            <w:r w:rsidRPr="00827206">
              <w:t xml:space="preserve">) the </w:t>
            </w:r>
            <w:r>
              <w:t>general public.</w:t>
            </w:r>
          </w:p>
        </w:tc>
      </w:tr>
    </w:tbl>
    <w:p w14:paraId="7F781BEA" w14:textId="77777777" w:rsidR="000C1F5E" w:rsidRPr="00827206" w:rsidRDefault="000C1F5E" w:rsidP="007C2653">
      <w:pPr>
        <w:rPr>
          <w:b/>
          <w:u w:val="single"/>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18"/>
        <w:gridCol w:w="2476"/>
        <w:gridCol w:w="6379"/>
      </w:tblGrid>
      <w:tr w:rsidR="000C1F5E" w:rsidRPr="00827206" w14:paraId="0313F78A" w14:textId="77777777" w:rsidTr="00F8181D">
        <w:trPr>
          <w:trHeight w:val="280"/>
        </w:trPr>
        <w:tc>
          <w:tcPr>
            <w:tcW w:w="9773" w:type="dxa"/>
            <w:gridSpan w:val="3"/>
            <w:tcBorders>
              <w:top w:val="single" w:sz="6" w:space="0" w:color="000000"/>
              <w:left w:val="single" w:sz="6" w:space="0" w:color="000000"/>
              <w:bottom w:val="nil"/>
              <w:right w:val="single" w:sz="6" w:space="0" w:color="000000"/>
            </w:tcBorders>
            <w:shd w:val="clear" w:color="auto" w:fill="D9D9D9"/>
          </w:tcPr>
          <w:p w14:paraId="3DD3D80B" w14:textId="77777777" w:rsidR="000C1F5E" w:rsidRPr="00827206" w:rsidRDefault="000C1F5E" w:rsidP="00F8181D">
            <w:pPr>
              <w:spacing w:before="0"/>
              <w:rPr>
                <w:b/>
              </w:rPr>
            </w:pPr>
            <w:r w:rsidRPr="00827206">
              <w:rPr>
                <w:b/>
              </w:rPr>
              <w:t>Participants and their roles</w:t>
            </w:r>
          </w:p>
        </w:tc>
      </w:tr>
      <w:tr w:rsidR="000C1F5E" w:rsidRPr="00827206" w14:paraId="0B07D93C" w14:textId="77777777" w:rsidTr="00F8181D">
        <w:trPr>
          <w:trHeight w:val="280"/>
        </w:trPr>
        <w:tc>
          <w:tcPr>
            <w:tcW w:w="918" w:type="dxa"/>
            <w:tcBorders>
              <w:top w:val="single" w:sz="6" w:space="0" w:color="000000"/>
              <w:left w:val="single" w:sz="6" w:space="0" w:color="000000"/>
              <w:bottom w:val="nil"/>
              <w:right w:val="single" w:sz="6" w:space="0" w:color="000000"/>
            </w:tcBorders>
            <w:shd w:val="clear" w:color="auto" w:fill="D9D9D9"/>
          </w:tcPr>
          <w:p w14:paraId="300C1EEF" w14:textId="77777777" w:rsidR="000C1F5E" w:rsidRPr="00827206" w:rsidRDefault="000C1F5E" w:rsidP="00F8181D">
            <w:pPr>
              <w:spacing w:before="0"/>
              <w:rPr>
                <w:b/>
              </w:rPr>
            </w:pPr>
            <w:r w:rsidRPr="00827206">
              <w:rPr>
                <w:b/>
              </w:rPr>
              <w:t>Actor</w:t>
            </w:r>
          </w:p>
        </w:tc>
        <w:tc>
          <w:tcPr>
            <w:tcW w:w="2476" w:type="dxa"/>
            <w:tcBorders>
              <w:top w:val="single" w:sz="6" w:space="0" w:color="000000"/>
              <w:left w:val="single" w:sz="6" w:space="0" w:color="000000"/>
              <w:bottom w:val="nil"/>
              <w:right w:val="single" w:sz="6" w:space="0" w:color="000000"/>
            </w:tcBorders>
            <w:shd w:val="clear" w:color="auto" w:fill="D9D9D9"/>
          </w:tcPr>
          <w:p w14:paraId="5C0B7A56" w14:textId="77777777" w:rsidR="000C1F5E" w:rsidRPr="00827206" w:rsidRDefault="000C1F5E" w:rsidP="00F8181D">
            <w:pPr>
              <w:spacing w:before="0"/>
              <w:rPr>
                <w:b/>
              </w:rPr>
            </w:pPr>
            <w:r w:rsidRPr="00827206">
              <w:rPr>
                <w:b/>
              </w:rPr>
              <w:t>Type/Role</w:t>
            </w:r>
          </w:p>
        </w:tc>
        <w:tc>
          <w:tcPr>
            <w:tcW w:w="6379" w:type="dxa"/>
            <w:tcBorders>
              <w:top w:val="single" w:sz="6" w:space="0" w:color="000000"/>
              <w:left w:val="single" w:sz="6" w:space="0" w:color="000000"/>
              <w:bottom w:val="single" w:sz="6" w:space="0" w:color="000000"/>
              <w:right w:val="single" w:sz="6" w:space="0" w:color="000000"/>
            </w:tcBorders>
            <w:shd w:val="clear" w:color="auto" w:fill="D9D9D9"/>
          </w:tcPr>
          <w:p w14:paraId="3F6118F9" w14:textId="77777777" w:rsidR="000C1F5E" w:rsidRPr="00827206" w:rsidRDefault="000C1F5E" w:rsidP="00F8181D">
            <w:pPr>
              <w:spacing w:before="0"/>
              <w:rPr>
                <w:b/>
              </w:rPr>
            </w:pPr>
            <w:r w:rsidRPr="00827206">
              <w:rPr>
                <w:b/>
              </w:rPr>
              <w:t>Description</w:t>
            </w:r>
          </w:p>
        </w:tc>
      </w:tr>
      <w:tr w:rsidR="00892C4E" w:rsidRPr="00827206" w14:paraId="3B4AD719" w14:textId="77777777" w:rsidTr="00F8181D">
        <w:trPr>
          <w:trHeight w:val="660"/>
        </w:trPr>
        <w:tc>
          <w:tcPr>
            <w:tcW w:w="918" w:type="dxa"/>
            <w:tcBorders>
              <w:top w:val="single" w:sz="6" w:space="0" w:color="000000"/>
              <w:left w:val="single" w:sz="6" w:space="0" w:color="000000"/>
              <w:bottom w:val="single" w:sz="6" w:space="0" w:color="000000"/>
              <w:right w:val="single" w:sz="6" w:space="0" w:color="000000"/>
            </w:tcBorders>
          </w:tcPr>
          <w:p w14:paraId="47257EEE" w14:textId="77777777" w:rsidR="00892C4E" w:rsidRPr="00827206" w:rsidRDefault="00892C4E" w:rsidP="00892C4E">
            <w:pPr>
              <w:rPr>
                <w:b/>
              </w:rPr>
            </w:pPr>
            <w:r w:rsidRPr="00827206">
              <w:rPr>
                <w:b/>
              </w:rPr>
              <w:t>1</w:t>
            </w:r>
          </w:p>
        </w:tc>
        <w:tc>
          <w:tcPr>
            <w:tcW w:w="2476" w:type="dxa"/>
            <w:tcBorders>
              <w:top w:val="single" w:sz="6" w:space="0" w:color="000000"/>
              <w:left w:val="single" w:sz="6" w:space="0" w:color="000000"/>
              <w:bottom w:val="single" w:sz="6" w:space="0" w:color="000000"/>
              <w:right w:val="single" w:sz="6" w:space="0" w:color="000000"/>
            </w:tcBorders>
          </w:tcPr>
          <w:p w14:paraId="048349C8" w14:textId="77777777" w:rsidR="00892C4E" w:rsidRPr="00827206" w:rsidRDefault="00892C4E" w:rsidP="00892C4E">
            <w:r>
              <w:t>BCU</w:t>
            </w:r>
          </w:p>
        </w:tc>
        <w:tc>
          <w:tcPr>
            <w:tcW w:w="6379" w:type="dxa"/>
            <w:tcBorders>
              <w:top w:val="single" w:sz="6" w:space="0" w:color="000000"/>
              <w:left w:val="single" w:sz="6" w:space="0" w:color="000000"/>
              <w:bottom w:val="single" w:sz="6" w:space="0" w:color="000000"/>
              <w:right w:val="single" w:sz="6" w:space="0" w:color="000000"/>
            </w:tcBorders>
          </w:tcPr>
          <w:p w14:paraId="3BB21E8D" w14:textId="77777777" w:rsidR="00892C4E" w:rsidRPr="00827206" w:rsidRDefault="00892C4E" w:rsidP="00892C4E">
            <w:r>
              <w:t>Central bank</w:t>
            </w:r>
          </w:p>
        </w:tc>
      </w:tr>
      <w:tr w:rsidR="00892C4E" w:rsidRPr="00827206" w14:paraId="617398AF" w14:textId="77777777" w:rsidTr="00F8181D">
        <w:trPr>
          <w:trHeight w:val="540"/>
        </w:trPr>
        <w:tc>
          <w:tcPr>
            <w:tcW w:w="918" w:type="dxa"/>
            <w:tcBorders>
              <w:top w:val="single" w:sz="6" w:space="0" w:color="000000"/>
              <w:left w:val="single" w:sz="6" w:space="0" w:color="000000"/>
              <w:bottom w:val="single" w:sz="6" w:space="0" w:color="000000"/>
              <w:right w:val="single" w:sz="6" w:space="0" w:color="000000"/>
            </w:tcBorders>
          </w:tcPr>
          <w:p w14:paraId="412AA5AF" w14:textId="77777777" w:rsidR="00892C4E" w:rsidRPr="00827206" w:rsidRDefault="00892C4E" w:rsidP="00892C4E">
            <w:pPr>
              <w:rPr>
                <w:b/>
              </w:rPr>
            </w:pPr>
            <w:r w:rsidRPr="00827206">
              <w:rPr>
                <w:b/>
              </w:rPr>
              <w:t>2</w:t>
            </w:r>
          </w:p>
        </w:tc>
        <w:tc>
          <w:tcPr>
            <w:tcW w:w="2476" w:type="dxa"/>
            <w:tcBorders>
              <w:top w:val="single" w:sz="6" w:space="0" w:color="000000"/>
              <w:left w:val="single" w:sz="6" w:space="0" w:color="000000"/>
              <w:bottom w:val="single" w:sz="6" w:space="0" w:color="000000"/>
              <w:right w:val="single" w:sz="6" w:space="0" w:color="000000"/>
            </w:tcBorders>
          </w:tcPr>
          <w:p w14:paraId="1C230EFB" w14:textId="77777777" w:rsidR="00892C4E" w:rsidRPr="00827206" w:rsidRDefault="00892C4E" w:rsidP="00892C4E">
            <w:pPr>
              <w:spacing w:after="60"/>
            </w:pPr>
            <w:r>
              <w:t>Roberto Giori Company Limited</w:t>
            </w:r>
          </w:p>
        </w:tc>
        <w:tc>
          <w:tcPr>
            <w:tcW w:w="6379" w:type="dxa"/>
            <w:tcBorders>
              <w:top w:val="single" w:sz="6" w:space="0" w:color="000000"/>
              <w:left w:val="single" w:sz="6" w:space="0" w:color="000000"/>
              <w:bottom w:val="single" w:sz="6" w:space="0" w:color="000000"/>
              <w:right w:val="single" w:sz="6" w:space="0" w:color="000000"/>
            </w:tcBorders>
          </w:tcPr>
          <w:p w14:paraId="080275F3" w14:textId="77777777" w:rsidR="00892C4E" w:rsidRPr="00827206" w:rsidRDefault="00892C4E" w:rsidP="00892C4E">
            <w:pPr>
              <w:spacing w:after="60"/>
            </w:pPr>
            <w:r>
              <w:t>CBDC Solution Provider</w:t>
            </w:r>
          </w:p>
        </w:tc>
      </w:tr>
      <w:tr w:rsidR="00892C4E" w:rsidRPr="00827206" w14:paraId="6C546C60" w14:textId="77777777" w:rsidTr="00F8181D">
        <w:trPr>
          <w:trHeight w:val="540"/>
        </w:trPr>
        <w:tc>
          <w:tcPr>
            <w:tcW w:w="918" w:type="dxa"/>
            <w:tcBorders>
              <w:top w:val="single" w:sz="6" w:space="0" w:color="000000"/>
              <w:left w:val="single" w:sz="6" w:space="0" w:color="000000"/>
              <w:bottom w:val="single" w:sz="6" w:space="0" w:color="000000"/>
              <w:right w:val="single" w:sz="6" w:space="0" w:color="000000"/>
            </w:tcBorders>
          </w:tcPr>
          <w:p w14:paraId="2AB54E43" w14:textId="77777777" w:rsidR="00892C4E" w:rsidRPr="00827206" w:rsidRDefault="00892C4E" w:rsidP="00892C4E">
            <w:pPr>
              <w:rPr>
                <w:b/>
              </w:rPr>
            </w:pPr>
            <w:r w:rsidRPr="00827206">
              <w:rPr>
                <w:b/>
              </w:rPr>
              <w:t>3</w:t>
            </w:r>
          </w:p>
        </w:tc>
        <w:tc>
          <w:tcPr>
            <w:tcW w:w="2476" w:type="dxa"/>
            <w:tcBorders>
              <w:top w:val="single" w:sz="6" w:space="0" w:color="000000"/>
              <w:left w:val="single" w:sz="6" w:space="0" w:color="000000"/>
              <w:bottom w:val="single" w:sz="6" w:space="0" w:color="000000"/>
              <w:right w:val="single" w:sz="6" w:space="0" w:color="000000"/>
            </w:tcBorders>
          </w:tcPr>
          <w:p w14:paraId="08882E45" w14:textId="77777777" w:rsidR="00892C4E" w:rsidRPr="00827206" w:rsidRDefault="00892C4E" w:rsidP="00892C4E">
            <w:pPr>
              <w:spacing w:after="60"/>
            </w:pPr>
            <w:r>
              <w:t>IBM</w:t>
            </w:r>
          </w:p>
        </w:tc>
        <w:tc>
          <w:tcPr>
            <w:tcW w:w="6379" w:type="dxa"/>
            <w:tcBorders>
              <w:top w:val="single" w:sz="6" w:space="0" w:color="000000"/>
              <w:left w:val="single" w:sz="6" w:space="0" w:color="000000"/>
              <w:bottom w:val="single" w:sz="6" w:space="0" w:color="000000"/>
              <w:right w:val="single" w:sz="6" w:space="0" w:color="000000"/>
            </w:tcBorders>
          </w:tcPr>
          <w:p w14:paraId="6B63BCF1" w14:textId="77777777" w:rsidR="00892C4E" w:rsidRPr="00827206" w:rsidRDefault="00892C4E" w:rsidP="00892C4E">
            <w:pPr>
              <w:spacing w:after="60"/>
            </w:pPr>
            <w:r>
              <w:t>Cloud service and call centre provider</w:t>
            </w:r>
          </w:p>
        </w:tc>
      </w:tr>
      <w:tr w:rsidR="00892C4E" w:rsidRPr="00827206" w14:paraId="154AA86C" w14:textId="77777777" w:rsidTr="00F8181D">
        <w:trPr>
          <w:trHeight w:val="540"/>
        </w:trPr>
        <w:tc>
          <w:tcPr>
            <w:tcW w:w="918" w:type="dxa"/>
            <w:tcBorders>
              <w:top w:val="single" w:sz="6" w:space="0" w:color="000000"/>
              <w:left w:val="single" w:sz="6" w:space="0" w:color="000000"/>
              <w:bottom w:val="single" w:sz="6" w:space="0" w:color="000000"/>
              <w:right w:val="single" w:sz="6" w:space="0" w:color="000000"/>
            </w:tcBorders>
          </w:tcPr>
          <w:p w14:paraId="7DCE7E68" w14:textId="77777777" w:rsidR="00892C4E" w:rsidRPr="00827206" w:rsidRDefault="00892C4E" w:rsidP="00892C4E">
            <w:pPr>
              <w:rPr>
                <w:b/>
              </w:rPr>
            </w:pPr>
            <w:r w:rsidRPr="00827206">
              <w:rPr>
                <w:b/>
              </w:rPr>
              <w:t>4</w:t>
            </w:r>
          </w:p>
        </w:tc>
        <w:tc>
          <w:tcPr>
            <w:tcW w:w="2476" w:type="dxa"/>
            <w:tcBorders>
              <w:top w:val="single" w:sz="6" w:space="0" w:color="000000"/>
              <w:left w:val="single" w:sz="6" w:space="0" w:color="000000"/>
              <w:bottom w:val="single" w:sz="6" w:space="0" w:color="000000"/>
              <w:right w:val="single" w:sz="6" w:space="0" w:color="000000"/>
            </w:tcBorders>
          </w:tcPr>
          <w:p w14:paraId="75D44C65" w14:textId="77777777" w:rsidR="00892C4E" w:rsidRPr="00827206" w:rsidRDefault="00892C4E" w:rsidP="00892C4E">
            <w:pPr>
              <w:spacing w:after="60"/>
            </w:pPr>
            <w:r>
              <w:t>Antel</w:t>
            </w:r>
          </w:p>
        </w:tc>
        <w:tc>
          <w:tcPr>
            <w:tcW w:w="6379" w:type="dxa"/>
            <w:tcBorders>
              <w:top w:val="single" w:sz="6" w:space="0" w:color="000000"/>
              <w:left w:val="single" w:sz="6" w:space="0" w:color="000000"/>
              <w:bottom w:val="single" w:sz="6" w:space="0" w:color="000000"/>
              <w:right w:val="single" w:sz="6" w:space="0" w:color="000000"/>
            </w:tcBorders>
          </w:tcPr>
          <w:p w14:paraId="6C83BF31" w14:textId="77777777" w:rsidR="00892C4E" w:rsidRPr="00827206" w:rsidRDefault="00892C4E" w:rsidP="00892C4E">
            <w:pPr>
              <w:spacing w:after="60"/>
            </w:pPr>
            <w:r>
              <w:t>Telcom company</w:t>
            </w:r>
          </w:p>
        </w:tc>
      </w:tr>
      <w:tr w:rsidR="00892C4E" w:rsidRPr="00827206" w14:paraId="23B5CE06" w14:textId="77777777" w:rsidTr="00F8181D">
        <w:trPr>
          <w:trHeight w:val="540"/>
        </w:trPr>
        <w:tc>
          <w:tcPr>
            <w:tcW w:w="918" w:type="dxa"/>
            <w:tcBorders>
              <w:top w:val="single" w:sz="6" w:space="0" w:color="000000"/>
              <w:left w:val="single" w:sz="6" w:space="0" w:color="000000"/>
              <w:bottom w:val="single" w:sz="6" w:space="0" w:color="000000"/>
              <w:right w:val="single" w:sz="6" w:space="0" w:color="000000"/>
            </w:tcBorders>
          </w:tcPr>
          <w:p w14:paraId="6C2C072E" w14:textId="77777777" w:rsidR="00892C4E" w:rsidRPr="00827206" w:rsidRDefault="00892C4E" w:rsidP="00892C4E">
            <w:pPr>
              <w:rPr>
                <w:b/>
              </w:rPr>
            </w:pPr>
            <w:r w:rsidRPr="00827206">
              <w:rPr>
                <w:b/>
              </w:rPr>
              <w:t>5</w:t>
            </w:r>
          </w:p>
        </w:tc>
        <w:tc>
          <w:tcPr>
            <w:tcW w:w="2476" w:type="dxa"/>
            <w:tcBorders>
              <w:top w:val="single" w:sz="6" w:space="0" w:color="000000"/>
              <w:left w:val="single" w:sz="6" w:space="0" w:color="000000"/>
              <w:bottom w:val="single" w:sz="6" w:space="0" w:color="000000"/>
              <w:right w:val="single" w:sz="6" w:space="0" w:color="000000"/>
            </w:tcBorders>
          </w:tcPr>
          <w:p w14:paraId="701C68A5" w14:textId="77777777" w:rsidR="00892C4E" w:rsidRPr="00827206" w:rsidRDefault="00892C4E" w:rsidP="00892C4E">
            <w:pPr>
              <w:spacing w:after="60"/>
            </w:pPr>
            <w:r>
              <w:t>IN Switch</w:t>
            </w:r>
          </w:p>
        </w:tc>
        <w:tc>
          <w:tcPr>
            <w:tcW w:w="6379" w:type="dxa"/>
            <w:tcBorders>
              <w:top w:val="single" w:sz="6" w:space="0" w:color="000000"/>
              <w:left w:val="single" w:sz="6" w:space="0" w:color="000000"/>
              <w:bottom w:val="single" w:sz="6" w:space="0" w:color="000000"/>
              <w:right w:val="single" w:sz="6" w:space="0" w:color="000000"/>
            </w:tcBorders>
          </w:tcPr>
          <w:p w14:paraId="0CE76261" w14:textId="77777777" w:rsidR="00892C4E" w:rsidRPr="00827206" w:rsidRDefault="00892C4E" w:rsidP="00892C4E">
            <w:pPr>
              <w:spacing w:after="60"/>
            </w:pPr>
            <w:r>
              <w:t>Mobile Payment Application provider</w:t>
            </w:r>
          </w:p>
        </w:tc>
      </w:tr>
      <w:tr w:rsidR="00892C4E" w:rsidRPr="00827206" w14:paraId="4AAAA44C" w14:textId="77777777" w:rsidTr="00F8181D">
        <w:trPr>
          <w:trHeight w:val="540"/>
        </w:trPr>
        <w:tc>
          <w:tcPr>
            <w:tcW w:w="918" w:type="dxa"/>
            <w:tcBorders>
              <w:top w:val="single" w:sz="6" w:space="0" w:color="000000"/>
              <w:left w:val="single" w:sz="6" w:space="0" w:color="000000"/>
              <w:bottom w:val="single" w:sz="6" w:space="0" w:color="000000"/>
              <w:right w:val="single" w:sz="6" w:space="0" w:color="000000"/>
            </w:tcBorders>
          </w:tcPr>
          <w:p w14:paraId="10AD8B28" w14:textId="77777777" w:rsidR="00892C4E" w:rsidRPr="00827206" w:rsidRDefault="00892C4E" w:rsidP="00892C4E">
            <w:pPr>
              <w:rPr>
                <w:b/>
              </w:rPr>
            </w:pPr>
            <w:r>
              <w:rPr>
                <w:b/>
              </w:rPr>
              <w:t>6</w:t>
            </w:r>
          </w:p>
        </w:tc>
        <w:tc>
          <w:tcPr>
            <w:tcW w:w="2476" w:type="dxa"/>
            <w:tcBorders>
              <w:top w:val="single" w:sz="6" w:space="0" w:color="000000"/>
              <w:left w:val="single" w:sz="6" w:space="0" w:color="000000"/>
              <w:bottom w:val="single" w:sz="6" w:space="0" w:color="000000"/>
              <w:right w:val="single" w:sz="6" w:space="0" w:color="000000"/>
            </w:tcBorders>
          </w:tcPr>
          <w:p w14:paraId="6CC0423D" w14:textId="77777777" w:rsidR="00892C4E" w:rsidRPr="00827206" w:rsidRDefault="00892C4E" w:rsidP="00892C4E">
            <w:pPr>
              <w:spacing w:after="60"/>
            </w:pPr>
            <w:r>
              <w:t>RedPagos</w:t>
            </w:r>
          </w:p>
        </w:tc>
        <w:tc>
          <w:tcPr>
            <w:tcW w:w="6379" w:type="dxa"/>
            <w:tcBorders>
              <w:top w:val="single" w:sz="6" w:space="0" w:color="000000"/>
              <w:left w:val="single" w:sz="6" w:space="0" w:color="000000"/>
              <w:bottom w:val="single" w:sz="6" w:space="0" w:color="000000"/>
              <w:right w:val="single" w:sz="6" w:space="0" w:color="000000"/>
            </w:tcBorders>
          </w:tcPr>
          <w:p w14:paraId="26BA0DA8" w14:textId="77777777" w:rsidR="00892C4E" w:rsidRPr="00827206" w:rsidRDefault="00892C4E" w:rsidP="00892C4E">
            <w:pPr>
              <w:spacing w:after="60"/>
            </w:pPr>
            <w:r>
              <w:t>Money transfer operator</w:t>
            </w:r>
          </w:p>
        </w:tc>
      </w:tr>
    </w:tbl>
    <w:p w14:paraId="0F6DCF47" w14:textId="77777777" w:rsidR="000C1F5E" w:rsidRPr="00827206" w:rsidRDefault="000C1F5E" w:rsidP="000C1F5E">
      <w:pPr>
        <w:rPr>
          <w:b/>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73"/>
      </w:tblGrid>
      <w:tr w:rsidR="000C1F5E" w:rsidRPr="00827206" w14:paraId="0C82E857" w14:textId="77777777" w:rsidTr="00F8181D">
        <w:tc>
          <w:tcPr>
            <w:tcW w:w="9773" w:type="dxa"/>
            <w:tcBorders>
              <w:top w:val="single" w:sz="6" w:space="0" w:color="000000"/>
              <w:left w:val="single" w:sz="6" w:space="0" w:color="000000"/>
              <w:bottom w:val="single" w:sz="6" w:space="0" w:color="000000"/>
              <w:right w:val="single" w:sz="6" w:space="0" w:color="000000"/>
            </w:tcBorders>
            <w:shd w:val="clear" w:color="auto" w:fill="D9D9D9"/>
          </w:tcPr>
          <w:p w14:paraId="02B59E34" w14:textId="77777777" w:rsidR="000C1F5E" w:rsidRPr="00827206" w:rsidRDefault="000C1F5E" w:rsidP="00F8181D">
            <w:pPr>
              <w:spacing w:before="0"/>
              <w:rPr>
                <w:b/>
              </w:rPr>
            </w:pPr>
            <w:r w:rsidRPr="00827206">
              <w:rPr>
                <w:b/>
              </w:rPr>
              <w:t>Security and privacy</w:t>
            </w:r>
          </w:p>
        </w:tc>
      </w:tr>
      <w:tr w:rsidR="000C1F5E" w:rsidRPr="00827206" w14:paraId="1BC7B338" w14:textId="77777777" w:rsidTr="00F8181D">
        <w:tc>
          <w:tcPr>
            <w:tcW w:w="9773" w:type="dxa"/>
            <w:tcBorders>
              <w:top w:val="single" w:sz="6" w:space="0" w:color="000000"/>
              <w:left w:val="single" w:sz="6" w:space="0" w:color="000000"/>
              <w:bottom w:val="single" w:sz="6" w:space="0" w:color="000000"/>
              <w:right w:val="single" w:sz="6" w:space="0" w:color="000000"/>
            </w:tcBorders>
          </w:tcPr>
          <w:p w14:paraId="151814F9" w14:textId="77777777" w:rsidR="000C1F5E" w:rsidRDefault="000C1F5E" w:rsidP="001F7B51">
            <w:pPr>
              <w:tabs>
                <w:tab w:val="left" w:pos="720"/>
              </w:tabs>
              <w:spacing w:before="0"/>
            </w:pPr>
            <w:r w:rsidRPr="00827206">
              <w:t>1.</w:t>
            </w:r>
            <w:r>
              <w:t xml:space="preserve"> Must m</w:t>
            </w:r>
            <w:r w:rsidRPr="00E917D8">
              <w:t>eet financial integrity</w:t>
            </w:r>
            <w:r>
              <w:t xml:space="preserve"> </w:t>
            </w:r>
            <w:r w:rsidRPr="00E917D8">
              <w:t>standards</w:t>
            </w:r>
          </w:p>
          <w:p w14:paraId="57E943E0" w14:textId="77777777" w:rsidR="000C1F5E" w:rsidRDefault="000C1F5E" w:rsidP="001F7B51">
            <w:pPr>
              <w:tabs>
                <w:tab w:val="left" w:pos="720"/>
              </w:tabs>
              <w:spacing w:before="0"/>
            </w:pPr>
            <w:r>
              <w:t>2. Transactions must anonymous but traceable</w:t>
            </w:r>
          </w:p>
          <w:p w14:paraId="2ADDD882" w14:textId="77777777" w:rsidR="000C1F5E" w:rsidRPr="00827206" w:rsidRDefault="000C1F5E" w:rsidP="001F7B51">
            <w:pPr>
              <w:tabs>
                <w:tab w:val="left" w:pos="720"/>
              </w:tabs>
              <w:spacing w:before="0"/>
            </w:pPr>
            <w:r>
              <w:t>3. Wallet contents must be recoverable in the event of loss or theft</w:t>
            </w:r>
          </w:p>
        </w:tc>
      </w:tr>
    </w:tbl>
    <w:p w14:paraId="57332377" w14:textId="77777777" w:rsidR="000C1F5E" w:rsidRPr="00827206" w:rsidRDefault="000C1F5E" w:rsidP="000C1F5E">
      <w:pPr>
        <w:rPr>
          <w:b/>
        </w:rPr>
      </w:pP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81"/>
      </w:tblGrid>
      <w:tr w:rsidR="000C1F5E" w:rsidRPr="00827206" w14:paraId="58746EFA" w14:textId="77777777" w:rsidTr="00F8181D">
        <w:tc>
          <w:tcPr>
            <w:tcW w:w="9781" w:type="dxa"/>
            <w:tcBorders>
              <w:top w:val="single" w:sz="6" w:space="0" w:color="000000"/>
              <w:left w:val="single" w:sz="6" w:space="0" w:color="000000"/>
              <w:bottom w:val="single" w:sz="6" w:space="0" w:color="000000"/>
              <w:right w:val="single" w:sz="6" w:space="0" w:color="000000"/>
            </w:tcBorders>
            <w:shd w:val="clear" w:color="auto" w:fill="D9D9D9"/>
          </w:tcPr>
          <w:p w14:paraId="5FE467F1" w14:textId="77777777" w:rsidR="000C1F5E" w:rsidRPr="00827206" w:rsidRDefault="000C1F5E" w:rsidP="00F8181D">
            <w:pPr>
              <w:spacing w:before="0"/>
              <w:rPr>
                <w:b/>
              </w:rPr>
            </w:pPr>
            <w:r w:rsidRPr="00827206">
              <w:rPr>
                <w:b/>
              </w:rPr>
              <w:t>Main Success Scenario</w:t>
            </w:r>
          </w:p>
        </w:tc>
      </w:tr>
      <w:tr w:rsidR="000C1F5E" w:rsidRPr="00827206" w14:paraId="6FD1E99E" w14:textId="77777777" w:rsidTr="00F8181D">
        <w:tc>
          <w:tcPr>
            <w:tcW w:w="9781" w:type="dxa"/>
            <w:tcBorders>
              <w:top w:val="single" w:sz="6" w:space="0" w:color="000000"/>
              <w:left w:val="single" w:sz="6" w:space="0" w:color="000000"/>
              <w:bottom w:val="single" w:sz="6" w:space="0" w:color="000000"/>
              <w:right w:val="single" w:sz="6" w:space="0" w:color="000000"/>
            </w:tcBorders>
          </w:tcPr>
          <w:p w14:paraId="05D25247" w14:textId="77777777" w:rsidR="000C1F5E" w:rsidRDefault="000C1F5E" w:rsidP="001F7B51">
            <w:pPr>
              <w:spacing w:before="0"/>
            </w:pPr>
            <w:r w:rsidRPr="00827206">
              <w:t>1.</w:t>
            </w:r>
            <w:r>
              <w:t xml:space="preserve"> Widespread adoption by public and merchants</w:t>
            </w:r>
          </w:p>
          <w:p w14:paraId="70AB1F05" w14:textId="77777777" w:rsidR="000C1F5E" w:rsidRPr="00CF2A81" w:rsidRDefault="000C1F5E" w:rsidP="001F7B51">
            <w:pPr>
              <w:spacing w:before="0"/>
            </w:pPr>
            <w:r>
              <w:t>2</w:t>
            </w:r>
            <w:r w:rsidRPr="00CF2A81">
              <w:t>. Running cost is less than that of physical cas</w:t>
            </w:r>
            <w:r>
              <w:t>h</w:t>
            </w:r>
          </w:p>
        </w:tc>
      </w:tr>
    </w:tbl>
    <w:p w14:paraId="534652C5" w14:textId="017F94F3" w:rsidR="000C1F5E" w:rsidRPr="00827206" w:rsidRDefault="000C1F5E" w:rsidP="000C1F5E"/>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73"/>
      </w:tblGrid>
      <w:tr w:rsidR="000C1F5E" w:rsidRPr="00827206" w14:paraId="40F34E94" w14:textId="77777777" w:rsidTr="00F8181D">
        <w:tc>
          <w:tcPr>
            <w:tcW w:w="9773" w:type="dxa"/>
            <w:tcBorders>
              <w:top w:val="single" w:sz="6" w:space="0" w:color="000000"/>
              <w:left w:val="single" w:sz="6" w:space="0" w:color="000000"/>
              <w:bottom w:val="single" w:sz="6" w:space="0" w:color="000000"/>
              <w:right w:val="single" w:sz="6" w:space="0" w:color="000000"/>
            </w:tcBorders>
            <w:shd w:val="clear" w:color="auto" w:fill="D9D9D9"/>
          </w:tcPr>
          <w:p w14:paraId="4BE23AB7" w14:textId="77777777" w:rsidR="000C1F5E" w:rsidRPr="00827206" w:rsidRDefault="000C1F5E" w:rsidP="00F8181D">
            <w:pPr>
              <w:spacing w:before="0"/>
              <w:rPr>
                <w:b/>
              </w:rPr>
            </w:pPr>
            <w:r w:rsidRPr="00827206">
              <w:rPr>
                <w:b/>
              </w:rPr>
              <w:t>Performance needs</w:t>
            </w:r>
          </w:p>
        </w:tc>
      </w:tr>
      <w:tr w:rsidR="000C1F5E" w:rsidRPr="00827206" w14:paraId="151B09D4" w14:textId="77777777" w:rsidTr="00F8181D">
        <w:tc>
          <w:tcPr>
            <w:tcW w:w="9773" w:type="dxa"/>
            <w:tcBorders>
              <w:top w:val="single" w:sz="6" w:space="0" w:color="000000"/>
              <w:left w:val="single" w:sz="6" w:space="0" w:color="000000"/>
              <w:bottom w:val="single" w:sz="6" w:space="0" w:color="000000"/>
              <w:right w:val="single" w:sz="6" w:space="0" w:color="000000"/>
            </w:tcBorders>
          </w:tcPr>
          <w:p w14:paraId="511A6446" w14:textId="77777777" w:rsidR="000C1F5E" w:rsidRDefault="000C1F5E" w:rsidP="001F7B51">
            <w:pPr>
              <w:spacing w:before="0"/>
              <w:jc w:val="both"/>
            </w:pPr>
            <w:r w:rsidRPr="00827206">
              <w:t xml:space="preserve">1. </w:t>
            </w:r>
            <w:r>
              <w:t>Can be used as seamlessly as physical cash</w:t>
            </w:r>
          </w:p>
          <w:p w14:paraId="7C85A978" w14:textId="77777777" w:rsidR="000C1F5E" w:rsidRPr="00827206" w:rsidRDefault="000C1F5E" w:rsidP="001F7B51">
            <w:pPr>
              <w:spacing w:before="0"/>
              <w:jc w:val="both"/>
            </w:pPr>
            <w:r>
              <w:t>2. Provides instantaneous settlement</w:t>
            </w:r>
          </w:p>
          <w:p w14:paraId="2EC34AD8" w14:textId="77777777" w:rsidR="000C1F5E" w:rsidRPr="00827206" w:rsidRDefault="000C1F5E" w:rsidP="001F7B51">
            <w:pPr>
              <w:spacing w:before="0"/>
              <w:jc w:val="both"/>
              <w:rPr>
                <w:i/>
              </w:rPr>
            </w:pPr>
            <w:r>
              <w:t>3</w:t>
            </w:r>
            <w:r w:rsidRPr="00827206">
              <w:t>. 24/7/365 availability</w:t>
            </w:r>
          </w:p>
        </w:tc>
      </w:tr>
    </w:tbl>
    <w:p w14:paraId="4954B6D3" w14:textId="77777777" w:rsidR="000C1F5E" w:rsidRPr="00827206" w:rsidRDefault="000C1F5E" w:rsidP="000C1F5E">
      <w:pPr>
        <w:rPr>
          <w:rFonts w:ascii="Calibri" w:eastAsia="Calibri" w:hAnsi="Calibri" w:cs="Calibri"/>
          <w:b/>
          <w:sz w:val="22"/>
          <w:szCs w:val="22"/>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73"/>
      </w:tblGrid>
      <w:tr w:rsidR="000C1F5E" w:rsidRPr="00827206" w14:paraId="79CA8A88" w14:textId="77777777" w:rsidTr="00F8181D">
        <w:tc>
          <w:tcPr>
            <w:tcW w:w="9773" w:type="dxa"/>
            <w:tcBorders>
              <w:top w:val="single" w:sz="6" w:space="0" w:color="000000"/>
              <w:left w:val="single" w:sz="6" w:space="0" w:color="000000"/>
              <w:bottom w:val="single" w:sz="6" w:space="0" w:color="000000"/>
              <w:right w:val="single" w:sz="6" w:space="0" w:color="000000"/>
            </w:tcBorders>
            <w:shd w:val="clear" w:color="auto" w:fill="D9D9D9"/>
          </w:tcPr>
          <w:p w14:paraId="51F687F4" w14:textId="77777777" w:rsidR="000C1F5E" w:rsidRPr="00827206" w:rsidRDefault="000C1F5E" w:rsidP="00F8181D">
            <w:pPr>
              <w:keepNext/>
              <w:spacing w:before="0"/>
              <w:rPr>
                <w:b/>
              </w:rPr>
            </w:pPr>
            <w:r w:rsidRPr="00827206">
              <w:rPr>
                <w:b/>
              </w:rPr>
              <w:t>Legal considerations</w:t>
            </w:r>
          </w:p>
        </w:tc>
      </w:tr>
      <w:tr w:rsidR="000C1F5E" w:rsidRPr="00827206" w14:paraId="0795D4CE" w14:textId="77777777" w:rsidTr="00F8181D">
        <w:tc>
          <w:tcPr>
            <w:tcW w:w="9773" w:type="dxa"/>
            <w:tcBorders>
              <w:top w:val="single" w:sz="6" w:space="0" w:color="000000"/>
              <w:left w:val="single" w:sz="6" w:space="0" w:color="000000"/>
              <w:bottom w:val="single" w:sz="6" w:space="0" w:color="000000"/>
              <w:right w:val="single" w:sz="6" w:space="0" w:color="000000"/>
            </w:tcBorders>
          </w:tcPr>
          <w:p w14:paraId="6A317D03" w14:textId="77777777" w:rsidR="000C1F5E" w:rsidRPr="00827206" w:rsidRDefault="000C1F5E" w:rsidP="00F8181D">
            <w:pPr>
              <w:tabs>
                <w:tab w:val="left" w:pos="720"/>
              </w:tabs>
              <w:spacing w:after="60"/>
            </w:pPr>
            <w:r>
              <w:t>T</w:t>
            </w:r>
            <w:r w:rsidRPr="00037169">
              <w:t>he current legal framework was sufficient for issuing electronic bills as a complement of paper ones. More precisely, article 7 A. of the Central Bank Charter says that “the Bank will: A. Have under its exclusive responsibility the issuing of currency notes, minting coins, and withdrawal of currency notes and coins in all of the Republic.” Since the law does not determine (neither forbid) a specific form for currency notes, it allows that physical and digital notes may be issued as long as both of them maintain similar security standards. In addition to that, the Central Banks does not need to require further authorization to issuing currency notes.</w:t>
            </w:r>
          </w:p>
        </w:tc>
      </w:tr>
    </w:tbl>
    <w:p w14:paraId="1A1187DA" w14:textId="77777777" w:rsidR="000C1F5E" w:rsidRPr="00827206" w:rsidRDefault="000C1F5E" w:rsidP="000C1F5E"/>
    <w:p w14:paraId="40CEDF2F" w14:textId="77777777" w:rsidR="00182389" w:rsidRPr="00827206" w:rsidRDefault="00182389" w:rsidP="000C1F5E"/>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73"/>
      </w:tblGrid>
      <w:tr w:rsidR="000C1F5E" w:rsidRPr="00827206" w14:paraId="5C36CCC9" w14:textId="77777777" w:rsidTr="00F8181D">
        <w:tc>
          <w:tcPr>
            <w:tcW w:w="9773" w:type="dxa"/>
            <w:tcBorders>
              <w:top w:val="single" w:sz="6" w:space="0" w:color="000000"/>
              <w:left w:val="single" w:sz="6" w:space="0" w:color="000000"/>
              <w:bottom w:val="single" w:sz="6" w:space="0" w:color="000000"/>
              <w:right w:val="single" w:sz="6" w:space="0" w:color="000000"/>
            </w:tcBorders>
            <w:shd w:val="clear" w:color="auto" w:fill="D9D9D9"/>
          </w:tcPr>
          <w:p w14:paraId="2D9585B2" w14:textId="77777777" w:rsidR="000C1F5E" w:rsidRPr="00827206" w:rsidRDefault="000C1F5E" w:rsidP="00F8181D">
            <w:pPr>
              <w:spacing w:before="0"/>
              <w:rPr>
                <w:b/>
              </w:rPr>
            </w:pPr>
            <w:r w:rsidRPr="00827206">
              <w:rPr>
                <w:b/>
              </w:rPr>
              <w:t>Risks</w:t>
            </w:r>
          </w:p>
        </w:tc>
      </w:tr>
      <w:tr w:rsidR="000C1F5E" w:rsidRPr="00827206" w14:paraId="4BF5B3AE" w14:textId="77777777" w:rsidTr="00F8181D">
        <w:tc>
          <w:tcPr>
            <w:tcW w:w="9773" w:type="dxa"/>
            <w:tcBorders>
              <w:top w:val="single" w:sz="6" w:space="0" w:color="000000"/>
              <w:left w:val="single" w:sz="6" w:space="0" w:color="000000"/>
              <w:bottom w:val="single" w:sz="6" w:space="0" w:color="000000"/>
              <w:right w:val="single" w:sz="6" w:space="0" w:color="000000"/>
            </w:tcBorders>
          </w:tcPr>
          <w:p w14:paraId="3D5B3407" w14:textId="77777777" w:rsidR="000C1F5E" w:rsidRPr="00C106AC" w:rsidRDefault="000C1F5E" w:rsidP="001F7B51">
            <w:pPr>
              <w:tabs>
                <w:tab w:val="left" w:pos="720"/>
              </w:tabs>
              <w:spacing w:before="0"/>
              <w:rPr>
                <w:lang w:val="sv-SE"/>
              </w:rPr>
            </w:pPr>
            <w:r w:rsidRPr="00C106AC">
              <w:rPr>
                <w:lang w:val="sv-SE"/>
              </w:rPr>
              <w:t xml:space="preserve">1. Cyber risk; </w:t>
            </w:r>
          </w:p>
          <w:p w14:paraId="6EE7D7CB" w14:textId="77777777" w:rsidR="000C1F5E" w:rsidRPr="00C106AC" w:rsidRDefault="000C1F5E" w:rsidP="001F7B51">
            <w:pPr>
              <w:tabs>
                <w:tab w:val="left" w:pos="720"/>
              </w:tabs>
              <w:spacing w:before="0"/>
              <w:rPr>
                <w:lang w:val="sv-SE"/>
              </w:rPr>
            </w:pPr>
            <w:r w:rsidRPr="00C106AC">
              <w:rPr>
                <w:lang w:val="sv-SE"/>
              </w:rPr>
              <w:t>2. Central bank reputation risk;</w:t>
            </w:r>
          </w:p>
          <w:p w14:paraId="4F4E6C20" w14:textId="77777777" w:rsidR="000C1F5E" w:rsidRPr="00827206" w:rsidRDefault="000C1F5E" w:rsidP="001F7B51">
            <w:pPr>
              <w:tabs>
                <w:tab w:val="left" w:pos="720"/>
              </w:tabs>
              <w:spacing w:before="0"/>
            </w:pPr>
            <w:r w:rsidRPr="00827206">
              <w:t xml:space="preserve">3. </w:t>
            </w:r>
            <w:r>
              <w:t>Poor uptake</w:t>
            </w:r>
            <w:r w:rsidRPr="00827206">
              <w:t>;</w:t>
            </w:r>
          </w:p>
          <w:p w14:paraId="0E96D853" w14:textId="77777777" w:rsidR="000C1F5E" w:rsidRPr="00827206" w:rsidRDefault="000C1F5E" w:rsidP="001F7B51">
            <w:pPr>
              <w:tabs>
                <w:tab w:val="left" w:pos="720"/>
              </w:tabs>
              <w:spacing w:before="0"/>
              <w:rPr>
                <w:i/>
              </w:rPr>
            </w:pPr>
            <w:r w:rsidRPr="00827206">
              <w:t xml:space="preserve">4. </w:t>
            </w:r>
            <w:r>
              <w:t>Telcom failure</w:t>
            </w:r>
            <w:r w:rsidRPr="00827206">
              <w:t>;</w:t>
            </w:r>
          </w:p>
        </w:tc>
      </w:tr>
    </w:tbl>
    <w:p w14:paraId="2BFAF7A6" w14:textId="77777777" w:rsidR="000C1F5E" w:rsidRPr="00827206" w:rsidRDefault="000C1F5E" w:rsidP="000C1F5E"/>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73"/>
      </w:tblGrid>
      <w:tr w:rsidR="000C1F5E" w:rsidRPr="00827206" w14:paraId="27F29ED6" w14:textId="77777777" w:rsidTr="00F8181D">
        <w:tc>
          <w:tcPr>
            <w:tcW w:w="9773" w:type="dxa"/>
            <w:tcBorders>
              <w:top w:val="single" w:sz="6" w:space="0" w:color="000000"/>
              <w:left w:val="single" w:sz="6" w:space="0" w:color="000000"/>
              <w:bottom w:val="single" w:sz="6" w:space="0" w:color="000000"/>
              <w:right w:val="single" w:sz="6" w:space="0" w:color="000000"/>
            </w:tcBorders>
            <w:shd w:val="clear" w:color="auto" w:fill="D9D9D9"/>
          </w:tcPr>
          <w:p w14:paraId="55FB6230" w14:textId="77777777" w:rsidR="000C1F5E" w:rsidRPr="00827206" w:rsidRDefault="000C1F5E" w:rsidP="00F8181D">
            <w:pPr>
              <w:spacing w:before="0"/>
              <w:rPr>
                <w:b/>
              </w:rPr>
            </w:pPr>
            <w:r w:rsidRPr="00827206">
              <w:rPr>
                <w:b/>
              </w:rPr>
              <w:t>Special Requirements</w:t>
            </w:r>
          </w:p>
        </w:tc>
      </w:tr>
      <w:tr w:rsidR="000C1F5E" w:rsidRPr="00827206" w14:paraId="7EAF2A05" w14:textId="77777777" w:rsidTr="00F8181D">
        <w:tc>
          <w:tcPr>
            <w:tcW w:w="9773" w:type="dxa"/>
            <w:tcBorders>
              <w:top w:val="single" w:sz="6" w:space="0" w:color="000000"/>
              <w:left w:val="single" w:sz="6" w:space="0" w:color="000000"/>
              <w:bottom w:val="single" w:sz="6" w:space="0" w:color="000000"/>
              <w:right w:val="single" w:sz="6" w:space="0" w:color="000000"/>
            </w:tcBorders>
          </w:tcPr>
          <w:p w14:paraId="21C43197" w14:textId="77777777" w:rsidR="000C1F5E" w:rsidRPr="00827206" w:rsidRDefault="000C1F5E" w:rsidP="00F8181D">
            <w:pPr>
              <w:tabs>
                <w:tab w:val="left" w:pos="720"/>
              </w:tabs>
              <w:spacing w:after="60"/>
            </w:pPr>
            <w:r w:rsidRPr="00827206">
              <w:t>N/A</w:t>
            </w:r>
          </w:p>
        </w:tc>
      </w:tr>
      <w:tr w:rsidR="000C1F5E" w:rsidRPr="00827206" w14:paraId="18447515" w14:textId="77777777" w:rsidTr="00C55ACB">
        <w:tc>
          <w:tcPr>
            <w:tcW w:w="9773" w:type="dxa"/>
            <w:tcBorders>
              <w:top w:val="single" w:sz="6" w:space="0" w:color="000000"/>
              <w:left w:val="single" w:sz="6" w:space="0" w:color="000000"/>
              <w:bottom w:val="single" w:sz="6" w:space="0" w:color="000000"/>
              <w:right w:val="single" w:sz="6" w:space="0" w:color="000000"/>
            </w:tcBorders>
            <w:shd w:val="clear" w:color="auto" w:fill="D9D9D9"/>
          </w:tcPr>
          <w:p w14:paraId="20EBFC8D" w14:textId="77777777" w:rsidR="000C1F5E" w:rsidRPr="00827206" w:rsidRDefault="000C1F5E" w:rsidP="00F8181D">
            <w:pPr>
              <w:spacing w:before="0"/>
              <w:rPr>
                <w:b/>
              </w:rPr>
            </w:pPr>
            <w:r w:rsidRPr="00827206">
              <w:rPr>
                <w:b/>
              </w:rPr>
              <w:t>External References and Miscellaneous</w:t>
            </w:r>
          </w:p>
        </w:tc>
      </w:tr>
      <w:tr w:rsidR="000C1F5E" w:rsidRPr="00827206" w14:paraId="2E4622AE" w14:textId="77777777" w:rsidTr="00C55ACB">
        <w:tc>
          <w:tcPr>
            <w:tcW w:w="9773" w:type="dxa"/>
            <w:tcBorders>
              <w:top w:val="single" w:sz="6" w:space="0" w:color="000000"/>
              <w:left w:val="single" w:sz="6" w:space="0" w:color="000000"/>
              <w:bottom w:val="single" w:sz="6" w:space="0" w:color="000000"/>
              <w:right w:val="single" w:sz="6" w:space="0" w:color="000000"/>
            </w:tcBorders>
          </w:tcPr>
          <w:p w14:paraId="154C6187" w14:textId="3854F5C9" w:rsidR="000C1F5E" w:rsidRPr="00827206" w:rsidRDefault="000C1F5E" w:rsidP="00F8181D">
            <w:pPr>
              <w:jc w:val="both"/>
            </w:pPr>
            <w:r w:rsidRPr="00E917D8">
              <w:t>Bergara, Mario and Jorge Ponce, 2018, "Central Bank Digital Currency: The Uruguayan E-Peso Case," in Gnan, Ernest and Donato Masciandaro (ed.), Do We Need Central Bank Digital Currency? Economics, Technology and Institutions, SUERF/BAFFI CAREFIN Centre Conference.</w:t>
            </w:r>
            <w:r>
              <w:t xml:space="preserve"> </w:t>
            </w:r>
            <w:hyperlink r:id="rId86" w:history="1">
              <w:r w:rsidR="000230A4" w:rsidRPr="00243220">
                <w:rPr>
                  <w:rStyle w:val="Hyperlink"/>
                </w:rPr>
                <w:t>https://www.suerf.org/docx/s_cf0d02ec99e61a64137b8a2c3b03e030_7025_suerf.pdf</w:t>
              </w:r>
            </w:hyperlink>
            <w:r w:rsidR="000230A4">
              <w:t xml:space="preserve"> </w:t>
            </w:r>
          </w:p>
        </w:tc>
      </w:tr>
    </w:tbl>
    <w:p w14:paraId="5B235AC1" w14:textId="3B373014" w:rsidR="00701906" w:rsidRPr="00A24280" w:rsidRDefault="00E219DB" w:rsidP="00A24280">
      <w:pPr>
        <w:spacing w:before="0"/>
        <w:rPr>
          <w:lang w:eastAsia="ja-JP"/>
        </w:rPr>
      </w:pPr>
      <w:bookmarkStart w:id="86" w:name="_1fob9te" w:colFirst="0" w:colLast="0"/>
      <w:bookmarkStart w:id="87" w:name="_3znysh7" w:colFirst="0" w:colLast="0"/>
      <w:bookmarkEnd w:id="86"/>
      <w:bookmarkEnd w:id="87"/>
      <w:r>
        <w:rPr>
          <w:lang w:eastAsia="ja-JP"/>
        </w:rPr>
        <w:br w:type="page"/>
      </w:r>
    </w:p>
    <w:p w14:paraId="7B67F674" w14:textId="3AD5CE59" w:rsidR="00701906" w:rsidRDefault="00A24280" w:rsidP="005157BE">
      <w:pPr>
        <w:pStyle w:val="Heading2"/>
        <w:numPr>
          <w:ilvl w:val="0"/>
          <w:numId w:val="47"/>
        </w:numPr>
        <w:ind w:left="0" w:firstLine="0"/>
        <w:rPr>
          <w:lang w:val="en-US"/>
        </w:rPr>
      </w:pPr>
      <w:bookmarkStart w:id="88" w:name="_Toc14190307"/>
      <w:r w:rsidRPr="00A24280">
        <w:rPr>
          <w:lang w:val="en-US"/>
        </w:rPr>
        <w:t xml:space="preserve">CBDC-Based Digital </w:t>
      </w:r>
      <w:r w:rsidRPr="00A24280">
        <w:rPr>
          <w:szCs w:val="32"/>
        </w:rPr>
        <w:t>Financial</w:t>
      </w:r>
      <w:r w:rsidRPr="00A24280">
        <w:rPr>
          <w:lang w:val="en-US"/>
        </w:rPr>
        <w:t xml:space="preserve"> Ecosystem</w:t>
      </w:r>
      <w:r w:rsidR="005157BE">
        <w:rPr>
          <w:lang w:val="en-US"/>
        </w:rPr>
        <w:t xml:space="preserve"> in Carribean Region</w:t>
      </w:r>
      <w:bookmarkEnd w:id="88"/>
    </w:p>
    <w:p w14:paraId="15592555" w14:textId="77777777" w:rsidR="005157BE" w:rsidRPr="005157BE" w:rsidRDefault="005157BE" w:rsidP="005157BE">
      <w:pPr>
        <w:rPr>
          <w:lang w:val="en-US" w:eastAsia="ja-JP"/>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332"/>
        <w:gridCol w:w="3189"/>
        <w:gridCol w:w="2126"/>
        <w:gridCol w:w="2126"/>
      </w:tblGrid>
      <w:tr w:rsidR="00701906" w:rsidRPr="00EC044E" w14:paraId="28A2AE0F" w14:textId="77777777" w:rsidTr="008A3BB8">
        <w:tc>
          <w:tcPr>
            <w:tcW w:w="9773" w:type="dxa"/>
            <w:gridSpan w:val="4"/>
            <w:tcBorders>
              <w:top w:val="single" w:sz="6" w:space="0" w:color="000000"/>
              <w:left w:val="single" w:sz="6" w:space="0" w:color="000000"/>
              <w:bottom w:val="single" w:sz="6" w:space="0" w:color="000000"/>
              <w:right w:val="single" w:sz="6" w:space="0" w:color="000000"/>
            </w:tcBorders>
            <w:shd w:val="clear" w:color="auto" w:fill="D9D9D9"/>
          </w:tcPr>
          <w:p w14:paraId="5E66CBBB"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jc w:val="center"/>
              <w:rPr>
                <w:b/>
                <w:color w:val="000000"/>
                <w:szCs w:val="24"/>
                <w:lang w:val="en-US"/>
              </w:rPr>
            </w:pPr>
            <w:r w:rsidRPr="00EC044E">
              <w:rPr>
                <w:b/>
                <w:color w:val="000000"/>
                <w:szCs w:val="24"/>
                <w:lang w:val="en-US"/>
              </w:rPr>
              <w:t>Use Case Summary</w:t>
            </w:r>
          </w:p>
        </w:tc>
      </w:tr>
      <w:tr w:rsidR="00701906" w:rsidRPr="00EC044E" w14:paraId="4A93B6D6" w14:textId="77777777" w:rsidTr="008A3BB8">
        <w:tc>
          <w:tcPr>
            <w:tcW w:w="2332" w:type="dxa"/>
            <w:tcBorders>
              <w:top w:val="single" w:sz="6" w:space="0" w:color="000000"/>
              <w:left w:val="single" w:sz="6" w:space="0" w:color="000000"/>
              <w:bottom w:val="single" w:sz="6" w:space="0" w:color="000000"/>
              <w:right w:val="single" w:sz="6" w:space="0" w:color="000000"/>
            </w:tcBorders>
            <w:shd w:val="clear" w:color="auto" w:fill="D9D9D9"/>
          </w:tcPr>
          <w:p w14:paraId="03FC4939"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b/>
                <w:color w:val="000000"/>
                <w:szCs w:val="24"/>
                <w:lang w:val="en-US"/>
              </w:rPr>
            </w:pPr>
            <w:r w:rsidRPr="00EC044E">
              <w:rPr>
                <w:b/>
                <w:color w:val="000000"/>
                <w:szCs w:val="24"/>
                <w:lang w:val="en-US"/>
              </w:rPr>
              <w:t>Use Case ID:</w:t>
            </w:r>
          </w:p>
        </w:tc>
        <w:tc>
          <w:tcPr>
            <w:tcW w:w="3189" w:type="dxa"/>
            <w:tcBorders>
              <w:top w:val="single" w:sz="6" w:space="0" w:color="000000"/>
              <w:left w:val="single" w:sz="6" w:space="0" w:color="000000"/>
              <w:bottom w:val="single" w:sz="6" w:space="0" w:color="000000"/>
              <w:right w:val="single" w:sz="6" w:space="0" w:color="000000"/>
            </w:tcBorders>
          </w:tcPr>
          <w:p w14:paraId="0091C609"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after="120"/>
              <w:rPr>
                <w:color w:val="000000"/>
                <w:szCs w:val="24"/>
                <w:lang w:val="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D9D9D9"/>
          </w:tcPr>
          <w:p w14:paraId="7366EED4"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b/>
                <w:color w:val="000000"/>
                <w:szCs w:val="24"/>
                <w:lang w:val="en-US"/>
              </w:rPr>
            </w:pPr>
            <w:r w:rsidRPr="00EC044E">
              <w:rPr>
                <w:b/>
                <w:color w:val="000000"/>
                <w:szCs w:val="24"/>
                <w:lang w:val="en-US"/>
              </w:rPr>
              <w:t>Use Case Type:</w:t>
            </w:r>
          </w:p>
        </w:tc>
        <w:tc>
          <w:tcPr>
            <w:tcW w:w="2126" w:type="dxa"/>
            <w:tcBorders>
              <w:top w:val="single" w:sz="6" w:space="0" w:color="000000"/>
              <w:left w:val="single" w:sz="6" w:space="0" w:color="000000"/>
              <w:bottom w:val="single" w:sz="6" w:space="0" w:color="000000"/>
              <w:right w:val="single" w:sz="6" w:space="0" w:color="000000"/>
            </w:tcBorders>
          </w:tcPr>
          <w:p w14:paraId="4EE5379F"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color w:val="000000"/>
                <w:szCs w:val="24"/>
                <w:lang w:val="en-US"/>
              </w:rPr>
            </w:pPr>
            <w:r w:rsidRPr="00EC044E">
              <w:rPr>
                <w:color w:val="000000"/>
                <w:szCs w:val="24"/>
                <w:lang w:val="en-US"/>
              </w:rPr>
              <w:t>Vertical</w:t>
            </w:r>
          </w:p>
        </w:tc>
      </w:tr>
      <w:tr w:rsidR="00701906" w:rsidRPr="00EC044E" w14:paraId="4671CBCC" w14:textId="77777777" w:rsidTr="008A3BB8">
        <w:tc>
          <w:tcPr>
            <w:tcW w:w="2332" w:type="dxa"/>
            <w:tcBorders>
              <w:top w:val="single" w:sz="6" w:space="0" w:color="000000"/>
              <w:left w:val="single" w:sz="6" w:space="0" w:color="000000"/>
              <w:bottom w:val="single" w:sz="6" w:space="0" w:color="000000"/>
              <w:right w:val="single" w:sz="6" w:space="0" w:color="000000"/>
            </w:tcBorders>
            <w:shd w:val="clear" w:color="auto" w:fill="D9D9D9"/>
          </w:tcPr>
          <w:p w14:paraId="1FDA150C"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44"/>
                <w:tab w:val="left" w:pos="1985"/>
              </w:tabs>
              <w:spacing w:before="0"/>
              <w:rPr>
                <w:b/>
                <w:color w:val="000000"/>
                <w:szCs w:val="24"/>
                <w:lang w:val="en-US"/>
              </w:rPr>
            </w:pPr>
            <w:r w:rsidRPr="00EC044E">
              <w:rPr>
                <w:b/>
                <w:color w:val="000000"/>
                <w:szCs w:val="24"/>
                <w:lang w:val="en-US"/>
              </w:rPr>
              <w:t>Submission Date:</w:t>
            </w:r>
            <w:r w:rsidRPr="00EC044E">
              <w:rPr>
                <w:b/>
                <w:color w:val="000000"/>
                <w:szCs w:val="24"/>
                <w:lang w:val="en-US"/>
              </w:rPr>
              <w:tab/>
            </w:r>
          </w:p>
        </w:tc>
        <w:tc>
          <w:tcPr>
            <w:tcW w:w="3189" w:type="dxa"/>
            <w:tcBorders>
              <w:top w:val="single" w:sz="6" w:space="0" w:color="000000"/>
              <w:left w:val="single" w:sz="6" w:space="0" w:color="000000"/>
              <w:bottom w:val="single" w:sz="6" w:space="0" w:color="000000"/>
              <w:right w:val="single" w:sz="6" w:space="0" w:color="000000"/>
            </w:tcBorders>
            <w:shd w:val="clear" w:color="auto" w:fill="auto"/>
          </w:tcPr>
          <w:p w14:paraId="0C663704"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44"/>
                <w:tab w:val="left" w:pos="1985"/>
              </w:tabs>
              <w:spacing w:before="0"/>
              <w:rPr>
                <w:color w:val="000000"/>
                <w:szCs w:val="24"/>
                <w:lang w:val="en-US"/>
              </w:rPr>
            </w:pPr>
            <w:r w:rsidRPr="00EC044E">
              <w:rPr>
                <w:color w:val="000000"/>
                <w:szCs w:val="24"/>
                <w:lang w:val="en-US"/>
              </w:rPr>
              <w:t>28-may 2018</w:t>
            </w:r>
          </w:p>
        </w:tc>
        <w:tc>
          <w:tcPr>
            <w:tcW w:w="2126" w:type="dxa"/>
            <w:tcBorders>
              <w:top w:val="single" w:sz="6" w:space="0" w:color="000000"/>
              <w:left w:val="single" w:sz="6" w:space="0" w:color="000000"/>
              <w:bottom w:val="single" w:sz="6" w:space="0" w:color="000000"/>
              <w:right w:val="single" w:sz="6" w:space="0" w:color="000000"/>
            </w:tcBorders>
            <w:shd w:val="clear" w:color="auto" w:fill="D9D9D9"/>
          </w:tcPr>
          <w:p w14:paraId="48595D22"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b/>
                <w:color w:val="000000"/>
                <w:szCs w:val="24"/>
                <w:lang w:val="en-US"/>
              </w:rPr>
            </w:pPr>
            <w:r w:rsidRPr="00EC044E">
              <w:rPr>
                <w:b/>
                <w:color w:val="000000"/>
                <w:szCs w:val="24"/>
                <w:lang w:val="en-US"/>
              </w:rPr>
              <w:t>Is Use Case supporting SDGs</w:t>
            </w:r>
          </w:p>
        </w:tc>
        <w:tc>
          <w:tcPr>
            <w:tcW w:w="2126" w:type="dxa"/>
            <w:tcBorders>
              <w:top w:val="single" w:sz="6" w:space="0" w:color="000000"/>
              <w:left w:val="single" w:sz="6" w:space="0" w:color="000000"/>
              <w:bottom w:val="single" w:sz="6" w:space="0" w:color="000000"/>
              <w:right w:val="single" w:sz="6" w:space="0" w:color="000000"/>
            </w:tcBorders>
          </w:tcPr>
          <w:p w14:paraId="2756C289"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color w:val="000000"/>
                <w:szCs w:val="24"/>
                <w:lang w:val="en-US"/>
              </w:rPr>
            </w:pPr>
            <w:r w:rsidRPr="00EC044E">
              <w:rPr>
                <w:color w:val="000000"/>
                <w:szCs w:val="24"/>
                <w:lang w:val="en-US"/>
              </w:rPr>
              <w:t>Yes</w:t>
            </w:r>
          </w:p>
        </w:tc>
      </w:tr>
      <w:tr w:rsidR="00701906" w:rsidRPr="00EC044E" w14:paraId="65C9AF2A" w14:textId="77777777" w:rsidTr="008A3BB8">
        <w:tc>
          <w:tcPr>
            <w:tcW w:w="2332" w:type="dxa"/>
            <w:tcBorders>
              <w:top w:val="single" w:sz="6" w:space="0" w:color="000000"/>
              <w:left w:val="single" w:sz="6" w:space="0" w:color="000000"/>
              <w:bottom w:val="single" w:sz="6" w:space="0" w:color="000000"/>
              <w:right w:val="single" w:sz="6" w:space="0" w:color="000000"/>
            </w:tcBorders>
            <w:shd w:val="clear" w:color="auto" w:fill="D9D9D9"/>
          </w:tcPr>
          <w:p w14:paraId="16A43CA2"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b/>
                <w:color w:val="000000"/>
                <w:szCs w:val="24"/>
                <w:lang w:val="en-US"/>
              </w:rPr>
            </w:pPr>
            <w:r w:rsidRPr="00EC044E">
              <w:rPr>
                <w:b/>
                <w:color w:val="000000"/>
                <w:szCs w:val="24"/>
                <w:lang w:val="en-US"/>
              </w:rPr>
              <w:t>Use Case Title:</w:t>
            </w:r>
          </w:p>
        </w:tc>
        <w:tc>
          <w:tcPr>
            <w:tcW w:w="3189" w:type="dxa"/>
            <w:tcBorders>
              <w:top w:val="single" w:sz="6" w:space="0" w:color="000000"/>
              <w:left w:val="single" w:sz="6" w:space="0" w:color="000000"/>
              <w:bottom w:val="single" w:sz="6" w:space="0" w:color="000000"/>
              <w:right w:val="single" w:sz="6" w:space="0" w:color="000000"/>
            </w:tcBorders>
          </w:tcPr>
          <w:p w14:paraId="35B6DF6E"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after="120"/>
              <w:rPr>
                <w:color w:val="000000"/>
                <w:szCs w:val="24"/>
                <w:lang w:val="en-US"/>
              </w:rPr>
            </w:pPr>
            <w:r w:rsidRPr="00EC044E">
              <w:rPr>
                <w:szCs w:val="24"/>
                <w:lang w:val="en-US"/>
              </w:rPr>
              <w:t>Blockchain / DLT - based Central Bank Digital Currencies</w:t>
            </w:r>
          </w:p>
        </w:tc>
        <w:tc>
          <w:tcPr>
            <w:tcW w:w="2126" w:type="dxa"/>
            <w:tcBorders>
              <w:top w:val="single" w:sz="6" w:space="0" w:color="000000"/>
              <w:left w:val="single" w:sz="6" w:space="0" w:color="000000"/>
              <w:bottom w:val="single" w:sz="6" w:space="0" w:color="000000"/>
              <w:right w:val="single" w:sz="6" w:space="0" w:color="000000"/>
            </w:tcBorders>
            <w:shd w:val="clear" w:color="auto" w:fill="D9D9D9"/>
          </w:tcPr>
          <w:p w14:paraId="43A64ADD"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b/>
                <w:color w:val="000000"/>
                <w:szCs w:val="24"/>
                <w:lang w:val="en-US"/>
              </w:rPr>
            </w:pPr>
            <w:r w:rsidRPr="00EC044E">
              <w:rPr>
                <w:b/>
                <w:color w:val="000000"/>
                <w:szCs w:val="24"/>
                <w:lang w:val="en-US"/>
              </w:rPr>
              <w:t>Domain:</w:t>
            </w:r>
          </w:p>
        </w:tc>
        <w:tc>
          <w:tcPr>
            <w:tcW w:w="2126" w:type="dxa"/>
            <w:tcBorders>
              <w:top w:val="single" w:sz="6" w:space="0" w:color="000000"/>
              <w:left w:val="single" w:sz="6" w:space="0" w:color="000000"/>
              <w:bottom w:val="single" w:sz="6" w:space="0" w:color="000000"/>
              <w:right w:val="single" w:sz="6" w:space="0" w:color="000000"/>
            </w:tcBorders>
          </w:tcPr>
          <w:p w14:paraId="5D92DA33"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color w:val="000000"/>
                <w:szCs w:val="24"/>
                <w:lang w:val="en-US"/>
              </w:rPr>
            </w:pPr>
            <w:r w:rsidRPr="00EC044E">
              <w:rPr>
                <w:sz w:val="22"/>
                <w:szCs w:val="22"/>
                <w:lang w:val="en-US"/>
              </w:rPr>
              <w:t>Financial Technology Sector</w:t>
            </w:r>
          </w:p>
        </w:tc>
      </w:tr>
      <w:tr w:rsidR="00701906" w:rsidRPr="00EC044E" w14:paraId="6E191599" w14:textId="77777777" w:rsidTr="008A3BB8">
        <w:tc>
          <w:tcPr>
            <w:tcW w:w="2332" w:type="dxa"/>
            <w:tcBorders>
              <w:top w:val="single" w:sz="6" w:space="0" w:color="000000"/>
              <w:left w:val="single" w:sz="6" w:space="0" w:color="000000"/>
              <w:bottom w:val="single" w:sz="6" w:space="0" w:color="000000"/>
              <w:right w:val="single" w:sz="6" w:space="0" w:color="000000"/>
            </w:tcBorders>
            <w:shd w:val="clear" w:color="auto" w:fill="D9D9D9"/>
          </w:tcPr>
          <w:p w14:paraId="0551D9E5"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b/>
                <w:color w:val="000000"/>
                <w:szCs w:val="24"/>
                <w:lang w:val="en-US"/>
              </w:rPr>
            </w:pPr>
            <w:r w:rsidRPr="00EC044E">
              <w:rPr>
                <w:b/>
                <w:color w:val="000000"/>
                <w:szCs w:val="24"/>
                <w:lang w:val="en-US"/>
              </w:rPr>
              <w:t>Status of Case</w:t>
            </w:r>
          </w:p>
        </w:tc>
        <w:tc>
          <w:tcPr>
            <w:tcW w:w="3189" w:type="dxa"/>
            <w:tcBorders>
              <w:top w:val="single" w:sz="6" w:space="0" w:color="000000"/>
              <w:left w:val="single" w:sz="6" w:space="0" w:color="000000"/>
              <w:bottom w:val="single" w:sz="6" w:space="0" w:color="000000"/>
              <w:right w:val="single" w:sz="6" w:space="0" w:color="000000"/>
            </w:tcBorders>
          </w:tcPr>
          <w:p w14:paraId="3020CE6E"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after="120"/>
              <w:rPr>
                <w:color w:val="000000"/>
                <w:szCs w:val="24"/>
                <w:lang w:val="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D9D9D9"/>
          </w:tcPr>
          <w:p w14:paraId="759C1A30"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b/>
                <w:color w:val="000000"/>
                <w:szCs w:val="24"/>
                <w:lang w:val="en-US"/>
              </w:rPr>
            </w:pPr>
            <w:r w:rsidRPr="00EC044E">
              <w:rPr>
                <w:b/>
                <w:color w:val="000000"/>
                <w:szCs w:val="24"/>
                <w:lang w:val="en-US"/>
              </w:rPr>
              <w:t>Sub-Domain</w:t>
            </w:r>
          </w:p>
        </w:tc>
        <w:tc>
          <w:tcPr>
            <w:tcW w:w="2126" w:type="dxa"/>
            <w:tcBorders>
              <w:top w:val="single" w:sz="6" w:space="0" w:color="000000"/>
              <w:left w:val="single" w:sz="6" w:space="0" w:color="000000"/>
              <w:bottom w:val="single" w:sz="6" w:space="0" w:color="000000"/>
              <w:right w:val="single" w:sz="6" w:space="0" w:color="000000"/>
            </w:tcBorders>
          </w:tcPr>
          <w:p w14:paraId="00A5A78A"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color w:val="000000"/>
                <w:szCs w:val="24"/>
                <w:lang w:val="en-US"/>
              </w:rPr>
            </w:pPr>
          </w:p>
        </w:tc>
      </w:tr>
      <w:tr w:rsidR="00701906" w:rsidRPr="00EC044E" w14:paraId="12CC81DF" w14:textId="77777777" w:rsidTr="008A3BB8">
        <w:tc>
          <w:tcPr>
            <w:tcW w:w="2332" w:type="dxa"/>
            <w:tcBorders>
              <w:top w:val="single" w:sz="6" w:space="0" w:color="000000"/>
              <w:left w:val="single" w:sz="6" w:space="0" w:color="000000"/>
              <w:bottom w:val="single" w:sz="6" w:space="0" w:color="000000"/>
              <w:right w:val="single" w:sz="6" w:space="0" w:color="000000"/>
            </w:tcBorders>
            <w:shd w:val="clear" w:color="auto" w:fill="D9D9D9"/>
          </w:tcPr>
          <w:p w14:paraId="535E7ED3"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b/>
                <w:color w:val="000000"/>
                <w:szCs w:val="24"/>
                <w:lang w:val="en-US"/>
              </w:rPr>
            </w:pPr>
            <w:r w:rsidRPr="00EC044E">
              <w:rPr>
                <w:b/>
                <w:color w:val="000000"/>
                <w:szCs w:val="24"/>
                <w:lang w:val="en-US"/>
              </w:rPr>
              <w:t>Contact information of person submitting/</w:t>
            </w:r>
          </w:p>
          <w:p w14:paraId="6B344DC6"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b/>
                <w:color w:val="000000"/>
                <w:szCs w:val="24"/>
                <w:lang w:val="en-US"/>
              </w:rPr>
            </w:pPr>
            <w:r w:rsidRPr="00EC044E">
              <w:rPr>
                <w:b/>
                <w:color w:val="000000"/>
                <w:szCs w:val="24"/>
                <w:lang w:val="en-US"/>
              </w:rPr>
              <w:t>managing the use-case</w:t>
            </w:r>
          </w:p>
        </w:tc>
        <w:tc>
          <w:tcPr>
            <w:tcW w:w="7441" w:type="dxa"/>
            <w:gridSpan w:val="3"/>
            <w:tcBorders>
              <w:top w:val="single" w:sz="6" w:space="0" w:color="000000"/>
              <w:left w:val="single" w:sz="6" w:space="0" w:color="000000"/>
              <w:bottom w:val="single" w:sz="6" w:space="0" w:color="000000"/>
              <w:right w:val="single" w:sz="6" w:space="0" w:color="000000"/>
            </w:tcBorders>
          </w:tcPr>
          <w:p w14:paraId="50989F10"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 xml:space="preserve">Full Name: Marla Dukharan </w:t>
            </w:r>
          </w:p>
          <w:p w14:paraId="0A1B05A7"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 xml:space="preserve">Job Title: Chief Economist </w:t>
            </w:r>
          </w:p>
          <w:p w14:paraId="49B48D2B"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 xml:space="preserve">E-mail address: marla@bitt.com                       </w:t>
            </w:r>
          </w:p>
          <w:p w14:paraId="2E98789F"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Telephone number: (246)-231-2115</w:t>
            </w:r>
          </w:p>
          <w:p w14:paraId="2A5848F9"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after="120"/>
              <w:rPr>
                <w:color w:val="000000"/>
                <w:szCs w:val="24"/>
                <w:lang w:val="en-US"/>
              </w:rPr>
            </w:pPr>
            <w:r w:rsidRPr="00EC044E">
              <w:rPr>
                <w:color w:val="000000"/>
                <w:szCs w:val="24"/>
                <w:lang w:val="en-US"/>
              </w:rPr>
              <w:t xml:space="preserve">Social media:                       </w:t>
            </w:r>
          </w:p>
          <w:p w14:paraId="17F450CD"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after="120"/>
              <w:rPr>
                <w:i/>
                <w:color w:val="000000"/>
                <w:szCs w:val="24"/>
                <w:lang w:val="en-US"/>
              </w:rPr>
            </w:pPr>
            <w:r w:rsidRPr="00EC044E">
              <w:rPr>
                <w:color w:val="000000"/>
                <w:szCs w:val="24"/>
                <w:lang w:val="en-US"/>
              </w:rPr>
              <w:t>Web site:</w:t>
            </w:r>
            <w:r w:rsidRPr="00EC044E">
              <w:rPr>
                <w:szCs w:val="24"/>
                <w:lang w:val="en-US"/>
              </w:rPr>
              <w:t xml:space="preserve"> </w:t>
            </w:r>
            <w:hyperlink r:id="rId87">
              <w:r w:rsidRPr="00EC044E">
                <w:rPr>
                  <w:color w:val="1155CC"/>
                  <w:szCs w:val="24"/>
                  <w:u w:val="single"/>
                  <w:lang w:val="en-US"/>
                </w:rPr>
                <w:t>www.bitt.com</w:t>
              </w:r>
            </w:hyperlink>
            <w:r w:rsidRPr="00EC044E">
              <w:rPr>
                <w:szCs w:val="24"/>
                <w:lang w:val="en-US"/>
              </w:rPr>
              <w:t xml:space="preserve"> </w:t>
            </w:r>
          </w:p>
        </w:tc>
      </w:tr>
      <w:tr w:rsidR="00701906" w:rsidRPr="00EC044E" w14:paraId="06D73F5E" w14:textId="77777777" w:rsidTr="008A3BB8">
        <w:tc>
          <w:tcPr>
            <w:tcW w:w="2332" w:type="dxa"/>
            <w:tcBorders>
              <w:top w:val="single" w:sz="6" w:space="0" w:color="000000"/>
              <w:left w:val="single" w:sz="6" w:space="0" w:color="000000"/>
              <w:bottom w:val="single" w:sz="6" w:space="0" w:color="000000"/>
              <w:right w:val="single" w:sz="6" w:space="0" w:color="000000"/>
            </w:tcBorders>
            <w:shd w:val="clear" w:color="auto" w:fill="D9D9D9"/>
          </w:tcPr>
          <w:p w14:paraId="4A9F00BB"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b/>
                <w:color w:val="000000"/>
                <w:szCs w:val="24"/>
                <w:lang w:val="en-US"/>
              </w:rPr>
            </w:pPr>
            <w:r w:rsidRPr="00EC044E">
              <w:rPr>
                <w:b/>
                <w:color w:val="000000"/>
                <w:szCs w:val="24"/>
                <w:lang w:val="en-US"/>
              </w:rPr>
              <w:t>Proposing Organization</w:t>
            </w:r>
          </w:p>
        </w:tc>
        <w:tc>
          <w:tcPr>
            <w:tcW w:w="7441" w:type="dxa"/>
            <w:gridSpan w:val="3"/>
            <w:tcBorders>
              <w:top w:val="single" w:sz="6" w:space="0" w:color="000000"/>
              <w:left w:val="single" w:sz="6" w:space="0" w:color="000000"/>
              <w:bottom w:val="single" w:sz="6" w:space="0" w:color="000000"/>
              <w:right w:val="single" w:sz="6" w:space="0" w:color="000000"/>
            </w:tcBorders>
          </w:tcPr>
          <w:p w14:paraId="50EBF307"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color w:val="000000"/>
                <w:szCs w:val="24"/>
                <w:lang w:val="en-US"/>
              </w:rPr>
            </w:pPr>
            <w:r w:rsidRPr="00EC044E">
              <w:rPr>
                <w:szCs w:val="24"/>
                <w:lang w:val="en-US"/>
              </w:rPr>
              <w:t xml:space="preserve">Bitt Inc, Barbados </w:t>
            </w:r>
          </w:p>
        </w:tc>
      </w:tr>
      <w:tr w:rsidR="00701906" w:rsidRPr="00EC044E" w14:paraId="2B26DF2E" w14:textId="77777777" w:rsidTr="008A3BB8">
        <w:tc>
          <w:tcPr>
            <w:tcW w:w="2332" w:type="dxa"/>
            <w:tcBorders>
              <w:top w:val="single" w:sz="6" w:space="0" w:color="000000"/>
              <w:left w:val="single" w:sz="6" w:space="0" w:color="000000"/>
              <w:bottom w:val="single" w:sz="6" w:space="0" w:color="000000"/>
              <w:right w:val="single" w:sz="6" w:space="0" w:color="000000"/>
            </w:tcBorders>
            <w:shd w:val="clear" w:color="auto" w:fill="D9D9D9"/>
          </w:tcPr>
          <w:p w14:paraId="0AA6BB3D"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b/>
                <w:color w:val="000000"/>
                <w:szCs w:val="24"/>
                <w:lang w:val="en-US"/>
              </w:rPr>
            </w:pPr>
            <w:r w:rsidRPr="00EC044E">
              <w:rPr>
                <w:b/>
                <w:color w:val="000000"/>
                <w:szCs w:val="24"/>
                <w:lang w:val="en-US"/>
              </w:rPr>
              <w:t>Short Description</w:t>
            </w:r>
          </w:p>
        </w:tc>
        <w:tc>
          <w:tcPr>
            <w:tcW w:w="7441" w:type="dxa"/>
            <w:gridSpan w:val="3"/>
            <w:tcBorders>
              <w:top w:val="single" w:sz="6" w:space="0" w:color="000000"/>
              <w:left w:val="single" w:sz="6" w:space="0" w:color="000000"/>
              <w:bottom w:val="single" w:sz="6" w:space="0" w:color="000000"/>
              <w:right w:val="single" w:sz="6" w:space="0" w:color="000000"/>
            </w:tcBorders>
          </w:tcPr>
          <w:p w14:paraId="3969CE94"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Our mission at Bitt Inc is to create simpler, safer, and more cost effective payment systems for individuals, merchants, commercial banks, Central Banks, and Governments, which promote financial inclusion and socio-economic progress.</w:t>
            </w:r>
          </w:p>
        </w:tc>
      </w:tr>
      <w:tr w:rsidR="00701906" w:rsidRPr="00EC044E" w14:paraId="34E75FA0" w14:textId="77777777" w:rsidTr="008A3BB8">
        <w:tc>
          <w:tcPr>
            <w:tcW w:w="2332" w:type="dxa"/>
            <w:tcBorders>
              <w:top w:val="single" w:sz="6" w:space="0" w:color="000000"/>
              <w:left w:val="single" w:sz="6" w:space="0" w:color="000000"/>
              <w:bottom w:val="single" w:sz="6" w:space="0" w:color="000000"/>
              <w:right w:val="single" w:sz="6" w:space="0" w:color="000000"/>
            </w:tcBorders>
            <w:shd w:val="clear" w:color="auto" w:fill="D9D9D9"/>
          </w:tcPr>
          <w:p w14:paraId="0D4CB245"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b/>
                <w:color w:val="000000"/>
                <w:szCs w:val="24"/>
                <w:lang w:val="en-US"/>
              </w:rPr>
            </w:pPr>
            <w:r w:rsidRPr="00EC044E">
              <w:rPr>
                <w:b/>
                <w:color w:val="000000"/>
                <w:szCs w:val="24"/>
                <w:lang w:val="en-US"/>
              </w:rPr>
              <w:t>Long description</w:t>
            </w:r>
          </w:p>
        </w:tc>
        <w:tc>
          <w:tcPr>
            <w:tcW w:w="7441" w:type="dxa"/>
            <w:gridSpan w:val="3"/>
            <w:tcBorders>
              <w:top w:val="single" w:sz="6" w:space="0" w:color="000000"/>
              <w:left w:val="single" w:sz="6" w:space="0" w:color="000000"/>
              <w:bottom w:val="single" w:sz="6" w:space="0" w:color="000000"/>
              <w:right w:val="single" w:sz="6" w:space="0" w:color="000000"/>
            </w:tcBorders>
          </w:tcPr>
          <w:p w14:paraId="525FAA47"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 xml:space="preserve">Bitt provides a full-stack service for creating a digital financial ecosystem. This is achieved from three main products: </w:t>
            </w:r>
          </w:p>
          <w:p w14:paraId="3B143BE3" w14:textId="77777777" w:rsidR="00701906" w:rsidRPr="00EC044E" w:rsidRDefault="00701906" w:rsidP="00A24280">
            <w:pPr>
              <w:numPr>
                <w:ilvl w:val="0"/>
                <w:numId w:val="35"/>
              </w:numPr>
              <w:tabs>
                <w:tab w:val="left" w:pos="794"/>
                <w:tab w:val="left" w:pos="1191"/>
                <w:tab w:val="left" w:pos="1588"/>
                <w:tab w:val="left" w:pos="1985"/>
              </w:tabs>
              <w:rPr>
                <w:szCs w:val="24"/>
                <w:lang w:val="en-US"/>
              </w:rPr>
            </w:pPr>
            <w:r w:rsidRPr="00EC044E">
              <w:rPr>
                <w:szCs w:val="24"/>
                <w:lang w:val="en-US"/>
              </w:rPr>
              <w:t xml:space="preserve">Blockchain-based Central Bank Issued Digital Currency (CBDC) to enable the issuance, distribution, redemption and destruction of digital legal tender in the economy, and to conduct cross-border payments. </w:t>
            </w:r>
          </w:p>
          <w:p w14:paraId="124A41FE" w14:textId="77777777" w:rsidR="00701906" w:rsidRPr="00EC044E" w:rsidRDefault="00701906" w:rsidP="00A24280">
            <w:pPr>
              <w:numPr>
                <w:ilvl w:val="0"/>
                <w:numId w:val="35"/>
              </w:numPr>
              <w:tabs>
                <w:tab w:val="left" w:pos="794"/>
                <w:tab w:val="left" w:pos="1191"/>
                <w:tab w:val="left" w:pos="1588"/>
                <w:tab w:val="left" w:pos="1985"/>
              </w:tabs>
              <w:spacing w:before="0"/>
              <w:rPr>
                <w:szCs w:val="24"/>
                <w:lang w:val="en-US"/>
              </w:rPr>
            </w:pPr>
            <w:r w:rsidRPr="00EC044E">
              <w:rPr>
                <w:szCs w:val="24"/>
                <w:lang w:val="en-US"/>
              </w:rPr>
              <w:t xml:space="preserve">Provide state of the art AML Compliance services to commercial banks </w:t>
            </w:r>
          </w:p>
          <w:p w14:paraId="45D26E89" w14:textId="77777777" w:rsidR="00701906" w:rsidRPr="00EC044E" w:rsidRDefault="00701906" w:rsidP="00A24280">
            <w:pPr>
              <w:numPr>
                <w:ilvl w:val="0"/>
                <w:numId w:val="35"/>
              </w:numPr>
              <w:tabs>
                <w:tab w:val="left" w:pos="794"/>
                <w:tab w:val="left" w:pos="1191"/>
                <w:tab w:val="left" w:pos="1588"/>
                <w:tab w:val="left" w:pos="1985"/>
              </w:tabs>
              <w:spacing w:before="0"/>
              <w:rPr>
                <w:szCs w:val="24"/>
                <w:lang w:val="en-US"/>
              </w:rPr>
            </w:pPr>
            <w:r w:rsidRPr="00EC044E">
              <w:rPr>
                <w:szCs w:val="24"/>
                <w:lang w:val="en-US"/>
              </w:rPr>
              <w:t xml:space="preserve">Provide a suite of software applications that enable transactions to be executed and managed at each level in the economy, including retail and merchant wallets, licensed financial institution (LFIs), and Central Banks.  </w:t>
            </w:r>
          </w:p>
        </w:tc>
      </w:tr>
      <w:tr w:rsidR="00701906" w:rsidRPr="00EC044E" w14:paraId="019D5759" w14:textId="77777777" w:rsidTr="008A3BB8">
        <w:tc>
          <w:tcPr>
            <w:tcW w:w="2332" w:type="dxa"/>
            <w:tcBorders>
              <w:top w:val="single" w:sz="6" w:space="0" w:color="000000"/>
              <w:left w:val="single" w:sz="6" w:space="0" w:color="000000"/>
              <w:bottom w:val="single" w:sz="6" w:space="0" w:color="000000"/>
              <w:right w:val="single" w:sz="6" w:space="0" w:color="000000"/>
            </w:tcBorders>
            <w:shd w:val="clear" w:color="auto" w:fill="D9D9D9"/>
          </w:tcPr>
          <w:p w14:paraId="2B4C5F82"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b/>
                <w:color w:val="000000"/>
                <w:szCs w:val="24"/>
                <w:lang w:val="en-US"/>
              </w:rPr>
            </w:pPr>
            <w:r w:rsidRPr="00EC044E">
              <w:rPr>
                <w:b/>
                <w:color w:val="000000"/>
                <w:szCs w:val="24"/>
                <w:lang w:val="en-US"/>
              </w:rPr>
              <w:t>SDG in Focus (when applicable)</w:t>
            </w:r>
          </w:p>
        </w:tc>
        <w:tc>
          <w:tcPr>
            <w:tcW w:w="7441" w:type="dxa"/>
            <w:gridSpan w:val="3"/>
            <w:tcBorders>
              <w:top w:val="single" w:sz="6" w:space="0" w:color="000000"/>
              <w:left w:val="single" w:sz="6" w:space="0" w:color="000000"/>
              <w:bottom w:val="single" w:sz="6" w:space="0" w:color="000000"/>
              <w:right w:val="single" w:sz="6" w:space="0" w:color="000000"/>
            </w:tcBorders>
          </w:tcPr>
          <w:p w14:paraId="2BF8C4A9"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after="120"/>
              <w:rPr>
                <w:color w:val="000000"/>
                <w:szCs w:val="24"/>
                <w:lang w:val="en-US"/>
              </w:rPr>
            </w:pPr>
          </w:p>
        </w:tc>
      </w:tr>
      <w:tr w:rsidR="00701906" w:rsidRPr="00EC044E" w14:paraId="0CBD081F" w14:textId="77777777" w:rsidTr="008A3BB8">
        <w:tc>
          <w:tcPr>
            <w:tcW w:w="2332" w:type="dxa"/>
            <w:tcBorders>
              <w:top w:val="single" w:sz="6" w:space="0" w:color="000000"/>
              <w:left w:val="single" w:sz="6" w:space="0" w:color="000000"/>
              <w:bottom w:val="single" w:sz="6" w:space="0" w:color="000000"/>
              <w:right w:val="single" w:sz="6" w:space="0" w:color="000000"/>
            </w:tcBorders>
            <w:shd w:val="clear" w:color="auto" w:fill="D9D9D9"/>
          </w:tcPr>
          <w:p w14:paraId="0C2C9D8B"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b/>
                <w:color w:val="000000"/>
                <w:szCs w:val="24"/>
                <w:lang w:val="en-US"/>
              </w:rPr>
            </w:pPr>
            <w:r w:rsidRPr="00EC044E">
              <w:rPr>
                <w:b/>
                <w:color w:val="000000"/>
                <w:szCs w:val="24"/>
                <w:lang w:val="en-US"/>
              </w:rPr>
              <w:t>Value Transfer:</w:t>
            </w:r>
          </w:p>
        </w:tc>
        <w:tc>
          <w:tcPr>
            <w:tcW w:w="3189" w:type="dxa"/>
            <w:tcBorders>
              <w:top w:val="single" w:sz="6" w:space="0" w:color="000000"/>
              <w:left w:val="single" w:sz="6" w:space="0" w:color="000000"/>
              <w:bottom w:val="single" w:sz="6" w:space="0" w:color="000000"/>
              <w:right w:val="single" w:sz="6" w:space="0" w:color="000000"/>
            </w:tcBorders>
          </w:tcPr>
          <w:p w14:paraId="26A4976B"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after="120"/>
              <w:rPr>
                <w:color w:val="000000"/>
                <w:szCs w:val="24"/>
                <w:lang w:val="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D9D9D9"/>
          </w:tcPr>
          <w:p w14:paraId="1351B283"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after="120"/>
              <w:rPr>
                <w:color w:val="000000"/>
                <w:szCs w:val="24"/>
                <w:lang w:val="en-US"/>
              </w:rPr>
            </w:pPr>
            <w:r w:rsidRPr="00EC044E">
              <w:rPr>
                <w:color w:val="000000"/>
                <w:szCs w:val="24"/>
                <w:lang w:val="en-US"/>
              </w:rPr>
              <w:t>Number of Users:</w:t>
            </w:r>
          </w:p>
        </w:tc>
        <w:tc>
          <w:tcPr>
            <w:tcW w:w="2126" w:type="dxa"/>
            <w:tcBorders>
              <w:top w:val="single" w:sz="6" w:space="0" w:color="000000"/>
              <w:left w:val="single" w:sz="6" w:space="0" w:color="000000"/>
              <w:bottom w:val="single" w:sz="6" w:space="0" w:color="000000"/>
              <w:right w:val="single" w:sz="6" w:space="0" w:color="000000"/>
            </w:tcBorders>
          </w:tcPr>
          <w:p w14:paraId="403A0420"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after="120"/>
              <w:rPr>
                <w:color w:val="000000"/>
                <w:szCs w:val="24"/>
                <w:lang w:val="en-US"/>
              </w:rPr>
            </w:pPr>
          </w:p>
        </w:tc>
      </w:tr>
      <w:tr w:rsidR="00701906" w:rsidRPr="00EC044E" w14:paraId="7032F709" w14:textId="77777777" w:rsidTr="008A3BB8">
        <w:tc>
          <w:tcPr>
            <w:tcW w:w="2332" w:type="dxa"/>
            <w:tcBorders>
              <w:top w:val="single" w:sz="6" w:space="0" w:color="000000"/>
              <w:left w:val="single" w:sz="6" w:space="0" w:color="000000"/>
              <w:bottom w:val="single" w:sz="6" w:space="0" w:color="000000"/>
              <w:right w:val="single" w:sz="6" w:space="0" w:color="000000"/>
            </w:tcBorders>
            <w:shd w:val="clear" w:color="auto" w:fill="D9D9D9"/>
          </w:tcPr>
          <w:p w14:paraId="4AED49CE"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b/>
                <w:color w:val="000000"/>
                <w:szCs w:val="24"/>
                <w:lang w:val="en-US"/>
              </w:rPr>
            </w:pPr>
            <w:r w:rsidRPr="00EC044E">
              <w:rPr>
                <w:b/>
                <w:color w:val="000000"/>
                <w:szCs w:val="24"/>
                <w:lang w:val="en-US"/>
              </w:rPr>
              <w:t>Types of Users:</w:t>
            </w:r>
          </w:p>
        </w:tc>
        <w:tc>
          <w:tcPr>
            <w:tcW w:w="7441" w:type="dxa"/>
            <w:gridSpan w:val="3"/>
            <w:tcBorders>
              <w:top w:val="single" w:sz="6" w:space="0" w:color="000000"/>
              <w:left w:val="single" w:sz="6" w:space="0" w:color="000000"/>
              <w:bottom w:val="single" w:sz="6" w:space="0" w:color="000000"/>
              <w:right w:val="single" w:sz="6" w:space="0" w:color="000000"/>
            </w:tcBorders>
          </w:tcPr>
          <w:p w14:paraId="0C3534B0"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after="120"/>
              <w:rPr>
                <w:i/>
                <w:color w:val="000000"/>
                <w:szCs w:val="24"/>
                <w:lang w:val="en-US"/>
              </w:rPr>
            </w:pPr>
            <w:r w:rsidRPr="00EC044E">
              <w:rPr>
                <w:i/>
                <w:szCs w:val="24"/>
                <w:lang w:val="en-US"/>
              </w:rPr>
              <w:t>Central Banks, Commercial Banks, Government Institutions, Wallet Service Providers, Merchants, Consumers and Individuals</w:t>
            </w:r>
          </w:p>
        </w:tc>
      </w:tr>
      <w:tr w:rsidR="00701906" w:rsidRPr="00EC044E" w14:paraId="2C5A2F9B" w14:textId="77777777" w:rsidTr="008A3BB8">
        <w:tc>
          <w:tcPr>
            <w:tcW w:w="2332" w:type="dxa"/>
            <w:tcBorders>
              <w:top w:val="single" w:sz="6" w:space="0" w:color="000000"/>
              <w:left w:val="single" w:sz="6" w:space="0" w:color="000000"/>
              <w:bottom w:val="single" w:sz="6" w:space="0" w:color="000000"/>
              <w:right w:val="single" w:sz="6" w:space="0" w:color="000000"/>
            </w:tcBorders>
            <w:shd w:val="clear" w:color="auto" w:fill="D9D9D9"/>
          </w:tcPr>
          <w:p w14:paraId="6E3C0FD3"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b/>
                <w:color w:val="000000"/>
                <w:szCs w:val="24"/>
                <w:lang w:val="en-US"/>
              </w:rPr>
            </w:pPr>
            <w:r w:rsidRPr="00EC044E">
              <w:rPr>
                <w:b/>
                <w:color w:val="000000"/>
                <w:szCs w:val="24"/>
                <w:lang w:val="en-US"/>
              </w:rPr>
              <w:t>Stakeholders</w:t>
            </w:r>
          </w:p>
        </w:tc>
        <w:tc>
          <w:tcPr>
            <w:tcW w:w="7441" w:type="dxa"/>
            <w:gridSpan w:val="3"/>
            <w:tcBorders>
              <w:top w:val="single" w:sz="6" w:space="0" w:color="000000"/>
              <w:left w:val="single" w:sz="6" w:space="0" w:color="000000"/>
              <w:bottom w:val="single" w:sz="6" w:space="0" w:color="000000"/>
              <w:right w:val="single" w:sz="6" w:space="0" w:color="000000"/>
            </w:tcBorders>
          </w:tcPr>
          <w:p w14:paraId="1137FFBA"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after="120"/>
              <w:rPr>
                <w:i/>
                <w:color w:val="000000"/>
                <w:szCs w:val="24"/>
                <w:lang w:val="en-US"/>
              </w:rPr>
            </w:pPr>
            <w:r w:rsidRPr="00EC044E">
              <w:rPr>
                <w:i/>
                <w:szCs w:val="24"/>
                <w:lang w:val="en-US"/>
              </w:rPr>
              <w:t>Same as above.</w:t>
            </w:r>
          </w:p>
        </w:tc>
      </w:tr>
      <w:tr w:rsidR="00701906" w:rsidRPr="00EC044E" w14:paraId="0EC03902" w14:textId="77777777" w:rsidTr="008A3BB8">
        <w:tc>
          <w:tcPr>
            <w:tcW w:w="2332" w:type="dxa"/>
            <w:tcBorders>
              <w:top w:val="single" w:sz="6" w:space="0" w:color="000000"/>
              <w:left w:val="single" w:sz="6" w:space="0" w:color="000000"/>
              <w:bottom w:val="single" w:sz="6" w:space="0" w:color="000000"/>
              <w:right w:val="single" w:sz="6" w:space="0" w:color="000000"/>
            </w:tcBorders>
            <w:shd w:val="clear" w:color="auto" w:fill="D9D9D9"/>
          </w:tcPr>
          <w:p w14:paraId="1AE10728"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b/>
                <w:color w:val="000000"/>
                <w:szCs w:val="24"/>
                <w:lang w:val="en-US"/>
              </w:rPr>
            </w:pPr>
            <w:r w:rsidRPr="00EC044E">
              <w:rPr>
                <w:b/>
                <w:color w:val="000000"/>
                <w:szCs w:val="24"/>
                <w:lang w:val="en-US"/>
              </w:rPr>
              <w:t>Data:</w:t>
            </w:r>
          </w:p>
        </w:tc>
        <w:tc>
          <w:tcPr>
            <w:tcW w:w="7441" w:type="dxa"/>
            <w:gridSpan w:val="3"/>
            <w:tcBorders>
              <w:top w:val="single" w:sz="6" w:space="0" w:color="000000"/>
              <w:left w:val="single" w:sz="6" w:space="0" w:color="000000"/>
              <w:bottom w:val="single" w:sz="6" w:space="0" w:color="000000"/>
              <w:right w:val="single" w:sz="6" w:space="0" w:color="000000"/>
            </w:tcBorders>
          </w:tcPr>
          <w:p w14:paraId="45DC45B3"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after="120"/>
              <w:rPr>
                <w:szCs w:val="24"/>
                <w:lang w:val="en-US"/>
              </w:rPr>
            </w:pPr>
            <w:r w:rsidRPr="00EC044E">
              <w:rPr>
                <w:szCs w:val="24"/>
                <w:lang w:val="en-US"/>
              </w:rPr>
              <w:t>Bitt envisions a blockchain-based CBDC network that enables the following actions, resulting in multiple data storage and transfer configurations:</w:t>
            </w:r>
          </w:p>
          <w:p w14:paraId="2E6AB866" w14:textId="77777777" w:rsidR="00701906" w:rsidRPr="00EC044E" w:rsidRDefault="00701906" w:rsidP="00A24280">
            <w:pPr>
              <w:numPr>
                <w:ilvl w:val="0"/>
                <w:numId w:val="32"/>
              </w:num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rPr>
                <w:szCs w:val="24"/>
                <w:lang w:val="en-US"/>
              </w:rPr>
            </w:pPr>
            <w:r w:rsidRPr="00EC044E">
              <w:rPr>
                <w:szCs w:val="24"/>
                <w:lang w:val="en-US"/>
              </w:rPr>
              <w:t>Central Banks issue digital legal tender into a blockchain network. All currency on the network is cryptographically verified to ensure only Central Bank issued currency is transacted as legal tender. All balances are stored on the ledger, and appear as amounts of digital currency assigned to public keys.</w:t>
            </w:r>
            <w:r w:rsidRPr="00EC044E">
              <w:rPr>
                <w:szCs w:val="24"/>
                <w:lang w:val="en-US"/>
              </w:rPr>
              <w:br/>
              <w:t xml:space="preserve">Central Banks are able to pull transaction data to analyze trends and gain economic insight, but are not able to identify counterparties to the transaction. </w:t>
            </w:r>
          </w:p>
          <w:p w14:paraId="4F30E8C3" w14:textId="77777777" w:rsidR="00701906" w:rsidRPr="00EC044E" w:rsidRDefault="00701906" w:rsidP="00A24280">
            <w:pPr>
              <w:numPr>
                <w:ilvl w:val="0"/>
                <w:numId w:val="32"/>
              </w:num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szCs w:val="24"/>
                <w:lang w:val="en-US"/>
              </w:rPr>
            </w:pPr>
            <w:r w:rsidRPr="00EC044E">
              <w:rPr>
                <w:szCs w:val="24"/>
                <w:lang w:val="en-US"/>
              </w:rPr>
              <w:t>Licensed Financial Institutions (LFI) enable the exchange of deposits for CBDCs, transaction data is stored on the network which includes public keys and balances. LFIs can view transactions in which their clients are counterparties; LFI client data is stored on separate databases.</w:t>
            </w:r>
          </w:p>
          <w:p w14:paraId="225E542A" w14:textId="77777777" w:rsidR="00701906" w:rsidRPr="00EC044E" w:rsidRDefault="00701906" w:rsidP="00A24280">
            <w:pPr>
              <w:numPr>
                <w:ilvl w:val="0"/>
                <w:numId w:val="32"/>
              </w:num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szCs w:val="24"/>
                <w:lang w:val="en-US"/>
              </w:rPr>
            </w:pPr>
            <w:r w:rsidRPr="00EC044E">
              <w:rPr>
                <w:szCs w:val="24"/>
                <w:lang w:val="en-US"/>
              </w:rPr>
              <w:t>Wallet Service Providers (WSP) enable retail users to transact in CBDC. Transaction Data is stored on the ledger. WSPs can view transactions in which their clients are counterparties; while WSP client data is stored on separate databases.</w:t>
            </w:r>
          </w:p>
          <w:p w14:paraId="17CF8223" w14:textId="77777777" w:rsidR="00701906" w:rsidRPr="00EC044E" w:rsidRDefault="00701906" w:rsidP="00A24280">
            <w:pPr>
              <w:numPr>
                <w:ilvl w:val="0"/>
                <w:numId w:val="32"/>
              </w:num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after="120"/>
              <w:rPr>
                <w:szCs w:val="24"/>
                <w:lang w:val="en-US"/>
              </w:rPr>
            </w:pPr>
            <w:r w:rsidRPr="00EC044E">
              <w:rPr>
                <w:szCs w:val="24"/>
                <w:lang w:val="en-US"/>
              </w:rPr>
              <w:t>Merchants and Retail wallet users perform transactions on the network using various applications. Said users are able to see their own transaction data, but not transactions on the ledger.</w:t>
            </w:r>
          </w:p>
        </w:tc>
      </w:tr>
      <w:tr w:rsidR="00701906" w:rsidRPr="00EC044E" w14:paraId="2ED0F33B" w14:textId="77777777" w:rsidTr="008A3BB8">
        <w:tc>
          <w:tcPr>
            <w:tcW w:w="2332" w:type="dxa"/>
            <w:tcBorders>
              <w:top w:val="single" w:sz="6" w:space="0" w:color="000000"/>
              <w:left w:val="single" w:sz="6" w:space="0" w:color="000000"/>
              <w:bottom w:val="single" w:sz="6" w:space="0" w:color="000000"/>
              <w:right w:val="single" w:sz="6" w:space="0" w:color="000000"/>
            </w:tcBorders>
            <w:shd w:val="clear" w:color="auto" w:fill="D9D9D9"/>
          </w:tcPr>
          <w:p w14:paraId="7F57AF5B"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b/>
                <w:color w:val="000000"/>
                <w:szCs w:val="24"/>
                <w:lang w:val="en-US"/>
              </w:rPr>
            </w:pPr>
            <w:r w:rsidRPr="00EC044E">
              <w:rPr>
                <w:b/>
                <w:color w:val="000000"/>
                <w:szCs w:val="24"/>
                <w:lang w:val="en-US"/>
              </w:rPr>
              <w:t>Identification:</w:t>
            </w:r>
          </w:p>
        </w:tc>
        <w:tc>
          <w:tcPr>
            <w:tcW w:w="7441" w:type="dxa"/>
            <w:gridSpan w:val="3"/>
            <w:tcBorders>
              <w:top w:val="single" w:sz="6" w:space="0" w:color="000000"/>
              <w:left w:val="single" w:sz="6" w:space="0" w:color="000000"/>
              <w:bottom w:val="single" w:sz="6" w:space="0" w:color="000000"/>
              <w:right w:val="single" w:sz="6" w:space="0" w:color="000000"/>
            </w:tcBorders>
          </w:tcPr>
          <w:p w14:paraId="61EF27A6"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after="120"/>
              <w:rPr>
                <w:i/>
                <w:color w:val="000000"/>
                <w:szCs w:val="24"/>
                <w:lang w:val="en-US"/>
              </w:rPr>
            </w:pPr>
            <w:r w:rsidRPr="00EC044E">
              <w:rPr>
                <w:szCs w:val="24"/>
                <w:lang w:val="en-US"/>
              </w:rPr>
              <w:t xml:space="preserve">Name, address, date of birth, ID, and proof of address is required. This data is not stored on the ledger, but on secure encrypted databases held with the LFIs and WSPs.  </w:t>
            </w:r>
          </w:p>
        </w:tc>
      </w:tr>
      <w:tr w:rsidR="00701906" w:rsidRPr="00EC044E" w14:paraId="6C4666BE" w14:textId="77777777" w:rsidTr="008A3BB8">
        <w:tc>
          <w:tcPr>
            <w:tcW w:w="2332" w:type="dxa"/>
            <w:tcBorders>
              <w:top w:val="single" w:sz="6" w:space="0" w:color="000000"/>
              <w:left w:val="single" w:sz="6" w:space="0" w:color="000000"/>
              <w:bottom w:val="single" w:sz="6" w:space="0" w:color="000000"/>
              <w:right w:val="single" w:sz="6" w:space="0" w:color="000000"/>
            </w:tcBorders>
            <w:shd w:val="clear" w:color="auto" w:fill="D9D9D9"/>
          </w:tcPr>
          <w:p w14:paraId="210FF5CD" w14:textId="77777777" w:rsidR="00701906" w:rsidRPr="00EC044E" w:rsidRDefault="00701906" w:rsidP="008A3BB8">
            <w:pPr>
              <w:pBdr>
                <w:top w:val="none" w:sz="0" w:space="0" w:color="000000"/>
                <w:left w:val="none" w:sz="0" w:space="0" w:color="000000"/>
                <w:bottom w:val="none" w:sz="0" w:space="0" w:color="000000"/>
                <w:right w:val="none" w:sz="0" w:space="0" w:color="000000"/>
                <w:between w:val="none" w:sz="0" w:space="0" w:color="000000"/>
              </w:pBdr>
              <w:tabs>
                <w:tab w:val="left" w:pos="794"/>
                <w:tab w:val="left" w:pos="1191"/>
                <w:tab w:val="left" w:pos="1588"/>
                <w:tab w:val="left" w:pos="1985"/>
              </w:tabs>
              <w:spacing w:before="0"/>
              <w:rPr>
                <w:b/>
                <w:color w:val="000000"/>
                <w:szCs w:val="24"/>
                <w:lang w:val="en-US"/>
              </w:rPr>
            </w:pPr>
            <w:r w:rsidRPr="00EC044E">
              <w:rPr>
                <w:b/>
                <w:color w:val="000000"/>
                <w:szCs w:val="24"/>
                <w:lang w:val="en-US"/>
              </w:rPr>
              <w:t>Predicted Outcomes:</w:t>
            </w:r>
          </w:p>
        </w:tc>
        <w:tc>
          <w:tcPr>
            <w:tcW w:w="7441" w:type="dxa"/>
            <w:gridSpan w:val="3"/>
            <w:tcBorders>
              <w:top w:val="single" w:sz="6" w:space="0" w:color="000000"/>
              <w:left w:val="single" w:sz="6" w:space="0" w:color="000000"/>
              <w:bottom w:val="single" w:sz="6" w:space="0" w:color="000000"/>
              <w:right w:val="single" w:sz="6" w:space="0" w:color="000000"/>
            </w:tcBorders>
          </w:tcPr>
          <w:p w14:paraId="7C558B5E" w14:textId="77777777" w:rsidR="00701906" w:rsidRPr="00EC044E" w:rsidRDefault="00701906" w:rsidP="00A24280">
            <w:pPr>
              <w:numPr>
                <w:ilvl w:val="0"/>
                <w:numId w:val="29"/>
              </w:numPr>
              <w:tabs>
                <w:tab w:val="left" w:pos="794"/>
                <w:tab w:val="left" w:pos="1191"/>
                <w:tab w:val="left" w:pos="1588"/>
                <w:tab w:val="left" w:pos="1985"/>
              </w:tabs>
              <w:rPr>
                <w:szCs w:val="24"/>
                <w:lang w:val="en-US"/>
              </w:rPr>
            </w:pPr>
            <w:r w:rsidRPr="00EC044E">
              <w:rPr>
                <w:szCs w:val="24"/>
                <w:lang w:val="en-US"/>
              </w:rPr>
              <w:t xml:space="preserve">Increase security while decreasing cost of issuing legal tender by facilitating digital issuance </w:t>
            </w:r>
          </w:p>
          <w:p w14:paraId="78D08371" w14:textId="77777777" w:rsidR="00701906" w:rsidRPr="00EC044E" w:rsidRDefault="00701906" w:rsidP="00A24280">
            <w:pPr>
              <w:numPr>
                <w:ilvl w:val="0"/>
                <w:numId w:val="29"/>
              </w:numPr>
              <w:tabs>
                <w:tab w:val="left" w:pos="794"/>
                <w:tab w:val="left" w:pos="1191"/>
                <w:tab w:val="left" w:pos="1588"/>
                <w:tab w:val="left" w:pos="1985"/>
              </w:tabs>
              <w:spacing w:before="0"/>
              <w:rPr>
                <w:szCs w:val="24"/>
                <w:lang w:val="en-US"/>
              </w:rPr>
            </w:pPr>
            <w:r w:rsidRPr="00EC044E">
              <w:rPr>
                <w:szCs w:val="24"/>
                <w:lang w:val="en-US"/>
              </w:rPr>
              <w:t xml:space="preserve">incorporate MSMEs into the digital payment space and allow all merchants to accept affordable digital payments </w:t>
            </w:r>
          </w:p>
          <w:p w14:paraId="724F6E46" w14:textId="77777777" w:rsidR="00701906" w:rsidRPr="00EC044E" w:rsidRDefault="00701906" w:rsidP="00A24280">
            <w:pPr>
              <w:numPr>
                <w:ilvl w:val="0"/>
                <w:numId w:val="29"/>
              </w:numPr>
              <w:tabs>
                <w:tab w:val="left" w:pos="794"/>
                <w:tab w:val="left" w:pos="1191"/>
                <w:tab w:val="left" w:pos="1588"/>
                <w:tab w:val="left" w:pos="1985"/>
              </w:tabs>
              <w:spacing w:before="0" w:after="120"/>
              <w:rPr>
                <w:szCs w:val="24"/>
                <w:lang w:val="en-US"/>
              </w:rPr>
            </w:pPr>
            <w:r w:rsidRPr="00EC044E">
              <w:rPr>
                <w:szCs w:val="24"/>
                <w:lang w:val="en-US"/>
              </w:rPr>
              <w:t>Provide users financial services that are unavailable to the currently unbanked and underbanked portions of the population  including: digital payments, money tracking, peer-to-peer transfers, which in turn has been proven to increase economic participation standard of living.</w:t>
            </w:r>
          </w:p>
        </w:tc>
      </w:tr>
    </w:tbl>
    <w:p w14:paraId="63E075D7" w14:textId="77777777" w:rsidR="00701906" w:rsidRPr="00EC044E" w:rsidRDefault="00701906" w:rsidP="00701906">
      <w:pPr>
        <w:tabs>
          <w:tab w:val="left" w:pos="794"/>
          <w:tab w:val="left" w:pos="1191"/>
          <w:tab w:val="left" w:pos="1588"/>
          <w:tab w:val="left" w:pos="1985"/>
        </w:tabs>
        <w:rPr>
          <w:b/>
          <w:szCs w:val="24"/>
          <w:lang w:val="en-US"/>
        </w:rPr>
      </w:pP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81"/>
      </w:tblGrid>
      <w:tr w:rsidR="00701906" w:rsidRPr="00EC044E" w14:paraId="1B6D74A7" w14:textId="77777777" w:rsidTr="008A3BB8">
        <w:tc>
          <w:tcPr>
            <w:tcW w:w="9781" w:type="dxa"/>
            <w:tcBorders>
              <w:top w:val="single" w:sz="6" w:space="0" w:color="000000"/>
              <w:left w:val="single" w:sz="6" w:space="0" w:color="000000"/>
              <w:bottom w:val="single" w:sz="6" w:space="0" w:color="000000"/>
              <w:right w:val="single" w:sz="6" w:space="0" w:color="000000"/>
            </w:tcBorders>
            <w:shd w:val="clear" w:color="auto" w:fill="D9D9D9"/>
          </w:tcPr>
          <w:p w14:paraId="3515ABD2"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Overview of the Business Problem or Opportunity</w:t>
            </w:r>
          </w:p>
        </w:tc>
      </w:tr>
      <w:tr w:rsidR="00701906" w:rsidRPr="00EC044E" w14:paraId="057D67DC" w14:textId="77777777" w:rsidTr="008A3BB8">
        <w:tc>
          <w:tcPr>
            <w:tcW w:w="9781" w:type="dxa"/>
            <w:tcBorders>
              <w:top w:val="single" w:sz="6" w:space="0" w:color="000000"/>
              <w:left w:val="single" w:sz="6" w:space="0" w:color="000000"/>
              <w:bottom w:val="single" w:sz="6" w:space="0" w:color="000000"/>
              <w:right w:val="single" w:sz="6" w:space="0" w:color="000000"/>
            </w:tcBorders>
          </w:tcPr>
          <w:p w14:paraId="5120EA95" w14:textId="77777777" w:rsidR="00701906" w:rsidRPr="00EC044E" w:rsidRDefault="00701906" w:rsidP="008A3BB8">
            <w:pPr>
              <w:tabs>
                <w:tab w:val="left" w:pos="794"/>
                <w:tab w:val="left" w:pos="1191"/>
                <w:tab w:val="left" w:pos="1588"/>
                <w:tab w:val="left" w:pos="1985"/>
              </w:tabs>
              <w:jc w:val="both"/>
              <w:rPr>
                <w:szCs w:val="24"/>
                <w:lang w:val="en-US"/>
              </w:rPr>
            </w:pPr>
            <w:r w:rsidRPr="00EC044E">
              <w:rPr>
                <w:szCs w:val="24"/>
                <w:lang w:val="en-US"/>
              </w:rPr>
              <w:t xml:space="preserve">Central Banks </w:t>
            </w:r>
          </w:p>
          <w:p w14:paraId="76D42DA4" w14:textId="77777777" w:rsidR="00701906" w:rsidRPr="00EC044E" w:rsidRDefault="00701906" w:rsidP="00A24280">
            <w:pPr>
              <w:numPr>
                <w:ilvl w:val="0"/>
                <w:numId w:val="33"/>
              </w:numPr>
              <w:tabs>
                <w:tab w:val="left" w:pos="794"/>
                <w:tab w:val="left" w:pos="1191"/>
                <w:tab w:val="left" w:pos="1588"/>
                <w:tab w:val="left" w:pos="1985"/>
              </w:tabs>
              <w:jc w:val="both"/>
              <w:rPr>
                <w:szCs w:val="24"/>
                <w:lang w:val="en-US"/>
              </w:rPr>
            </w:pPr>
            <w:r w:rsidRPr="00EC044E">
              <w:rPr>
                <w:szCs w:val="24"/>
                <w:lang w:val="en-US"/>
              </w:rPr>
              <w:t xml:space="preserve">Central Bank currently face costly services when issuing, transporting and disseminating newly created banknotes and coins. Converting the process from issuing physical notes and coins to a digital version would save institutions time, money and improve security. </w:t>
            </w:r>
          </w:p>
          <w:p w14:paraId="44E7F2C6" w14:textId="77777777" w:rsidR="00701906" w:rsidRPr="00EC044E" w:rsidRDefault="00701906" w:rsidP="00A24280">
            <w:pPr>
              <w:numPr>
                <w:ilvl w:val="0"/>
                <w:numId w:val="33"/>
              </w:numPr>
              <w:tabs>
                <w:tab w:val="left" w:pos="794"/>
                <w:tab w:val="left" w:pos="1191"/>
                <w:tab w:val="left" w:pos="1588"/>
                <w:tab w:val="left" w:pos="1985"/>
              </w:tabs>
              <w:spacing w:before="0"/>
              <w:jc w:val="both"/>
              <w:rPr>
                <w:szCs w:val="24"/>
                <w:lang w:val="en-US"/>
              </w:rPr>
            </w:pPr>
            <w:r w:rsidRPr="00EC044E">
              <w:rPr>
                <w:szCs w:val="24"/>
                <w:lang w:val="en-US"/>
              </w:rPr>
              <w:t xml:space="preserve">Traditional forms of trade settlement require costly cross-border transactions consist of sending payments via correspondent banks in the US and/or Canada. These transactions include lengthy settlement times that sometimes take weeks and high costs. Sending payments digitally would instead save time and money because settlement times could be reduced to minutes and costs reduced to a fraction of the current costs. </w:t>
            </w:r>
          </w:p>
          <w:p w14:paraId="11597C0F" w14:textId="77777777" w:rsidR="00701906" w:rsidRPr="00EC044E" w:rsidRDefault="00701906" w:rsidP="008A3BB8">
            <w:pPr>
              <w:tabs>
                <w:tab w:val="left" w:pos="794"/>
                <w:tab w:val="left" w:pos="1191"/>
                <w:tab w:val="left" w:pos="1588"/>
                <w:tab w:val="left" w:pos="1985"/>
              </w:tabs>
              <w:jc w:val="both"/>
              <w:rPr>
                <w:szCs w:val="24"/>
                <w:lang w:val="en-US"/>
              </w:rPr>
            </w:pPr>
            <w:r w:rsidRPr="00EC044E">
              <w:rPr>
                <w:szCs w:val="24"/>
                <w:lang w:val="en-US"/>
              </w:rPr>
              <w:t>Commercial Banks</w:t>
            </w:r>
          </w:p>
          <w:p w14:paraId="30F91508" w14:textId="77777777" w:rsidR="00701906" w:rsidRPr="00EC044E" w:rsidRDefault="00701906" w:rsidP="00A24280">
            <w:pPr>
              <w:numPr>
                <w:ilvl w:val="0"/>
                <w:numId w:val="30"/>
              </w:numPr>
              <w:tabs>
                <w:tab w:val="left" w:pos="794"/>
                <w:tab w:val="left" w:pos="1191"/>
                <w:tab w:val="left" w:pos="1588"/>
                <w:tab w:val="left" w:pos="1985"/>
              </w:tabs>
              <w:jc w:val="both"/>
              <w:rPr>
                <w:szCs w:val="24"/>
                <w:lang w:val="en-US"/>
              </w:rPr>
            </w:pPr>
            <w:r w:rsidRPr="00EC044E">
              <w:rPr>
                <w:szCs w:val="24"/>
                <w:lang w:val="en-US"/>
              </w:rPr>
              <w:t xml:space="preserve">Commercial banks can benefit from new and improved KYC such as facial recognition to match scanned copies of IDs </w:t>
            </w:r>
          </w:p>
          <w:p w14:paraId="5EA8959E" w14:textId="77777777" w:rsidR="00701906" w:rsidRPr="00EC044E" w:rsidRDefault="00701906" w:rsidP="00A24280">
            <w:pPr>
              <w:numPr>
                <w:ilvl w:val="0"/>
                <w:numId w:val="30"/>
              </w:numPr>
              <w:tabs>
                <w:tab w:val="left" w:pos="794"/>
                <w:tab w:val="left" w:pos="1191"/>
                <w:tab w:val="left" w:pos="1588"/>
                <w:tab w:val="left" w:pos="1985"/>
              </w:tabs>
              <w:spacing w:before="0"/>
              <w:jc w:val="both"/>
              <w:rPr>
                <w:szCs w:val="24"/>
                <w:lang w:val="en-US"/>
              </w:rPr>
            </w:pPr>
            <w:r w:rsidRPr="00EC044E">
              <w:rPr>
                <w:szCs w:val="24"/>
                <w:lang w:val="en-US"/>
              </w:rPr>
              <w:t xml:space="preserve">They can provide their customers with advanced digital wallets to improve their banking experience </w:t>
            </w:r>
          </w:p>
          <w:p w14:paraId="0480B3B5" w14:textId="77777777" w:rsidR="00701906" w:rsidRPr="00EC044E" w:rsidRDefault="00701906" w:rsidP="008A3BB8">
            <w:pPr>
              <w:tabs>
                <w:tab w:val="left" w:pos="794"/>
                <w:tab w:val="left" w:pos="1191"/>
                <w:tab w:val="left" w:pos="1588"/>
                <w:tab w:val="left" w:pos="1985"/>
              </w:tabs>
              <w:jc w:val="both"/>
              <w:rPr>
                <w:szCs w:val="24"/>
                <w:lang w:val="en-US"/>
              </w:rPr>
            </w:pPr>
            <w:r w:rsidRPr="00EC044E">
              <w:rPr>
                <w:szCs w:val="24"/>
                <w:lang w:val="en-US"/>
              </w:rPr>
              <w:t xml:space="preserve">Retail/ General Public </w:t>
            </w:r>
          </w:p>
          <w:p w14:paraId="587ACA0B" w14:textId="77777777" w:rsidR="00701906" w:rsidRPr="00EC044E" w:rsidRDefault="00701906" w:rsidP="00A24280">
            <w:pPr>
              <w:numPr>
                <w:ilvl w:val="0"/>
                <w:numId w:val="34"/>
              </w:numPr>
              <w:tabs>
                <w:tab w:val="left" w:pos="794"/>
                <w:tab w:val="left" w:pos="1191"/>
                <w:tab w:val="left" w:pos="1588"/>
                <w:tab w:val="left" w:pos="1985"/>
              </w:tabs>
              <w:jc w:val="both"/>
              <w:rPr>
                <w:szCs w:val="24"/>
                <w:lang w:val="en-US"/>
              </w:rPr>
            </w:pPr>
            <w:r w:rsidRPr="00EC044E">
              <w:rPr>
                <w:szCs w:val="24"/>
                <w:lang w:val="en-US"/>
              </w:rPr>
              <w:t xml:space="preserve">MSMEs are limited and prevented from accepting digital payments because of the high operating costs of credit/debit card machines </w:t>
            </w:r>
          </w:p>
          <w:p w14:paraId="79A5F709" w14:textId="77777777" w:rsidR="00701906" w:rsidRPr="00EC044E" w:rsidRDefault="00701906" w:rsidP="00A24280">
            <w:pPr>
              <w:numPr>
                <w:ilvl w:val="0"/>
                <w:numId w:val="34"/>
              </w:numPr>
              <w:tabs>
                <w:tab w:val="left" w:pos="794"/>
                <w:tab w:val="left" w:pos="1191"/>
                <w:tab w:val="left" w:pos="1588"/>
                <w:tab w:val="left" w:pos="1985"/>
              </w:tabs>
              <w:spacing w:before="0"/>
              <w:jc w:val="both"/>
              <w:rPr>
                <w:szCs w:val="24"/>
                <w:lang w:val="en-US"/>
              </w:rPr>
            </w:pPr>
            <w:r w:rsidRPr="00EC044E">
              <w:rPr>
                <w:szCs w:val="24"/>
                <w:lang w:val="en-US"/>
              </w:rPr>
              <w:t xml:space="preserve">There are high portions of the population that are prohibited from accessing financial services such as opening basic bank accounts. </w:t>
            </w:r>
          </w:p>
          <w:p w14:paraId="6F031BD0" w14:textId="77777777" w:rsidR="00701906" w:rsidRPr="00EC044E" w:rsidRDefault="00701906" w:rsidP="00A24280">
            <w:pPr>
              <w:numPr>
                <w:ilvl w:val="0"/>
                <w:numId w:val="34"/>
              </w:numPr>
              <w:tabs>
                <w:tab w:val="left" w:pos="794"/>
                <w:tab w:val="left" w:pos="1191"/>
                <w:tab w:val="left" w:pos="1588"/>
                <w:tab w:val="left" w:pos="1985"/>
              </w:tabs>
              <w:spacing w:before="0"/>
              <w:jc w:val="both"/>
              <w:rPr>
                <w:szCs w:val="24"/>
                <w:lang w:val="en-US"/>
              </w:rPr>
            </w:pPr>
            <w:r w:rsidRPr="00EC044E">
              <w:rPr>
                <w:szCs w:val="24"/>
                <w:lang w:val="en-US"/>
              </w:rPr>
              <w:t>Peer-to-Peer transactions currently consist of bank transfer which can take days to settle, with a digital wallet, users can send money to their friends and family directly from their phone in a matter of seconds.</w:t>
            </w:r>
          </w:p>
          <w:p w14:paraId="654EEB07" w14:textId="77777777" w:rsidR="00701906" w:rsidRPr="00EC044E" w:rsidRDefault="00701906" w:rsidP="00A24280">
            <w:pPr>
              <w:numPr>
                <w:ilvl w:val="0"/>
                <w:numId w:val="34"/>
              </w:numPr>
              <w:tabs>
                <w:tab w:val="left" w:pos="794"/>
                <w:tab w:val="left" w:pos="1191"/>
                <w:tab w:val="left" w:pos="1588"/>
                <w:tab w:val="left" w:pos="1985"/>
              </w:tabs>
              <w:spacing w:before="0"/>
              <w:jc w:val="both"/>
              <w:rPr>
                <w:szCs w:val="24"/>
                <w:lang w:val="en-US"/>
              </w:rPr>
            </w:pPr>
            <w:r w:rsidRPr="00EC044E">
              <w:rPr>
                <w:szCs w:val="24"/>
                <w:lang w:val="en-US"/>
              </w:rPr>
              <w:t>Paying monthly utility bills is regularly an onerous task resulting in large segments of the workforce waiting many hours of productive time every month.</w:t>
            </w:r>
          </w:p>
          <w:p w14:paraId="1F9B5E1C" w14:textId="77777777" w:rsidR="00701906" w:rsidRPr="00EC044E" w:rsidRDefault="00701906" w:rsidP="00A24280">
            <w:pPr>
              <w:numPr>
                <w:ilvl w:val="0"/>
                <w:numId w:val="34"/>
              </w:numPr>
              <w:tabs>
                <w:tab w:val="left" w:pos="794"/>
                <w:tab w:val="left" w:pos="1191"/>
                <w:tab w:val="left" w:pos="1588"/>
                <w:tab w:val="left" w:pos="1985"/>
              </w:tabs>
              <w:spacing w:before="0"/>
              <w:jc w:val="both"/>
              <w:rPr>
                <w:szCs w:val="24"/>
                <w:lang w:val="en-US"/>
              </w:rPr>
            </w:pPr>
            <w:r>
              <w:rPr>
                <w:szCs w:val="24"/>
                <w:lang w:val="en-US"/>
              </w:rPr>
              <w:t>Many persons obtain foreign</w:t>
            </w:r>
            <w:r w:rsidRPr="00EC044E">
              <w:rPr>
                <w:szCs w:val="24"/>
                <w:lang w:val="en-US"/>
              </w:rPr>
              <w:t xml:space="preserve"> exchange from street dealers in order to travel within the region increasing the risk of financial loss.</w:t>
            </w:r>
          </w:p>
          <w:p w14:paraId="26762799" w14:textId="77777777" w:rsidR="00701906" w:rsidRPr="00EC044E" w:rsidRDefault="00701906" w:rsidP="008A3BB8">
            <w:pPr>
              <w:tabs>
                <w:tab w:val="left" w:pos="794"/>
                <w:tab w:val="left" w:pos="1191"/>
                <w:tab w:val="left" w:pos="1588"/>
                <w:tab w:val="left" w:pos="1985"/>
              </w:tabs>
              <w:jc w:val="both"/>
              <w:rPr>
                <w:szCs w:val="24"/>
                <w:lang w:val="en-US"/>
              </w:rPr>
            </w:pPr>
            <w:r w:rsidRPr="00EC044E">
              <w:rPr>
                <w:szCs w:val="24"/>
                <w:lang w:val="en-US"/>
              </w:rPr>
              <w:t>Government</w:t>
            </w:r>
          </w:p>
          <w:p w14:paraId="1DD9E0BE" w14:textId="77777777" w:rsidR="00701906" w:rsidRPr="00EC044E" w:rsidRDefault="00701906" w:rsidP="00A24280">
            <w:pPr>
              <w:numPr>
                <w:ilvl w:val="0"/>
                <w:numId w:val="30"/>
              </w:numPr>
              <w:tabs>
                <w:tab w:val="left" w:pos="794"/>
                <w:tab w:val="left" w:pos="1191"/>
                <w:tab w:val="left" w:pos="1588"/>
                <w:tab w:val="left" w:pos="1985"/>
              </w:tabs>
              <w:jc w:val="both"/>
              <w:rPr>
                <w:szCs w:val="24"/>
                <w:lang w:val="en-US"/>
              </w:rPr>
            </w:pPr>
            <w:r w:rsidRPr="00EC044E">
              <w:rPr>
                <w:szCs w:val="24"/>
                <w:lang w:val="en-US"/>
              </w:rPr>
              <w:t>The drive to improve efficiency in the public sector is especially important in the Caribbean, where the size of Governments on a per capita basis, and the ‘government intensity’ of GDP, is higher than most countries. E-government platforms and digtization of public services more broadly, are gaining adoption therefore. A CBDC is complementary to this effort and could bolster the level of transparency and auditability of the flow of funds into and out of Government agencies.</w:t>
            </w:r>
          </w:p>
          <w:p w14:paraId="4A8F896D" w14:textId="77777777" w:rsidR="00701906" w:rsidRPr="00EC044E" w:rsidRDefault="00701906" w:rsidP="00A24280">
            <w:pPr>
              <w:numPr>
                <w:ilvl w:val="0"/>
                <w:numId w:val="30"/>
              </w:numPr>
              <w:tabs>
                <w:tab w:val="left" w:pos="794"/>
                <w:tab w:val="left" w:pos="1191"/>
                <w:tab w:val="left" w:pos="1588"/>
                <w:tab w:val="left" w:pos="1985"/>
              </w:tabs>
              <w:spacing w:before="0"/>
              <w:jc w:val="both"/>
              <w:rPr>
                <w:szCs w:val="24"/>
                <w:lang w:val="en-US"/>
              </w:rPr>
            </w:pPr>
            <w:r w:rsidRPr="00EC044E">
              <w:rPr>
                <w:szCs w:val="24"/>
                <w:lang w:val="en-US"/>
              </w:rPr>
              <w:t>In countries where there is a substantial unbanked population, an e-government platform could serve to further marginalize and exclude them. But this could be counteracted if a CBDC is used on a mobile payments platform that is integrated with the e-government platform, as a payment option, alongside the traditional payment mechanisms such as credit cards, debit cards, bank transfers, etc.</w:t>
            </w:r>
          </w:p>
          <w:p w14:paraId="7F980178" w14:textId="77777777" w:rsidR="00701906" w:rsidRPr="00EC044E" w:rsidRDefault="00701906" w:rsidP="008A3BB8">
            <w:pPr>
              <w:tabs>
                <w:tab w:val="left" w:pos="794"/>
                <w:tab w:val="left" w:pos="1191"/>
                <w:tab w:val="left" w:pos="1588"/>
                <w:tab w:val="left" w:pos="1985"/>
              </w:tabs>
              <w:jc w:val="both"/>
              <w:rPr>
                <w:szCs w:val="24"/>
                <w:lang w:val="en-US"/>
              </w:rPr>
            </w:pPr>
          </w:p>
        </w:tc>
      </w:tr>
      <w:tr w:rsidR="00701906" w:rsidRPr="00EC044E" w14:paraId="014B0513" w14:textId="77777777" w:rsidTr="008A3BB8">
        <w:tc>
          <w:tcPr>
            <w:tcW w:w="9781" w:type="dxa"/>
            <w:tcBorders>
              <w:top w:val="single" w:sz="6" w:space="0" w:color="000000"/>
              <w:left w:val="single" w:sz="6" w:space="0" w:color="000000"/>
              <w:bottom w:val="single" w:sz="6" w:space="0" w:color="000000"/>
              <w:right w:val="single" w:sz="6" w:space="0" w:color="000000"/>
            </w:tcBorders>
            <w:shd w:val="clear" w:color="auto" w:fill="D9D9D9"/>
          </w:tcPr>
          <w:p w14:paraId="370621CA"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Why Distributed Ledger Technology?</w:t>
            </w:r>
          </w:p>
        </w:tc>
      </w:tr>
      <w:tr w:rsidR="00701906" w:rsidRPr="00EC044E" w14:paraId="5146F8FA" w14:textId="77777777" w:rsidTr="008A3BB8">
        <w:tc>
          <w:tcPr>
            <w:tcW w:w="9781" w:type="dxa"/>
            <w:tcBorders>
              <w:top w:val="single" w:sz="6" w:space="0" w:color="000000"/>
              <w:left w:val="single" w:sz="6" w:space="0" w:color="000000"/>
              <w:bottom w:val="single" w:sz="6" w:space="0" w:color="000000"/>
              <w:right w:val="single" w:sz="6" w:space="0" w:color="000000"/>
            </w:tcBorders>
          </w:tcPr>
          <w:p w14:paraId="360E5057"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Distributed ledger technology has a number of features that enable secure, efficient, transparent, and robust transaction of CBDCs.</w:t>
            </w:r>
          </w:p>
          <w:p w14:paraId="5E2CFA6A" w14:textId="77777777" w:rsidR="00701906" w:rsidRPr="00EC044E" w:rsidRDefault="00701906" w:rsidP="00A24280">
            <w:pPr>
              <w:numPr>
                <w:ilvl w:val="0"/>
                <w:numId w:val="36"/>
              </w:numPr>
              <w:tabs>
                <w:tab w:val="left" w:pos="794"/>
                <w:tab w:val="left" w:pos="1191"/>
                <w:tab w:val="left" w:pos="1588"/>
                <w:tab w:val="left" w:pos="1985"/>
              </w:tabs>
              <w:rPr>
                <w:szCs w:val="24"/>
                <w:lang w:val="en-US"/>
              </w:rPr>
            </w:pPr>
            <w:r w:rsidRPr="00EC044E">
              <w:rPr>
                <w:szCs w:val="24"/>
                <w:lang w:val="en-US"/>
              </w:rPr>
              <w:t>Elimination of single point of failure risk; multiple nodes operated by various stakeholders constantly verify ledger state and process transactions.</w:t>
            </w:r>
          </w:p>
          <w:p w14:paraId="7E8F8D85" w14:textId="77777777" w:rsidR="00701906" w:rsidRPr="00EC044E" w:rsidRDefault="00701906" w:rsidP="00A24280">
            <w:pPr>
              <w:numPr>
                <w:ilvl w:val="0"/>
                <w:numId w:val="36"/>
              </w:numPr>
              <w:tabs>
                <w:tab w:val="left" w:pos="794"/>
                <w:tab w:val="left" w:pos="1191"/>
                <w:tab w:val="left" w:pos="1588"/>
                <w:tab w:val="left" w:pos="1985"/>
              </w:tabs>
              <w:spacing w:before="0"/>
              <w:rPr>
                <w:szCs w:val="24"/>
                <w:lang w:val="en-US"/>
              </w:rPr>
            </w:pPr>
            <w:r w:rsidRPr="00EC044E">
              <w:rPr>
                <w:szCs w:val="24"/>
                <w:lang w:val="en-US"/>
              </w:rPr>
              <w:t>Elimination of counterfeit currency; real time node validation ensures only authentic currency issued by the Central Bank is transacted on the network.</w:t>
            </w:r>
          </w:p>
          <w:p w14:paraId="64351F6D" w14:textId="77777777" w:rsidR="00701906" w:rsidRPr="00EC044E" w:rsidRDefault="00701906" w:rsidP="00A24280">
            <w:pPr>
              <w:numPr>
                <w:ilvl w:val="0"/>
                <w:numId w:val="36"/>
              </w:numPr>
              <w:tabs>
                <w:tab w:val="left" w:pos="794"/>
                <w:tab w:val="left" w:pos="1191"/>
                <w:tab w:val="left" w:pos="1588"/>
                <w:tab w:val="left" w:pos="1985"/>
              </w:tabs>
              <w:spacing w:before="0"/>
              <w:rPr>
                <w:szCs w:val="24"/>
                <w:lang w:val="en-US"/>
              </w:rPr>
            </w:pPr>
            <w:r w:rsidRPr="00EC044E">
              <w:rPr>
                <w:szCs w:val="24"/>
                <w:lang w:val="en-US"/>
              </w:rPr>
              <w:t>Enforcement of 100% AML Compliance; only entities approved by the Central Bank (LFIs and WSPs) can access the CBDC network for the purpose of building payment applications, enabling clients to transact on the network.</w:t>
            </w:r>
          </w:p>
          <w:p w14:paraId="65037907" w14:textId="77777777" w:rsidR="00701906" w:rsidRPr="00EC044E" w:rsidRDefault="00701906" w:rsidP="00A24280">
            <w:pPr>
              <w:numPr>
                <w:ilvl w:val="0"/>
                <w:numId w:val="36"/>
              </w:numPr>
              <w:tabs>
                <w:tab w:val="left" w:pos="794"/>
                <w:tab w:val="left" w:pos="1191"/>
                <w:tab w:val="left" w:pos="1588"/>
                <w:tab w:val="left" w:pos="1985"/>
              </w:tabs>
              <w:spacing w:before="0" w:after="60"/>
              <w:rPr>
                <w:szCs w:val="24"/>
                <w:lang w:val="en-US"/>
              </w:rPr>
            </w:pPr>
            <w:r w:rsidRPr="00EC044E">
              <w:rPr>
                <w:szCs w:val="24"/>
                <w:lang w:val="en-US"/>
              </w:rPr>
              <w:t>Provision of low cost payments; DLT lowers the cost electronic payments, facilitating financial inclusion and economic participation.</w:t>
            </w:r>
          </w:p>
        </w:tc>
      </w:tr>
    </w:tbl>
    <w:p w14:paraId="353189A2" w14:textId="77777777" w:rsidR="00701906" w:rsidRPr="00EC044E" w:rsidRDefault="00701906" w:rsidP="00701906">
      <w:pPr>
        <w:tabs>
          <w:tab w:val="left" w:pos="794"/>
          <w:tab w:val="left" w:pos="1191"/>
          <w:tab w:val="left" w:pos="1588"/>
          <w:tab w:val="left" w:pos="1985"/>
        </w:tabs>
        <w:spacing w:before="0"/>
        <w:rPr>
          <w:b/>
          <w:szCs w:val="24"/>
          <w:lang w:val="en-US"/>
        </w:rPr>
      </w:pPr>
    </w:p>
    <w:p w14:paraId="4879D49B" w14:textId="779ED0E9" w:rsidR="00701906" w:rsidRPr="00421B73" w:rsidRDefault="00701906" w:rsidP="005157BE">
      <w:pPr>
        <w:pStyle w:val="Heading3"/>
        <w:numPr>
          <w:ilvl w:val="0"/>
          <w:numId w:val="0"/>
        </w:numPr>
        <w:ind w:left="720" w:hanging="720"/>
        <w:rPr>
          <w:lang w:val="en-US"/>
        </w:rPr>
      </w:pPr>
      <w:bookmarkStart w:id="89" w:name="_Toc12961943"/>
      <w:bookmarkStart w:id="90" w:name="_Toc14190308"/>
      <w:r w:rsidRPr="00421B73">
        <w:rPr>
          <w:lang w:val="en-US"/>
        </w:rPr>
        <w:t>Current process</w:t>
      </w:r>
      <w:bookmarkEnd w:id="89"/>
      <w:bookmarkEnd w:id="90"/>
    </w:p>
    <w:p w14:paraId="04DE2676" w14:textId="77777777" w:rsidR="00701906" w:rsidRPr="00EC044E" w:rsidRDefault="00701906" w:rsidP="00701906">
      <w:pPr>
        <w:tabs>
          <w:tab w:val="left" w:pos="794"/>
          <w:tab w:val="left" w:pos="1191"/>
          <w:tab w:val="left" w:pos="1588"/>
          <w:tab w:val="left" w:pos="1985"/>
        </w:tabs>
        <w:rPr>
          <w:b/>
          <w:szCs w:val="24"/>
          <w:lang w:val="en-US"/>
        </w:rPr>
      </w:pP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81"/>
      </w:tblGrid>
      <w:tr w:rsidR="00701906" w:rsidRPr="00EC044E" w14:paraId="28EC91D4" w14:textId="77777777" w:rsidTr="008A3BB8">
        <w:tc>
          <w:tcPr>
            <w:tcW w:w="9781" w:type="dxa"/>
            <w:tcBorders>
              <w:top w:val="single" w:sz="6" w:space="0" w:color="000000"/>
              <w:left w:val="single" w:sz="6" w:space="0" w:color="000000"/>
              <w:bottom w:val="single" w:sz="6" w:space="0" w:color="000000"/>
              <w:right w:val="single" w:sz="6" w:space="0" w:color="000000"/>
            </w:tcBorders>
            <w:shd w:val="clear" w:color="auto" w:fill="D9D9D9"/>
          </w:tcPr>
          <w:p w14:paraId="597642C6"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Current Solutions</w:t>
            </w:r>
          </w:p>
        </w:tc>
      </w:tr>
      <w:tr w:rsidR="00701906" w:rsidRPr="00EC044E" w14:paraId="0F1DFF34" w14:textId="77777777" w:rsidTr="008A3BB8">
        <w:tc>
          <w:tcPr>
            <w:tcW w:w="9781" w:type="dxa"/>
            <w:tcBorders>
              <w:top w:val="single" w:sz="6" w:space="0" w:color="000000"/>
              <w:left w:val="single" w:sz="6" w:space="0" w:color="000000"/>
              <w:bottom w:val="single" w:sz="6" w:space="0" w:color="000000"/>
              <w:right w:val="single" w:sz="6" w:space="0" w:color="000000"/>
            </w:tcBorders>
          </w:tcPr>
          <w:p w14:paraId="16A33B13" w14:textId="77777777" w:rsidR="00701906" w:rsidRPr="00EC044E" w:rsidRDefault="00701906" w:rsidP="008A3BB8">
            <w:pPr>
              <w:tabs>
                <w:tab w:val="left" w:pos="794"/>
                <w:tab w:val="left" w:pos="1191"/>
                <w:tab w:val="left" w:pos="1588"/>
                <w:tab w:val="left" w:pos="1985"/>
              </w:tabs>
              <w:jc w:val="both"/>
              <w:rPr>
                <w:szCs w:val="24"/>
                <w:lang w:val="en-US"/>
              </w:rPr>
            </w:pPr>
            <w:r w:rsidRPr="00EC044E">
              <w:rPr>
                <w:szCs w:val="24"/>
                <w:lang w:val="en-US"/>
              </w:rPr>
              <w:t>Notes and coins comprise the only Central Bank money that is available to retail level users. Deposits are represented electronically, but aren’t guaranteed by the Central Bank, however they are guaranteed by the Licensed Financial Institutions (LFI) on whose balance sheet they lie.</w:t>
            </w:r>
          </w:p>
        </w:tc>
      </w:tr>
    </w:tbl>
    <w:p w14:paraId="0CD42351" w14:textId="77777777" w:rsidR="00701906" w:rsidRPr="00EC044E" w:rsidRDefault="00701906" w:rsidP="00701906">
      <w:pPr>
        <w:tabs>
          <w:tab w:val="left" w:pos="794"/>
          <w:tab w:val="left" w:pos="1191"/>
          <w:tab w:val="left" w:pos="1588"/>
          <w:tab w:val="left" w:pos="1985"/>
        </w:tabs>
        <w:rPr>
          <w:b/>
          <w:szCs w:val="24"/>
          <w:lang w:val="en-US"/>
        </w:rPr>
      </w:pPr>
    </w:p>
    <w:tbl>
      <w:tblPr>
        <w:tblW w:w="978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780"/>
        <w:gridCol w:w="4020"/>
        <w:gridCol w:w="4980"/>
      </w:tblGrid>
      <w:tr w:rsidR="00701906" w:rsidRPr="00EC044E" w14:paraId="734DE6D5" w14:textId="77777777" w:rsidTr="008A3BB8">
        <w:trPr>
          <w:trHeight w:val="280"/>
        </w:trPr>
        <w:tc>
          <w:tcPr>
            <w:tcW w:w="9780" w:type="dxa"/>
            <w:gridSpan w:val="3"/>
            <w:tcBorders>
              <w:top w:val="single" w:sz="6" w:space="0" w:color="000000"/>
              <w:left w:val="single" w:sz="6" w:space="0" w:color="000000"/>
              <w:bottom w:val="nil"/>
              <w:right w:val="single" w:sz="6" w:space="0" w:color="000000"/>
            </w:tcBorders>
            <w:shd w:val="clear" w:color="auto" w:fill="D9D9D9"/>
          </w:tcPr>
          <w:p w14:paraId="415BA175" w14:textId="77777777" w:rsidR="00701906" w:rsidRPr="00EC044E" w:rsidRDefault="00701906" w:rsidP="008A3BB8">
            <w:pPr>
              <w:tabs>
                <w:tab w:val="left" w:pos="794"/>
                <w:tab w:val="left" w:pos="1191"/>
                <w:tab w:val="left" w:pos="1588"/>
                <w:tab w:val="left" w:pos="1985"/>
              </w:tabs>
              <w:spacing w:before="0"/>
              <w:rPr>
                <w:szCs w:val="24"/>
                <w:lang w:val="en-US"/>
              </w:rPr>
            </w:pPr>
            <w:r w:rsidRPr="00EC044E">
              <w:rPr>
                <w:b/>
                <w:szCs w:val="24"/>
                <w:lang w:val="en-US"/>
              </w:rPr>
              <w:t>Existing Flow (as-is)</w:t>
            </w:r>
          </w:p>
        </w:tc>
      </w:tr>
      <w:tr w:rsidR="00701906" w:rsidRPr="00EC044E" w14:paraId="62250239" w14:textId="77777777" w:rsidTr="008A3BB8">
        <w:trPr>
          <w:trHeight w:val="280"/>
        </w:trPr>
        <w:tc>
          <w:tcPr>
            <w:tcW w:w="780" w:type="dxa"/>
            <w:tcBorders>
              <w:top w:val="single" w:sz="6" w:space="0" w:color="000000"/>
              <w:left w:val="single" w:sz="6" w:space="0" w:color="000000"/>
              <w:bottom w:val="nil"/>
              <w:right w:val="single" w:sz="6" w:space="0" w:color="000000"/>
            </w:tcBorders>
            <w:shd w:val="clear" w:color="auto" w:fill="D9D9D9"/>
          </w:tcPr>
          <w:p w14:paraId="0E9D77B6" w14:textId="77777777" w:rsidR="00701906" w:rsidRPr="00EC044E" w:rsidRDefault="00701906" w:rsidP="008A3BB8">
            <w:pPr>
              <w:tabs>
                <w:tab w:val="left" w:pos="794"/>
                <w:tab w:val="left" w:pos="1191"/>
                <w:tab w:val="left" w:pos="1588"/>
                <w:tab w:val="left" w:pos="1985"/>
              </w:tabs>
              <w:spacing w:before="0"/>
              <w:jc w:val="center"/>
              <w:rPr>
                <w:b/>
                <w:szCs w:val="24"/>
                <w:lang w:val="en-US"/>
              </w:rPr>
            </w:pPr>
            <w:r w:rsidRPr="00EC044E">
              <w:rPr>
                <w:b/>
                <w:szCs w:val="24"/>
                <w:lang w:val="en-US"/>
              </w:rPr>
              <w:t>Step</w:t>
            </w:r>
          </w:p>
        </w:tc>
        <w:tc>
          <w:tcPr>
            <w:tcW w:w="4020" w:type="dxa"/>
            <w:tcBorders>
              <w:top w:val="single" w:sz="6" w:space="0" w:color="000000"/>
              <w:left w:val="single" w:sz="6" w:space="0" w:color="000000"/>
              <w:bottom w:val="nil"/>
              <w:right w:val="single" w:sz="6" w:space="0" w:color="000000"/>
            </w:tcBorders>
            <w:shd w:val="clear" w:color="auto" w:fill="D9D9D9"/>
          </w:tcPr>
          <w:p w14:paraId="4A063E2F" w14:textId="77777777" w:rsidR="00701906" w:rsidRPr="00EC044E" w:rsidRDefault="00701906" w:rsidP="008A3BB8">
            <w:pPr>
              <w:tabs>
                <w:tab w:val="left" w:pos="794"/>
                <w:tab w:val="left" w:pos="1191"/>
                <w:tab w:val="left" w:pos="1588"/>
                <w:tab w:val="left" w:pos="1985"/>
              </w:tabs>
              <w:spacing w:before="0"/>
              <w:jc w:val="center"/>
              <w:rPr>
                <w:b/>
                <w:szCs w:val="24"/>
                <w:lang w:val="en-US"/>
              </w:rPr>
            </w:pPr>
            <w:r w:rsidRPr="00EC044E">
              <w:rPr>
                <w:b/>
                <w:szCs w:val="24"/>
                <w:lang w:val="en-US"/>
              </w:rPr>
              <w:t>User Actions</w:t>
            </w:r>
          </w:p>
        </w:tc>
        <w:tc>
          <w:tcPr>
            <w:tcW w:w="4980" w:type="dxa"/>
            <w:tcBorders>
              <w:top w:val="single" w:sz="6" w:space="0" w:color="000000"/>
              <w:left w:val="single" w:sz="6" w:space="0" w:color="000000"/>
              <w:bottom w:val="single" w:sz="6" w:space="0" w:color="000000"/>
              <w:right w:val="single" w:sz="6" w:space="0" w:color="000000"/>
            </w:tcBorders>
            <w:shd w:val="clear" w:color="auto" w:fill="D9D9D9"/>
          </w:tcPr>
          <w:p w14:paraId="6C8C6C56" w14:textId="77777777" w:rsidR="00701906" w:rsidRPr="00EC044E" w:rsidRDefault="00701906" w:rsidP="008A3BB8">
            <w:pPr>
              <w:tabs>
                <w:tab w:val="left" w:pos="794"/>
                <w:tab w:val="left" w:pos="1191"/>
                <w:tab w:val="left" w:pos="1588"/>
                <w:tab w:val="left" w:pos="1985"/>
              </w:tabs>
              <w:spacing w:before="0"/>
              <w:jc w:val="center"/>
              <w:rPr>
                <w:b/>
                <w:szCs w:val="24"/>
                <w:lang w:val="en-US"/>
              </w:rPr>
            </w:pPr>
            <w:r w:rsidRPr="00EC044E">
              <w:rPr>
                <w:b/>
                <w:szCs w:val="24"/>
                <w:lang w:val="en-US"/>
              </w:rPr>
              <w:t>System Actions</w:t>
            </w:r>
          </w:p>
        </w:tc>
      </w:tr>
      <w:tr w:rsidR="00701906" w:rsidRPr="00EC044E" w14:paraId="71CE0F23" w14:textId="77777777" w:rsidTr="008A3BB8">
        <w:trPr>
          <w:trHeight w:val="540"/>
        </w:trPr>
        <w:tc>
          <w:tcPr>
            <w:tcW w:w="780" w:type="dxa"/>
            <w:tcBorders>
              <w:top w:val="single" w:sz="6" w:space="0" w:color="000000"/>
              <w:left w:val="single" w:sz="6" w:space="0" w:color="000000"/>
              <w:bottom w:val="single" w:sz="6" w:space="0" w:color="000000"/>
              <w:right w:val="single" w:sz="6" w:space="0" w:color="000000"/>
            </w:tcBorders>
          </w:tcPr>
          <w:p w14:paraId="40D31C99"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1</w:t>
            </w:r>
          </w:p>
        </w:tc>
        <w:tc>
          <w:tcPr>
            <w:tcW w:w="4020" w:type="dxa"/>
            <w:tcBorders>
              <w:top w:val="single" w:sz="6" w:space="0" w:color="000000"/>
              <w:left w:val="single" w:sz="6" w:space="0" w:color="000000"/>
              <w:bottom w:val="single" w:sz="6" w:space="0" w:color="000000"/>
              <w:right w:val="single" w:sz="6" w:space="0" w:color="000000"/>
            </w:tcBorders>
          </w:tcPr>
          <w:p w14:paraId="7DFCF5E4"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Establish currency requirements and engage supplier with denominations and quantity</w:t>
            </w:r>
          </w:p>
        </w:tc>
        <w:tc>
          <w:tcPr>
            <w:tcW w:w="4980" w:type="dxa"/>
            <w:tcBorders>
              <w:top w:val="single" w:sz="6" w:space="0" w:color="000000"/>
              <w:left w:val="single" w:sz="6" w:space="0" w:color="000000"/>
              <w:bottom w:val="single" w:sz="6" w:space="0" w:color="000000"/>
              <w:right w:val="single" w:sz="6" w:space="0" w:color="000000"/>
            </w:tcBorders>
          </w:tcPr>
          <w:p w14:paraId="6C7223A3"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&lt;-</w:t>
            </w:r>
          </w:p>
        </w:tc>
      </w:tr>
      <w:tr w:rsidR="00701906" w:rsidRPr="00EC044E" w14:paraId="5C4AE45A" w14:textId="77777777" w:rsidTr="008A3BB8">
        <w:trPr>
          <w:trHeight w:val="540"/>
        </w:trPr>
        <w:tc>
          <w:tcPr>
            <w:tcW w:w="780" w:type="dxa"/>
            <w:tcBorders>
              <w:top w:val="single" w:sz="6" w:space="0" w:color="000000"/>
              <w:left w:val="single" w:sz="6" w:space="0" w:color="000000"/>
              <w:bottom w:val="single" w:sz="6" w:space="0" w:color="000000"/>
              <w:right w:val="single" w:sz="6" w:space="0" w:color="000000"/>
            </w:tcBorders>
          </w:tcPr>
          <w:p w14:paraId="0927935A"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2</w:t>
            </w:r>
          </w:p>
        </w:tc>
        <w:tc>
          <w:tcPr>
            <w:tcW w:w="4020" w:type="dxa"/>
            <w:tcBorders>
              <w:top w:val="single" w:sz="6" w:space="0" w:color="000000"/>
              <w:left w:val="single" w:sz="6" w:space="0" w:color="000000"/>
              <w:bottom w:val="single" w:sz="6" w:space="0" w:color="000000"/>
              <w:right w:val="single" w:sz="6" w:space="0" w:color="000000"/>
            </w:tcBorders>
          </w:tcPr>
          <w:p w14:paraId="4E4C8AE2"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 xml:space="preserve">Arrange delivery of currency stock </w:t>
            </w:r>
          </w:p>
        </w:tc>
        <w:tc>
          <w:tcPr>
            <w:tcW w:w="4980" w:type="dxa"/>
            <w:tcBorders>
              <w:top w:val="single" w:sz="6" w:space="0" w:color="000000"/>
              <w:left w:val="single" w:sz="6" w:space="0" w:color="000000"/>
              <w:bottom w:val="single" w:sz="6" w:space="0" w:color="000000"/>
              <w:right w:val="single" w:sz="6" w:space="0" w:color="000000"/>
            </w:tcBorders>
          </w:tcPr>
          <w:p w14:paraId="6978D9DD"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Enter currency denominations into inventory system</w:t>
            </w:r>
          </w:p>
        </w:tc>
      </w:tr>
      <w:tr w:rsidR="00701906" w:rsidRPr="00EC044E" w14:paraId="4CB27236" w14:textId="77777777" w:rsidTr="008A3BB8">
        <w:trPr>
          <w:trHeight w:val="540"/>
        </w:trPr>
        <w:tc>
          <w:tcPr>
            <w:tcW w:w="780" w:type="dxa"/>
            <w:tcBorders>
              <w:top w:val="single" w:sz="6" w:space="0" w:color="000000"/>
              <w:left w:val="single" w:sz="6" w:space="0" w:color="000000"/>
              <w:bottom w:val="single" w:sz="6" w:space="0" w:color="000000"/>
              <w:right w:val="single" w:sz="6" w:space="0" w:color="000000"/>
            </w:tcBorders>
          </w:tcPr>
          <w:p w14:paraId="40272E35"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3</w:t>
            </w:r>
          </w:p>
        </w:tc>
        <w:tc>
          <w:tcPr>
            <w:tcW w:w="4020" w:type="dxa"/>
            <w:tcBorders>
              <w:top w:val="single" w:sz="6" w:space="0" w:color="000000"/>
              <w:left w:val="single" w:sz="6" w:space="0" w:color="000000"/>
              <w:bottom w:val="single" w:sz="6" w:space="0" w:color="000000"/>
              <w:right w:val="single" w:sz="6" w:space="0" w:color="000000"/>
            </w:tcBorders>
          </w:tcPr>
          <w:p w14:paraId="3A24751B"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 xml:space="preserve">Issue currency to requesting licensed financial institutions </w:t>
            </w:r>
          </w:p>
        </w:tc>
        <w:tc>
          <w:tcPr>
            <w:tcW w:w="4980" w:type="dxa"/>
            <w:tcBorders>
              <w:top w:val="single" w:sz="6" w:space="0" w:color="000000"/>
              <w:left w:val="single" w:sz="6" w:space="0" w:color="000000"/>
              <w:bottom w:val="single" w:sz="6" w:space="0" w:color="000000"/>
              <w:right w:val="single" w:sz="6" w:space="0" w:color="000000"/>
            </w:tcBorders>
          </w:tcPr>
          <w:p w14:paraId="23AD5C16"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Enter currency into circulation.</w:t>
            </w:r>
          </w:p>
        </w:tc>
      </w:tr>
      <w:tr w:rsidR="00701906" w:rsidRPr="00EC044E" w14:paraId="46C9EABF" w14:textId="77777777" w:rsidTr="008A3BB8">
        <w:trPr>
          <w:trHeight w:val="540"/>
        </w:trPr>
        <w:tc>
          <w:tcPr>
            <w:tcW w:w="780" w:type="dxa"/>
            <w:tcBorders>
              <w:top w:val="single" w:sz="6" w:space="0" w:color="000000"/>
              <w:left w:val="single" w:sz="6" w:space="0" w:color="000000"/>
              <w:bottom w:val="single" w:sz="6" w:space="0" w:color="000000"/>
              <w:right w:val="single" w:sz="6" w:space="0" w:color="000000"/>
            </w:tcBorders>
          </w:tcPr>
          <w:p w14:paraId="74D460A0"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4</w:t>
            </w:r>
          </w:p>
        </w:tc>
        <w:tc>
          <w:tcPr>
            <w:tcW w:w="4020" w:type="dxa"/>
            <w:tcBorders>
              <w:top w:val="single" w:sz="6" w:space="0" w:color="000000"/>
              <w:left w:val="single" w:sz="6" w:space="0" w:color="000000"/>
              <w:bottom w:val="single" w:sz="6" w:space="0" w:color="000000"/>
              <w:right w:val="single" w:sz="6" w:space="0" w:color="000000"/>
            </w:tcBorders>
          </w:tcPr>
          <w:p w14:paraId="128BC041"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Redeem currency from financial institutions</w:t>
            </w:r>
          </w:p>
        </w:tc>
        <w:tc>
          <w:tcPr>
            <w:tcW w:w="4980" w:type="dxa"/>
            <w:tcBorders>
              <w:top w:val="single" w:sz="6" w:space="0" w:color="000000"/>
              <w:left w:val="single" w:sz="6" w:space="0" w:color="000000"/>
              <w:bottom w:val="single" w:sz="6" w:space="0" w:color="000000"/>
              <w:right w:val="single" w:sz="6" w:space="0" w:color="000000"/>
            </w:tcBorders>
          </w:tcPr>
          <w:p w14:paraId="165B4745"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&lt;-</w:t>
            </w:r>
          </w:p>
        </w:tc>
      </w:tr>
      <w:tr w:rsidR="00701906" w:rsidRPr="00EC044E" w14:paraId="72B4A79A" w14:textId="77777777" w:rsidTr="008A3BB8">
        <w:trPr>
          <w:trHeight w:val="540"/>
        </w:trPr>
        <w:tc>
          <w:tcPr>
            <w:tcW w:w="780" w:type="dxa"/>
            <w:tcBorders>
              <w:top w:val="single" w:sz="6" w:space="0" w:color="000000"/>
              <w:left w:val="single" w:sz="6" w:space="0" w:color="000000"/>
              <w:bottom w:val="single" w:sz="6" w:space="0" w:color="000000"/>
              <w:right w:val="single" w:sz="6" w:space="0" w:color="000000"/>
            </w:tcBorders>
          </w:tcPr>
          <w:p w14:paraId="4B3F8291"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5</w:t>
            </w:r>
          </w:p>
        </w:tc>
        <w:tc>
          <w:tcPr>
            <w:tcW w:w="4020" w:type="dxa"/>
            <w:tcBorders>
              <w:top w:val="single" w:sz="6" w:space="0" w:color="000000"/>
              <w:left w:val="single" w:sz="6" w:space="0" w:color="000000"/>
              <w:bottom w:val="single" w:sz="6" w:space="0" w:color="000000"/>
              <w:right w:val="single" w:sz="6" w:space="0" w:color="000000"/>
            </w:tcBorders>
          </w:tcPr>
          <w:p w14:paraId="5E80E511"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 xml:space="preserve">Sort currency, add fit notes / coins into stock </w:t>
            </w:r>
          </w:p>
        </w:tc>
        <w:tc>
          <w:tcPr>
            <w:tcW w:w="4980" w:type="dxa"/>
            <w:tcBorders>
              <w:top w:val="single" w:sz="6" w:space="0" w:color="000000"/>
              <w:left w:val="single" w:sz="6" w:space="0" w:color="000000"/>
              <w:bottom w:val="single" w:sz="6" w:space="0" w:color="000000"/>
              <w:right w:val="single" w:sz="6" w:space="0" w:color="000000"/>
            </w:tcBorders>
          </w:tcPr>
          <w:p w14:paraId="11E0A8B3"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Enter currency denominations into inventory system</w:t>
            </w:r>
          </w:p>
        </w:tc>
      </w:tr>
    </w:tbl>
    <w:p w14:paraId="178EB137" w14:textId="77777777" w:rsidR="00701906" w:rsidRPr="00EC044E" w:rsidRDefault="00701906" w:rsidP="00701906">
      <w:pPr>
        <w:tabs>
          <w:tab w:val="left" w:pos="794"/>
          <w:tab w:val="left" w:pos="1191"/>
          <w:tab w:val="left" w:pos="1588"/>
          <w:tab w:val="left" w:pos="1985"/>
        </w:tabs>
        <w:rPr>
          <w:b/>
          <w:szCs w:val="24"/>
          <w:lang w:val="en-US"/>
        </w:rPr>
      </w:pPr>
    </w:p>
    <w:p w14:paraId="7F0DEDD3" w14:textId="77777777" w:rsidR="00701906" w:rsidRPr="00EC044E" w:rsidRDefault="00701906" w:rsidP="00701906">
      <w:pPr>
        <w:tabs>
          <w:tab w:val="left" w:pos="794"/>
          <w:tab w:val="left" w:pos="1191"/>
          <w:tab w:val="left" w:pos="1588"/>
          <w:tab w:val="left" w:pos="1985"/>
        </w:tabs>
        <w:rPr>
          <w:b/>
          <w:szCs w:val="24"/>
          <w:lang w:val="en-US"/>
        </w:rPr>
      </w:pPr>
      <w:r w:rsidRPr="00EC044E">
        <w:rPr>
          <w:b/>
          <w:szCs w:val="24"/>
          <w:lang w:val="en-US"/>
        </w:rPr>
        <w:tab/>
      </w:r>
    </w:p>
    <w:tbl>
      <w:tblPr>
        <w:tblW w:w="97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18"/>
        <w:gridCol w:w="3900"/>
        <w:gridCol w:w="4950"/>
      </w:tblGrid>
      <w:tr w:rsidR="00701906" w:rsidRPr="00EC044E" w14:paraId="73A00241" w14:textId="77777777" w:rsidTr="008A3BB8">
        <w:trPr>
          <w:trHeight w:val="280"/>
        </w:trPr>
        <w:tc>
          <w:tcPr>
            <w:tcW w:w="9768" w:type="dxa"/>
            <w:gridSpan w:val="3"/>
            <w:tcBorders>
              <w:top w:val="single" w:sz="6" w:space="0" w:color="000000"/>
              <w:left w:val="single" w:sz="6" w:space="0" w:color="000000"/>
              <w:bottom w:val="nil"/>
              <w:right w:val="single" w:sz="6" w:space="0" w:color="000000"/>
            </w:tcBorders>
            <w:shd w:val="clear" w:color="auto" w:fill="D9D9D9"/>
          </w:tcPr>
          <w:p w14:paraId="5469A306"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Data and information (as-is)</w:t>
            </w:r>
          </w:p>
        </w:tc>
      </w:tr>
      <w:tr w:rsidR="00701906" w:rsidRPr="00EC044E" w14:paraId="1FAE2E22" w14:textId="77777777" w:rsidTr="008A3BB8">
        <w:trPr>
          <w:trHeight w:val="280"/>
        </w:trPr>
        <w:tc>
          <w:tcPr>
            <w:tcW w:w="918" w:type="dxa"/>
            <w:tcBorders>
              <w:top w:val="single" w:sz="6" w:space="0" w:color="000000"/>
              <w:left w:val="single" w:sz="6" w:space="0" w:color="000000"/>
              <w:bottom w:val="nil"/>
              <w:right w:val="single" w:sz="6" w:space="0" w:color="000000"/>
            </w:tcBorders>
            <w:shd w:val="clear" w:color="auto" w:fill="D9D9D9"/>
          </w:tcPr>
          <w:p w14:paraId="5C837917"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Data</w:t>
            </w:r>
          </w:p>
        </w:tc>
        <w:tc>
          <w:tcPr>
            <w:tcW w:w="3900" w:type="dxa"/>
            <w:tcBorders>
              <w:top w:val="single" w:sz="6" w:space="0" w:color="000000"/>
              <w:left w:val="single" w:sz="6" w:space="0" w:color="000000"/>
              <w:bottom w:val="nil"/>
              <w:right w:val="single" w:sz="6" w:space="0" w:color="000000"/>
            </w:tcBorders>
            <w:shd w:val="clear" w:color="auto" w:fill="D9D9D9"/>
          </w:tcPr>
          <w:p w14:paraId="3AC93C66"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Type</w:t>
            </w:r>
          </w:p>
        </w:tc>
        <w:tc>
          <w:tcPr>
            <w:tcW w:w="4950" w:type="dxa"/>
            <w:tcBorders>
              <w:top w:val="single" w:sz="6" w:space="0" w:color="000000"/>
              <w:left w:val="single" w:sz="6" w:space="0" w:color="000000"/>
              <w:bottom w:val="single" w:sz="6" w:space="0" w:color="000000"/>
              <w:right w:val="single" w:sz="6" w:space="0" w:color="000000"/>
            </w:tcBorders>
            <w:shd w:val="clear" w:color="auto" w:fill="D9D9D9"/>
          </w:tcPr>
          <w:p w14:paraId="551EF51D"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Description</w:t>
            </w:r>
          </w:p>
        </w:tc>
      </w:tr>
      <w:tr w:rsidR="00701906" w:rsidRPr="00EC044E" w14:paraId="603FDC1D" w14:textId="77777777" w:rsidTr="008A3BB8">
        <w:trPr>
          <w:trHeight w:val="540"/>
        </w:trPr>
        <w:tc>
          <w:tcPr>
            <w:tcW w:w="918" w:type="dxa"/>
            <w:tcBorders>
              <w:top w:val="single" w:sz="6" w:space="0" w:color="000000"/>
              <w:left w:val="single" w:sz="6" w:space="0" w:color="000000"/>
              <w:bottom w:val="single" w:sz="6" w:space="0" w:color="000000"/>
              <w:right w:val="single" w:sz="6" w:space="0" w:color="000000"/>
            </w:tcBorders>
          </w:tcPr>
          <w:p w14:paraId="782C8499" w14:textId="77777777" w:rsidR="00701906" w:rsidRPr="00EC044E" w:rsidRDefault="00701906" w:rsidP="008A3BB8">
            <w:pPr>
              <w:tabs>
                <w:tab w:val="left" w:pos="794"/>
                <w:tab w:val="left" w:pos="1191"/>
                <w:tab w:val="left" w:pos="1588"/>
                <w:tab w:val="left" w:pos="1985"/>
              </w:tabs>
              <w:rPr>
                <w:b/>
                <w:szCs w:val="24"/>
                <w:lang w:val="en-US"/>
              </w:rPr>
            </w:pPr>
            <w:r w:rsidRPr="00EC044E">
              <w:rPr>
                <w:b/>
                <w:szCs w:val="24"/>
                <w:lang w:val="en-US"/>
              </w:rPr>
              <w:t>1</w:t>
            </w:r>
          </w:p>
        </w:tc>
        <w:tc>
          <w:tcPr>
            <w:tcW w:w="3900" w:type="dxa"/>
            <w:tcBorders>
              <w:top w:val="single" w:sz="6" w:space="0" w:color="000000"/>
              <w:left w:val="single" w:sz="6" w:space="0" w:color="000000"/>
              <w:bottom w:val="single" w:sz="6" w:space="0" w:color="000000"/>
              <w:right w:val="single" w:sz="6" w:space="0" w:color="000000"/>
            </w:tcBorders>
          </w:tcPr>
          <w:p w14:paraId="5EE7CEE7"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Total Notes In Circulation</w:t>
            </w:r>
          </w:p>
        </w:tc>
        <w:tc>
          <w:tcPr>
            <w:tcW w:w="4950" w:type="dxa"/>
            <w:tcBorders>
              <w:top w:val="single" w:sz="6" w:space="0" w:color="000000"/>
              <w:left w:val="single" w:sz="6" w:space="0" w:color="000000"/>
              <w:bottom w:val="single" w:sz="6" w:space="0" w:color="000000"/>
              <w:right w:val="single" w:sz="6" w:space="0" w:color="000000"/>
            </w:tcBorders>
          </w:tcPr>
          <w:p w14:paraId="7DF94E5A"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&lt;-</w:t>
            </w:r>
          </w:p>
        </w:tc>
      </w:tr>
      <w:tr w:rsidR="00701906" w:rsidRPr="00EC044E" w14:paraId="77EA2143" w14:textId="77777777" w:rsidTr="008A3BB8">
        <w:trPr>
          <w:trHeight w:val="540"/>
        </w:trPr>
        <w:tc>
          <w:tcPr>
            <w:tcW w:w="918" w:type="dxa"/>
            <w:tcBorders>
              <w:top w:val="single" w:sz="6" w:space="0" w:color="000000"/>
              <w:left w:val="single" w:sz="6" w:space="0" w:color="000000"/>
              <w:bottom w:val="single" w:sz="6" w:space="0" w:color="000000"/>
              <w:right w:val="single" w:sz="6" w:space="0" w:color="000000"/>
            </w:tcBorders>
          </w:tcPr>
          <w:p w14:paraId="0CEC2379" w14:textId="77777777" w:rsidR="00701906" w:rsidRPr="00EC044E" w:rsidRDefault="00701906" w:rsidP="008A3BB8">
            <w:pPr>
              <w:tabs>
                <w:tab w:val="left" w:pos="794"/>
                <w:tab w:val="left" w:pos="1191"/>
                <w:tab w:val="left" w:pos="1588"/>
                <w:tab w:val="left" w:pos="1985"/>
              </w:tabs>
              <w:rPr>
                <w:b/>
                <w:szCs w:val="24"/>
                <w:lang w:val="en-US"/>
              </w:rPr>
            </w:pPr>
            <w:r w:rsidRPr="00EC044E">
              <w:rPr>
                <w:b/>
                <w:szCs w:val="24"/>
                <w:lang w:val="en-US"/>
              </w:rPr>
              <w:t>2</w:t>
            </w:r>
          </w:p>
        </w:tc>
        <w:tc>
          <w:tcPr>
            <w:tcW w:w="3900" w:type="dxa"/>
            <w:tcBorders>
              <w:top w:val="single" w:sz="6" w:space="0" w:color="000000"/>
              <w:left w:val="single" w:sz="6" w:space="0" w:color="000000"/>
              <w:bottom w:val="single" w:sz="6" w:space="0" w:color="000000"/>
              <w:right w:val="single" w:sz="6" w:space="0" w:color="000000"/>
            </w:tcBorders>
          </w:tcPr>
          <w:p w14:paraId="5A1991C0"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Total Coins in Circulation</w:t>
            </w:r>
          </w:p>
        </w:tc>
        <w:tc>
          <w:tcPr>
            <w:tcW w:w="4950" w:type="dxa"/>
            <w:tcBorders>
              <w:top w:val="single" w:sz="6" w:space="0" w:color="000000"/>
              <w:left w:val="single" w:sz="6" w:space="0" w:color="000000"/>
              <w:bottom w:val="single" w:sz="6" w:space="0" w:color="000000"/>
              <w:right w:val="single" w:sz="6" w:space="0" w:color="000000"/>
            </w:tcBorders>
          </w:tcPr>
          <w:p w14:paraId="21F966D1" w14:textId="77777777" w:rsidR="00701906" w:rsidRPr="00EC044E" w:rsidRDefault="00701906" w:rsidP="008A3BB8">
            <w:pPr>
              <w:tabs>
                <w:tab w:val="left" w:pos="794"/>
                <w:tab w:val="left" w:pos="1191"/>
                <w:tab w:val="left" w:pos="1588"/>
                <w:tab w:val="left" w:pos="1985"/>
              </w:tabs>
              <w:rPr>
                <w:szCs w:val="24"/>
                <w:highlight w:val="yellow"/>
                <w:lang w:val="en-US"/>
              </w:rPr>
            </w:pPr>
            <w:r w:rsidRPr="00EC044E">
              <w:rPr>
                <w:szCs w:val="24"/>
                <w:lang w:val="en-US"/>
              </w:rPr>
              <w:t>&lt;-</w:t>
            </w:r>
          </w:p>
        </w:tc>
      </w:tr>
      <w:tr w:rsidR="00701906" w:rsidRPr="00EC044E" w14:paraId="352183E4" w14:textId="77777777" w:rsidTr="008A3BB8">
        <w:trPr>
          <w:trHeight w:val="540"/>
        </w:trPr>
        <w:tc>
          <w:tcPr>
            <w:tcW w:w="918" w:type="dxa"/>
            <w:tcBorders>
              <w:top w:val="single" w:sz="6" w:space="0" w:color="000000"/>
              <w:left w:val="single" w:sz="6" w:space="0" w:color="000000"/>
              <w:bottom w:val="single" w:sz="6" w:space="0" w:color="000000"/>
              <w:right w:val="single" w:sz="6" w:space="0" w:color="000000"/>
            </w:tcBorders>
          </w:tcPr>
          <w:p w14:paraId="6C0AF02A" w14:textId="77777777" w:rsidR="00701906" w:rsidRPr="00EC044E" w:rsidRDefault="00701906" w:rsidP="008A3BB8">
            <w:pPr>
              <w:tabs>
                <w:tab w:val="left" w:pos="794"/>
                <w:tab w:val="left" w:pos="1191"/>
                <w:tab w:val="left" w:pos="1588"/>
                <w:tab w:val="left" w:pos="1985"/>
              </w:tabs>
              <w:rPr>
                <w:b/>
                <w:szCs w:val="24"/>
                <w:lang w:val="en-US"/>
              </w:rPr>
            </w:pPr>
            <w:r w:rsidRPr="00EC044E">
              <w:rPr>
                <w:b/>
                <w:szCs w:val="24"/>
                <w:lang w:val="en-US"/>
              </w:rPr>
              <w:t>3.</w:t>
            </w:r>
          </w:p>
        </w:tc>
        <w:tc>
          <w:tcPr>
            <w:tcW w:w="3900" w:type="dxa"/>
            <w:tcBorders>
              <w:top w:val="single" w:sz="6" w:space="0" w:color="000000"/>
              <w:left w:val="single" w:sz="6" w:space="0" w:color="000000"/>
              <w:bottom w:val="single" w:sz="6" w:space="0" w:color="000000"/>
              <w:right w:val="single" w:sz="6" w:space="0" w:color="000000"/>
            </w:tcBorders>
          </w:tcPr>
          <w:p w14:paraId="7AAC5997"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Lifespan of notes and coins</w:t>
            </w:r>
          </w:p>
        </w:tc>
        <w:tc>
          <w:tcPr>
            <w:tcW w:w="4950" w:type="dxa"/>
            <w:tcBorders>
              <w:top w:val="single" w:sz="6" w:space="0" w:color="000000"/>
              <w:left w:val="single" w:sz="6" w:space="0" w:color="000000"/>
              <w:bottom w:val="single" w:sz="6" w:space="0" w:color="000000"/>
              <w:right w:val="single" w:sz="6" w:space="0" w:color="000000"/>
            </w:tcBorders>
          </w:tcPr>
          <w:p w14:paraId="40F5EA12" w14:textId="77777777" w:rsidR="00701906" w:rsidRPr="00EC044E" w:rsidRDefault="00701906" w:rsidP="008A3BB8">
            <w:pPr>
              <w:tabs>
                <w:tab w:val="left" w:pos="794"/>
                <w:tab w:val="left" w:pos="1191"/>
                <w:tab w:val="left" w:pos="1588"/>
                <w:tab w:val="left" w:pos="1985"/>
              </w:tabs>
              <w:rPr>
                <w:szCs w:val="24"/>
                <w:highlight w:val="yellow"/>
                <w:lang w:val="en-US"/>
              </w:rPr>
            </w:pPr>
            <w:r w:rsidRPr="00EC044E">
              <w:rPr>
                <w:szCs w:val="24"/>
                <w:lang w:val="en-US"/>
              </w:rPr>
              <w:t>&lt;-</w:t>
            </w:r>
          </w:p>
        </w:tc>
      </w:tr>
      <w:tr w:rsidR="00701906" w:rsidRPr="00EC044E" w14:paraId="75ACCB3A" w14:textId="77777777" w:rsidTr="008A3BB8">
        <w:trPr>
          <w:trHeight w:val="540"/>
        </w:trPr>
        <w:tc>
          <w:tcPr>
            <w:tcW w:w="918" w:type="dxa"/>
            <w:tcBorders>
              <w:top w:val="single" w:sz="6" w:space="0" w:color="000000"/>
              <w:left w:val="single" w:sz="6" w:space="0" w:color="000000"/>
              <w:bottom w:val="single" w:sz="6" w:space="0" w:color="000000"/>
              <w:right w:val="single" w:sz="6" w:space="0" w:color="000000"/>
            </w:tcBorders>
          </w:tcPr>
          <w:p w14:paraId="61CD8304" w14:textId="77777777" w:rsidR="00701906" w:rsidRPr="00EC044E" w:rsidRDefault="00701906" w:rsidP="008A3BB8">
            <w:pPr>
              <w:tabs>
                <w:tab w:val="left" w:pos="794"/>
                <w:tab w:val="left" w:pos="1191"/>
                <w:tab w:val="left" w:pos="1588"/>
                <w:tab w:val="left" w:pos="1985"/>
              </w:tabs>
              <w:rPr>
                <w:b/>
                <w:szCs w:val="24"/>
                <w:lang w:val="en-US"/>
              </w:rPr>
            </w:pPr>
            <w:r w:rsidRPr="00EC044E">
              <w:rPr>
                <w:b/>
                <w:szCs w:val="24"/>
                <w:lang w:val="en-US"/>
              </w:rPr>
              <w:t>4</w:t>
            </w:r>
          </w:p>
        </w:tc>
        <w:tc>
          <w:tcPr>
            <w:tcW w:w="3900" w:type="dxa"/>
            <w:tcBorders>
              <w:top w:val="single" w:sz="6" w:space="0" w:color="000000"/>
              <w:left w:val="single" w:sz="6" w:space="0" w:color="000000"/>
              <w:bottom w:val="single" w:sz="6" w:space="0" w:color="000000"/>
              <w:right w:val="single" w:sz="6" w:space="0" w:color="000000"/>
            </w:tcBorders>
          </w:tcPr>
          <w:p w14:paraId="24280B58"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Notes and Coins circulated by specific LFI</w:t>
            </w:r>
          </w:p>
        </w:tc>
        <w:tc>
          <w:tcPr>
            <w:tcW w:w="4950" w:type="dxa"/>
            <w:tcBorders>
              <w:top w:val="single" w:sz="6" w:space="0" w:color="000000"/>
              <w:left w:val="single" w:sz="6" w:space="0" w:color="000000"/>
              <w:bottom w:val="single" w:sz="6" w:space="0" w:color="000000"/>
              <w:right w:val="single" w:sz="6" w:space="0" w:color="000000"/>
            </w:tcBorders>
          </w:tcPr>
          <w:p w14:paraId="2F47EF1C" w14:textId="77777777" w:rsidR="00701906" w:rsidRPr="00EC044E" w:rsidRDefault="00701906" w:rsidP="008A3BB8">
            <w:pPr>
              <w:tabs>
                <w:tab w:val="left" w:pos="794"/>
                <w:tab w:val="left" w:pos="1191"/>
                <w:tab w:val="left" w:pos="1588"/>
                <w:tab w:val="left" w:pos="1985"/>
              </w:tabs>
              <w:rPr>
                <w:szCs w:val="24"/>
                <w:highlight w:val="yellow"/>
                <w:lang w:val="en-US"/>
              </w:rPr>
            </w:pPr>
            <w:r w:rsidRPr="00EC044E">
              <w:rPr>
                <w:szCs w:val="24"/>
                <w:lang w:val="en-US"/>
              </w:rPr>
              <w:t>&lt;-</w:t>
            </w:r>
          </w:p>
        </w:tc>
      </w:tr>
      <w:tr w:rsidR="00701906" w:rsidRPr="00EC044E" w14:paraId="70BF5B03" w14:textId="77777777" w:rsidTr="008A3BB8">
        <w:trPr>
          <w:trHeight w:val="540"/>
        </w:trPr>
        <w:tc>
          <w:tcPr>
            <w:tcW w:w="918" w:type="dxa"/>
            <w:tcBorders>
              <w:top w:val="single" w:sz="6" w:space="0" w:color="000000"/>
              <w:left w:val="single" w:sz="6" w:space="0" w:color="000000"/>
              <w:bottom w:val="single" w:sz="6" w:space="0" w:color="000000"/>
              <w:right w:val="single" w:sz="6" w:space="0" w:color="000000"/>
            </w:tcBorders>
          </w:tcPr>
          <w:p w14:paraId="00FD69E8" w14:textId="77777777" w:rsidR="00701906" w:rsidRPr="00EC044E" w:rsidRDefault="00701906" w:rsidP="008A3BB8">
            <w:pPr>
              <w:tabs>
                <w:tab w:val="left" w:pos="794"/>
                <w:tab w:val="left" w:pos="1191"/>
                <w:tab w:val="left" w:pos="1588"/>
                <w:tab w:val="left" w:pos="1985"/>
              </w:tabs>
              <w:rPr>
                <w:b/>
                <w:szCs w:val="24"/>
                <w:lang w:val="en-US"/>
              </w:rPr>
            </w:pPr>
            <w:r w:rsidRPr="00EC044E">
              <w:rPr>
                <w:b/>
                <w:szCs w:val="24"/>
                <w:lang w:val="en-US"/>
              </w:rPr>
              <w:t>5</w:t>
            </w:r>
          </w:p>
        </w:tc>
        <w:tc>
          <w:tcPr>
            <w:tcW w:w="3900" w:type="dxa"/>
            <w:tcBorders>
              <w:top w:val="single" w:sz="6" w:space="0" w:color="000000"/>
              <w:left w:val="single" w:sz="6" w:space="0" w:color="000000"/>
              <w:bottom w:val="single" w:sz="6" w:space="0" w:color="000000"/>
              <w:right w:val="single" w:sz="6" w:space="0" w:color="000000"/>
            </w:tcBorders>
          </w:tcPr>
          <w:p w14:paraId="14D4AA3F"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Historical data on the demand for new notes and coins</w:t>
            </w:r>
          </w:p>
        </w:tc>
        <w:tc>
          <w:tcPr>
            <w:tcW w:w="4950" w:type="dxa"/>
            <w:tcBorders>
              <w:top w:val="single" w:sz="6" w:space="0" w:color="000000"/>
              <w:left w:val="single" w:sz="6" w:space="0" w:color="000000"/>
              <w:bottom w:val="single" w:sz="6" w:space="0" w:color="000000"/>
              <w:right w:val="single" w:sz="6" w:space="0" w:color="000000"/>
            </w:tcBorders>
          </w:tcPr>
          <w:p w14:paraId="3D93F8DF" w14:textId="77777777" w:rsidR="00701906" w:rsidRPr="00EC044E" w:rsidRDefault="00701906" w:rsidP="008A3BB8">
            <w:pPr>
              <w:tabs>
                <w:tab w:val="left" w:pos="794"/>
                <w:tab w:val="left" w:pos="1191"/>
                <w:tab w:val="left" w:pos="1588"/>
                <w:tab w:val="left" w:pos="1985"/>
              </w:tabs>
              <w:rPr>
                <w:szCs w:val="24"/>
                <w:highlight w:val="yellow"/>
                <w:lang w:val="en-US"/>
              </w:rPr>
            </w:pPr>
            <w:r w:rsidRPr="00EC044E">
              <w:rPr>
                <w:szCs w:val="24"/>
                <w:lang w:val="en-US"/>
              </w:rPr>
              <w:t>&lt;-</w:t>
            </w:r>
          </w:p>
        </w:tc>
      </w:tr>
      <w:tr w:rsidR="00701906" w:rsidRPr="00EC044E" w14:paraId="426F3E1B" w14:textId="77777777" w:rsidTr="008A3BB8">
        <w:trPr>
          <w:trHeight w:val="540"/>
        </w:trPr>
        <w:tc>
          <w:tcPr>
            <w:tcW w:w="918" w:type="dxa"/>
            <w:tcBorders>
              <w:top w:val="single" w:sz="6" w:space="0" w:color="000000"/>
              <w:left w:val="single" w:sz="6" w:space="0" w:color="000000"/>
              <w:bottom w:val="single" w:sz="6" w:space="0" w:color="000000"/>
              <w:right w:val="single" w:sz="6" w:space="0" w:color="000000"/>
            </w:tcBorders>
          </w:tcPr>
          <w:p w14:paraId="78137C12" w14:textId="77777777" w:rsidR="00701906" w:rsidRPr="00EC044E" w:rsidRDefault="00701906" w:rsidP="008A3BB8">
            <w:pPr>
              <w:tabs>
                <w:tab w:val="left" w:pos="794"/>
                <w:tab w:val="left" w:pos="1191"/>
                <w:tab w:val="left" w:pos="1588"/>
                <w:tab w:val="left" w:pos="1985"/>
              </w:tabs>
              <w:rPr>
                <w:b/>
                <w:szCs w:val="24"/>
                <w:lang w:val="en-US"/>
              </w:rPr>
            </w:pPr>
            <w:r w:rsidRPr="00EC044E">
              <w:rPr>
                <w:b/>
                <w:szCs w:val="24"/>
                <w:lang w:val="en-US"/>
              </w:rPr>
              <w:t>6</w:t>
            </w:r>
          </w:p>
        </w:tc>
        <w:tc>
          <w:tcPr>
            <w:tcW w:w="3900" w:type="dxa"/>
            <w:tcBorders>
              <w:top w:val="single" w:sz="6" w:space="0" w:color="000000"/>
              <w:left w:val="single" w:sz="6" w:space="0" w:color="000000"/>
              <w:bottom w:val="single" w:sz="6" w:space="0" w:color="000000"/>
              <w:right w:val="single" w:sz="6" w:space="0" w:color="000000"/>
            </w:tcBorders>
          </w:tcPr>
          <w:p w14:paraId="1E8BB3A8"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Foreign reserve balances that contribute to the currency backing ratio</w:t>
            </w:r>
          </w:p>
        </w:tc>
        <w:tc>
          <w:tcPr>
            <w:tcW w:w="4950" w:type="dxa"/>
            <w:tcBorders>
              <w:top w:val="single" w:sz="6" w:space="0" w:color="000000"/>
              <w:left w:val="single" w:sz="6" w:space="0" w:color="000000"/>
              <w:bottom w:val="single" w:sz="6" w:space="0" w:color="000000"/>
              <w:right w:val="single" w:sz="6" w:space="0" w:color="000000"/>
            </w:tcBorders>
          </w:tcPr>
          <w:p w14:paraId="7077E3E8" w14:textId="77777777" w:rsidR="00701906" w:rsidRPr="00EC044E" w:rsidRDefault="00701906" w:rsidP="008A3BB8">
            <w:pPr>
              <w:tabs>
                <w:tab w:val="left" w:pos="794"/>
                <w:tab w:val="left" w:pos="1191"/>
                <w:tab w:val="left" w:pos="1588"/>
                <w:tab w:val="left" w:pos="1985"/>
              </w:tabs>
              <w:rPr>
                <w:szCs w:val="24"/>
                <w:highlight w:val="yellow"/>
                <w:lang w:val="en-US"/>
              </w:rPr>
            </w:pPr>
            <w:r w:rsidRPr="00EC044E">
              <w:rPr>
                <w:szCs w:val="24"/>
                <w:lang w:val="en-US"/>
              </w:rPr>
              <w:t>&lt;-</w:t>
            </w:r>
          </w:p>
        </w:tc>
      </w:tr>
    </w:tbl>
    <w:p w14:paraId="40AE7158" w14:textId="77777777" w:rsidR="00701906" w:rsidRPr="00EC044E" w:rsidRDefault="00701906" w:rsidP="00701906">
      <w:pPr>
        <w:tabs>
          <w:tab w:val="left" w:pos="794"/>
          <w:tab w:val="left" w:pos="1191"/>
          <w:tab w:val="left" w:pos="1588"/>
          <w:tab w:val="left" w:pos="1985"/>
        </w:tabs>
        <w:rPr>
          <w:b/>
          <w:szCs w:val="24"/>
          <w:lang w:val="en-US"/>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18"/>
        <w:gridCol w:w="2476"/>
        <w:gridCol w:w="6379"/>
      </w:tblGrid>
      <w:tr w:rsidR="00701906" w:rsidRPr="00EC044E" w14:paraId="30020FE7" w14:textId="77777777" w:rsidTr="008A3BB8">
        <w:trPr>
          <w:trHeight w:val="280"/>
        </w:trPr>
        <w:tc>
          <w:tcPr>
            <w:tcW w:w="9773" w:type="dxa"/>
            <w:gridSpan w:val="3"/>
            <w:tcBorders>
              <w:top w:val="single" w:sz="6" w:space="0" w:color="000000"/>
              <w:left w:val="single" w:sz="6" w:space="0" w:color="000000"/>
              <w:bottom w:val="nil"/>
              <w:right w:val="single" w:sz="6" w:space="0" w:color="000000"/>
            </w:tcBorders>
            <w:shd w:val="clear" w:color="auto" w:fill="D9D9D9"/>
          </w:tcPr>
          <w:p w14:paraId="7F3F0725"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Participants and their roles (as-is)</w:t>
            </w:r>
          </w:p>
        </w:tc>
      </w:tr>
      <w:tr w:rsidR="00701906" w:rsidRPr="00EC044E" w14:paraId="7705C778" w14:textId="77777777" w:rsidTr="008A3BB8">
        <w:trPr>
          <w:trHeight w:val="280"/>
        </w:trPr>
        <w:tc>
          <w:tcPr>
            <w:tcW w:w="918" w:type="dxa"/>
            <w:tcBorders>
              <w:top w:val="single" w:sz="6" w:space="0" w:color="000000"/>
              <w:left w:val="single" w:sz="6" w:space="0" w:color="000000"/>
              <w:bottom w:val="nil"/>
              <w:right w:val="single" w:sz="6" w:space="0" w:color="000000"/>
            </w:tcBorders>
            <w:shd w:val="clear" w:color="auto" w:fill="D9D9D9"/>
          </w:tcPr>
          <w:p w14:paraId="5A28D554"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Actor</w:t>
            </w:r>
          </w:p>
        </w:tc>
        <w:tc>
          <w:tcPr>
            <w:tcW w:w="2476" w:type="dxa"/>
            <w:tcBorders>
              <w:top w:val="single" w:sz="6" w:space="0" w:color="000000"/>
              <w:left w:val="single" w:sz="6" w:space="0" w:color="000000"/>
              <w:bottom w:val="nil"/>
              <w:right w:val="single" w:sz="6" w:space="0" w:color="000000"/>
            </w:tcBorders>
            <w:shd w:val="clear" w:color="auto" w:fill="D9D9D9"/>
          </w:tcPr>
          <w:p w14:paraId="6B8CCB22"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Type/Role</w:t>
            </w:r>
          </w:p>
        </w:tc>
        <w:tc>
          <w:tcPr>
            <w:tcW w:w="6379" w:type="dxa"/>
            <w:tcBorders>
              <w:top w:val="single" w:sz="6" w:space="0" w:color="000000"/>
              <w:left w:val="single" w:sz="6" w:space="0" w:color="000000"/>
              <w:bottom w:val="single" w:sz="6" w:space="0" w:color="000000"/>
              <w:right w:val="single" w:sz="6" w:space="0" w:color="000000"/>
            </w:tcBorders>
            <w:shd w:val="clear" w:color="auto" w:fill="D9D9D9"/>
          </w:tcPr>
          <w:p w14:paraId="1359CC78"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Description</w:t>
            </w:r>
          </w:p>
        </w:tc>
      </w:tr>
      <w:tr w:rsidR="00701906" w:rsidRPr="00EC044E" w14:paraId="5A67C876" w14:textId="77777777" w:rsidTr="008A3BB8">
        <w:trPr>
          <w:trHeight w:val="660"/>
        </w:trPr>
        <w:tc>
          <w:tcPr>
            <w:tcW w:w="918" w:type="dxa"/>
            <w:tcBorders>
              <w:top w:val="single" w:sz="6" w:space="0" w:color="000000"/>
              <w:left w:val="single" w:sz="6" w:space="0" w:color="000000"/>
              <w:bottom w:val="single" w:sz="6" w:space="0" w:color="000000"/>
              <w:right w:val="single" w:sz="6" w:space="0" w:color="000000"/>
            </w:tcBorders>
          </w:tcPr>
          <w:p w14:paraId="33C2496B" w14:textId="77777777" w:rsidR="00701906" w:rsidRPr="00EC044E" w:rsidRDefault="00701906" w:rsidP="008A3BB8">
            <w:pPr>
              <w:tabs>
                <w:tab w:val="left" w:pos="794"/>
                <w:tab w:val="left" w:pos="1191"/>
                <w:tab w:val="left" w:pos="1588"/>
                <w:tab w:val="left" w:pos="1985"/>
              </w:tabs>
              <w:rPr>
                <w:b/>
                <w:szCs w:val="24"/>
                <w:lang w:val="en-US"/>
              </w:rPr>
            </w:pPr>
            <w:r w:rsidRPr="00EC044E">
              <w:rPr>
                <w:b/>
                <w:szCs w:val="24"/>
                <w:lang w:val="en-US"/>
              </w:rPr>
              <w:t>1</w:t>
            </w:r>
          </w:p>
        </w:tc>
        <w:tc>
          <w:tcPr>
            <w:tcW w:w="2476" w:type="dxa"/>
            <w:tcBorders>
              <w:top w:val="single" w:sz="6" w:space="0" w:color="000000"/>
              <w:left w:val="single" w:sz="6" w:space="0" w:color="000000"/>
              <w:bottom w:val="single" w:sz="6" w:space="0" w:color="000000"/>
              <w:right w:val="single" w:sz="6" w:space="0" w:color="000000"/>
            </w:tcBorders>
          </w:tcPr>
          <w:p w14:paraId="3F876D68"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Central Bank</w:t>
            </w:r>
          </w:p>
        </w:tc>
        <w:tc>
          <w:tcPr>
            <w:tcW w:w="6379" w:type="dxa"/>
            <w:tcBorders>
              <w:top w:val="single" w:sz="6" w:space="0" w:color="000000"/>
              <w:left w:val="single" w:sz="6" w:space="0" w:color="000000"/>
              <w:bottom w:val="single" w:sz="6" w:space="0" w:color="000000"/>
              <w:right w:val="single" w:sz="6" w:space="0" w:color="000000"/>
            </w:tcBorders>
          </w:tcPr>
          <w:p w14:paraId="497CF8F6"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Financial institution responsible for issuance of legal tender, maintaining economic and financial stability</w:t>
            </w:r>
          </w:p>
        </w:tc>
      </w:tr>
      <w:tr w:rsidR="00701906" w:rsidRPr="00EC044E" w14:paraId="580714C2" w14:textId="77777777" w:rsidTr="008A3BB8">
        <w:trPr>
          <w:trHeight w:val="540"/>
        </w:trPr>
        <w:tc>
          <w:tcPr>
            <w:tcW w:w="918" w:type="dxa"/>
            <w:tcBorders>
              <w:top w:val="single" w:sz="6" w:space="0" w:color="000000"/>
              <w:left w:val="single" w:sz="6" w:space="0" w:color="000000"/>
              <w:bottom w:val="single" w:sz="6" w:space="0" w:color="000000"/>
              <w:right w:val="single" w:sz="6" w:space="0" w:color="000000"/>
            </w:tcBorders>
          </w:tcPr>
          <w:p w14:paraId="5A824190" w14:textId="77777777" w:rsidR="00701906" w:rsidRPr="00EC044E" w:rsidRDefault="00701906" w:rsidP="008A3BB8">
            <w:pPr>
              <w:tabs>
                <w:tab w:val="left" w:pos="794"/>
                <w:tab w:val="left" w:pos="1191"/>
                <w:tab w:val="left" w:pos="1588"/>
                <w:tab w:val="left" w:pos="1985"/>
              </w:tabs>
              <w:rPr>
                <w:b/>
                <w:szCs w:val="24"/>
                <w:lang w:val="en-US"/>
              </w:rPr>
            </w:pPr>
            <w:r w:rsidRPr="00EC044E">
              <w:rPr>
                <w:b/>
                <w:szCs w:val="24"/>
                <w:lang w:val="en-US"/>
              </w:rPr>
              <w:t>2</w:t>
            </w:r>
          </w:p>
        </w:tc>
        <w:tc>
          <w:tcPr>
            <w:tcW w:w="2476" w:type="dxa"/>
            <w:tcBorders>
              <w:top w:val="single" w:sz="6" w:space="0" w:color="000000"/>
              <w:left w:val="single" w:sz="6" w:space="0" w:color="000000"/>
              <w:bottom w:val="single" w:sz="6" w:space="0" w:color="000000"/>
              <w:right w:val="single" w:sz="6" w:space="0" w:color="000000"/>
            </w:tcBorders>
          </w:tcPr>
          <w:p w14:paraId="521A2454"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Commercial bank</w:t>
            </w:r>
          </w:p>
        </w:tc>
        <w:tc>
          <w:tcPr>
            <w:tcW w:w="6379" w:type="dxa"/>
            <w:tcBorders>
              <w:top w:val="single" w:sz="6" w:space="0" w:color="000000"/>
              <w:left w:val="single" w:sz="6" w:space="0" w:color="000000"/>
              <w:bottom w:val="single" w:sz="6" w:space="0" w:color="000000"/>
              <w:right w:val="single" w:sz="6" w:space="0" w:color="000000"/>
            </w:tcBorders>
          </w:tcPr>
          <w:p w14:paraId="4FF07D63"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Financial institution to provide transfer/payment between parts</w:t>
            </w:r>
          </w:p>
        </w:tc>
      </w:tr>
      <w:tr w:rsidR="00701906" w:rsidRPr="00EC044E" w14:paraId="43ED031A" w14:textId="77777777" w:rsidTr="008A3BB8">
        <w:trPr>
          <w:trHeight w:val="540"/>
        </w:trPr>
        <w:tc>
          <w:tcPr>
            <w:tcW w:w="918" w:type="dxa"/>
            <w:tcBorders>
              <w:top w:val="single" w:sz="6" w:space="0" w:color="000000"/>
              <w:left w:val="single" w:sz="6" w:space="0" w:color="000000"/>
              <w:bottom w:val="single" w:sz="6" w:space="0" w:color="000000"/>
              <w:right w:val="single" w:sz="6" w:space="0" w:color="000000"/>
            </w:tcBorders>
          </w:tcPr>
          <w:p w14:paraId="22B42F7E" w14:textId="77777777" w:rsidR="00701906" w:rsidRPr="00EC044E" w:rsidRDefault="00701906" w:rsidP="008A3BB8">
            <w:pPr>
              <w:tabs>
                <w:tab w:val="left" w:pos="794"/>
                <w:tab w:val="left" w:pos="1191"/>
                <w:tab w:val="left" w:pos="1588"/>
                <w:tab w:val="left" w:pos="1985"/>
              </w:tabs>
              <w:rPr>
                <w:b/>
                <w:szCs w:val="24"/>
                <w:lang w:val="en-US"/>
              </w:rPr>
            </w:pPr>
            <w:r w:rsidRPr="00EC044E">
              <w:rPr>
                <w:b/>
                <w:szCs w:val="24"/>
                <w:lang w:val="en-US"/>
              </w:rPr>
              <w:t>3</w:t>
            </w:r>
          </w:p>
        </w:tc>
        <w:tc>
          <w:tcPr>
            <w:tcW w:w="2476" w:type="dxa"/>
            <w:tcBorders>
              <w:top w:val="single" w:sz="6" w:space="0" w:color="000000"/>
              <w:left w:val="single" w:sz="6" w:space="0" w:color="000000"/>
              <w:bottom w:val="single" w:sz="6" w:space="0" w:color="000000"/>
              <w:right w:val="single" w:sz="6" w:space="0" w:color="000000"/>
            </w:tcBorders>
          </w:tcPr>
          <w:p w14:paraId="758EC684"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 xml:space="preserve">Retail Merchants </w:t>
            </w:r>
          </w:p>
        </w:tc>
        <w:tc>
          <w:tcPr>
            <w:tcW w:w="6379" w:type="dxa"/>
            <w:tcBorders>
              <w:top w:val="single" w:sz="6" w:space="0" w:color="000000"/>
              <w:left w:val="single" w:sz="6" w:space="0" w:color="000000"/>
              <w:bottom w:val="single" w:sz="6" w:space="0" w:color="000000"/>
              <w:right w:val="single" w:sz="6" w:space="0" w:color="000000"/>
            </w:tcBorders>
          </w:tcPr>
          <w:p w14:paraId="0162BCAE"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 xml:space="preserve">Provide goods and services to the public in exchange for payment </w:t>
            </w:r>
          </w:p>
        </w:tc>
      </w:tr>
      <w:tr w:rsidR="00701906" w:rsidRPr="00EC044E" w14:paraId="2AD16CB9" w14:textId="77777777" w:rsidTr="008A3BB8">
        <w:trPr>
          <w:trHeight w:val="540"/>
        </w:trPr>
        <w:tc>
          <w:tcPr>
            <w:tcW w:w="918" w:type="dxa"/>
            <w:tcBorders>
              <w:top w:val="single" w:sz="6" w:space="0" w:color="000000"/>
              <w:left w:val="single" w:sz="6" w:space="0" w:color="000000"/>
              <w:bottom w:val="single" w:sz="6" w:space="0" w:color="000000"/>
              <w:right w:val="single" w:sz="6" w:space="0" w:color="000000"/>
            </w:tcBorders>
          </w:tcPr>
          <w:p w14:paraId="769CD682" w14:textId="77777777" w:rsidR="00701906" w:rsidRPr="00EC044E" w:rsidRDefault="00701906" w:rsidP="008A3BB8">
            <w:pPr>
              <w:tabs>
                <w:tab w:val="left" w:pos="794"/>
                <w:tab w:val="left" w:pos="1191"/>
                <w:tab w:val="left" w:pos="1588"/>
                <w:tab w:val="left" w:pos="1985"/>
              </w:tabs>
              <w:rPr>
                <w:b/>
                <w:szCs w:val="24"/>
                <w:lang w:val="en-US"/>
              </w:rPr>
            </w:pPr>
            <w:r w:rsidRPr="00EC044E">
              <w:rPr>
                <w:b/>
                <w:szCs w:val="24"/>
                <w:lang w:val="en-US"/>
              </w:rPr>
              <w:t>4</w:t>
            </w:r>
          </w:p>
        </w:tc>
        <w:tc>
          <w:tcPr>
            <w:tcW w:w="2476" w:type="dxa"/>
            <w:tcBorders>
              <w:top w:val="single" w:sz="6" w:space="0" w:color="000000"/>
              <w:left w:val="single" w:sz="6" w:space="0" w:color="000000"/>
              <w:bottom w:val="single" w:sz="6" w:space="0" w:color="000000"/>
              <w:right w:val="single" w:sz="6" w:space="0" w:color="000000"/>
            </w:tcBorders>
          </w:tcPr>
          <w:p w14:paraId="79DE2B44"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 xml:space="preserve">Users </w:t>
            </w:r>
          </w:p>
        </w:tc>
        <w:tc>
          <w:tcPr>
            <w:tcW w:w="6379" w:type="dxa"/>
            <w:tcBorders>
              <w:top w:val="single" w:sz="6" w:space="0" w:color="000000"/>
              <w:left w:val="single" w:sz="6" w:space="0" w:color="000000"/>
              <w:bottom w:val="single" w:sz="6" w:space="0" w:color="000000"/>
              <w:right w:val="single" w:sz="6" w:space="0" w:color="000000"/>
            </w:tcBorders>
          </w:tcPr>
          <w:p w14:paraId="5B2EBB39"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Partake in the economy through the purchase of goods and services and by sending money to friends and family</w:t>
            </w:r>
          </w:p>
        </w:tc>
      </w:tr>
    </w:tbl>
    <w:p w14:paraId="3F44C814" w14:textId="77777777" w:rsidR="00701906" w:rsidRPr="00EC044E" w:rsidRDefault="00701906" w:rsidP="00701906">
      <w:pPr>
        <w:tabs>
          <w:tab w:val="left" w:pos="794"/>
          <w:tab w:val="left" w:pos="1191"/>
          <w:tab w:val="left" w:pos="1588"/>
          <w:tab w:val="left" w:pos="1985"/>
        </w:tabs>
        <w:rPr>
          <w:b/>
          <w:szCs w:val="24"/>
          <w:lang w:val="en-US"/>
        </w:rPr>
      </w:pPr>
    </w:p>
    <w:p w14:paraId="63135703" w14:textId="196F903B" w:rsidR="00701906" w:rsidRPr="00421B73" w:rsidRDefault="00701906" w:rsidP="005157BE">
      <w:pPr>
        <w:pStyle w:val="Heading3"/>
        <w:numPr>
          <w:ilvl w:val="0"/>
          <w:numId w:val="0"/>
        </w:numPr>
        <w:ind w:left="720" w:hanging="720"/>
        <w:rPr>
          <w:lang w:val="en-US"/>
        </w:rPr>
      </w:pPr>
      <w:bookmarkStart w:id="91" w:name="_Toc12961944"/>
      <w:bookmarkStart w:id="92" w:name="_Toc14190309"/>
      <w:r w:rsidRPr="00421B73">
        <w:rPr>
          <w:lang w:val="en-US"/>
        </w:rPr>
        <w:t>Expected process</w:t>
      </w:r>
      <w:bookmarkEnd w:id="91"/>
      <w:bookmarkEnd w:id="92"/>
    </w:p>
    <w:p w14:paraId="77FDF21E" w14:textId="77777777" w:rsidR="00701906" w:rsidRPr="00EC044E" w:rsidRDefault="00701906" w:rsidP="00701906">
      <w:pPr>
        <w:tabs>
          <w:tab w:val="left" w:pos="794"/>
          <w:tab w:val="left" w:pos="1191"/>
          <w:tab w:val="left" w:pos="1588"/>
          <w:tab w:val="left" w:pos="1985"/>
        </w:tabs>
        <w:rPr>
          <w:b/>
          <w:szCs w:val="24"/>
          <w:u w:val="single"/>
          <w:lang w:val="en-US"/>
        </w:rPr>
      </w:pPr>
    </w:p>
    <w:tbl>
      <w:tblPr>
        <w:tblW w:w="97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080"/>
        <w:gridCol w:w="3075"/>
        <w:gridCol w:w="5615"/>
      </w:tblGrid>
      <w:tr w:rsidR="00701906" w:rsidRPr="00EC044E" w14:paraId="46649E05" w14:textId="77777777" w:rsidTr="008A3BB8">
        <w:trPr>
          <w:trHeight w:val="280"/>
        </w:trPr>
        <w:tc>
          <w:tcPr>
            <w:tcW w:w="9770" w:type="dxa"/>
            <w:gridSpan w:val="3"/>
            <w:tcBorders>
              <w:top w:val="single" w:sz="6" w:space="0" w:color="000000"/>
              <w:left w:val="single" w:sz="6" w:space="0" w:color="000000"/>
              <w:bottom w:val="nil"/>
              <w:right w:val="single" w:sz="6" w:space="0" w:color="000000"/>
            </w:tcBorders>
            <w:shd w:val="clear" w:color="auto" w:fill="D9D9D9"/>
          </w:tcPr>
          <w:p w14:paraId="643E558B"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Expected Flow (to-be)</w:t>
            </w:r>
          </w:p>
        </w:tc>
      </w:tr>
      <w:tr w:rsidR="00701906" w:rsidRPr="00EC044E" w14:paraId="46FDD23B" w14:textId="77777777" w:rsidTr="008A3BB8">
        <w:trPr>
          <w:trHeight w:val="280"/>
        </w:trPr>
        <w:tc>
          <w:tcPr>
            <w:tcW w:w="1080" w:type="dxa"/>
            <w:tcBorders>
              <w:top w:val="single" w:sz="6" w:space="0" w:color="000000"/>
              <w:left w:val="single" w:sz="6" w:space="0" w:color="000000"/>
              <w:bottom w:val="nil"/>
              <w:right w:val="single" w:sz="6" w:space="0" w:color="000000"/>
            </w:tcBorders>
            <w:shd w:val="clear" w:color="auto" w:fill="D9D9D9"/>
          </w:tcPr>
          <w:p w14:paraId="1D0F0E92" w14:textId="77777777" w:rsidR="00701906" w:rsidRPr="00EC044E" w:rsidRDefault="00701906" w:rsidP="008A3BB8">
            <w:pPr>
              <w:tabs>
                <w:tab w:val="left" w:pos="794"/>
                <w:tab w:val="left" w:pos="1191"/>
                <w:tab w:val="left" w:pos="1588"/>
                <w:tab w:val="left" w:pos="1985"/>
              </w:tabs>
              <w:spacing w:before="0"/>
              <w:jc w:val="center"/>
              <w:rPr>
                <w:b/>
                <w:szCs w:val="24"/>
                <w:lang w:val="en-US"/>
              </w:rPr>
            </w:pPr>
            <w:r w:rsidRPr="00EC044E">
              <w:rPr>
                <w:b/>
                <w:szCs w:val="24"/>
                <w:lang w:val="en-US"/>
              </w:rPr>
              <w:t>Step</w:t>
            </w:r>
          </w:p>
        </w:tc>
        <w:tc>
          <w:tcPr>
            <w:tcW w:w="3075" w:type="dxa"/>
            <w:tcBorders>
              <w:top w:val="single" w:sz="6" w:space="0" w:color="000000"/>
              <w:left w:val="single" w:sz="6" w:space="0" w:color="000000"/>
              <w:bottom w:val="nil"/>
              <w:right w:val="single" w:sz="6" w:space="0" w:color="000000"/>
            </w:tcBorders>
            <w:shd w:val="clear" w:color="auto" w:fill="D9D9D9"/>
          </w:tcPr>
          <w:p w14:paraId="65AEA7F7" w14:textId="77777777" w:rsidR="00701906" w:rsidRPr="00EC044E" w:rsidRDefault="00701906" w:rsidP="008A3BB8">
            <w:pPr>
              <w:tabs>
                <w:tab w:val="left" w:pos="794"/>
                <w:tab w:val="left" w:pos="1191"/>
                <w:tab w:val="left" w:pos="1588"/>
                <w:tab w:val="left" w:pos="1985"/>
              </w:tabs>
              <w:spacing w:before="0"/>
              <w:jc w:val="center"/>
              <w:rPr>
                <w:b/>
                <w:szCs w:val="24"/>
                <w:lang w:val="en-US"/>
              </w:rPr>
            </w:pPr>
            <w:r w:rsidRPr="00EC044E">
              <w:rPr>
                <w:b/>
                <w:szCs w:val="24"/>
                <w:lang w:val="en-US"/>
              </w:rPr>
              <w:t>User Actions</w:t>
            </w:r>
          </w:p>
        </w:tc>
        <w:tc>
          <w:tcPr>
            <w:tcW w:w="5615" w:type="dxa"/>
            <w:tcBorders>
              <w:top w:val="single" w:sz="6" w:space="0" w:color="000000"/>
              <w:left w:val="single" w:sz="6" w:space="0" w:color="000000"/>
              <w:bottom w:val="single" w:sz="6" w:space="0" w:color="000000"/>
              <w:right w:val="single" w:sz="6" w:space="0" w:color="000000"/>
            </w:tcBorders>
            <w:shd w:val="clear" w:color="auto" w:fill="D9D9D9"/>
          </w:tcPr>
          <w:p w14:paraId="786EA005" w14:textId="77777777" w:rsidR="00701906" w:rsidRPr="00EC044E" w:rsidRDefault="00701906" w:rsidP="008A3BB8">
            <w:pPr>
              <w:tabs>
                <w:tab w:val="left" w:pos="794"/>
                <w:tab w:val="left" w:pos="1191"/>
                <w:tab w:val="left" w:pos="1588"/>
                <w:tab w:val="left" w:pos="1985"/>
              </w:tabs>
              <w:spacing w:before="0"/>
              <w:jc w:val="center"/>
              <w:rPr>
                <w:b/>
                <w:szCs w:val="24"/>
                <w:lang w:val="en-US"/>
              </w:rPr>
            </w:pPr>
            <w:r w:rsidRPr="00EC044E">
              <w:rPr>
                <w:b/>
                <w:szCs w:val="24"/>
                <w:lang w:val="en-US"/>
              </w:rPr>
              <w:t>System Actions</w:t>
            </w:r>
          </w:p>
        </w:tc>
      </w:tr>
      <w:tr w:rsidR="00701906" w:rsidRPr="00EC044E" w14:paraId="758BBA29" w14:textId="77777777" w:rsidTr="008A3BB8">
        <w:trPr>
          <w:trHeight w:val="540"/>
        </w:trPr>
        <w:tc>
          <w:tcPr>
            <w:tcW w:w="1080" w:type="dxa"/>
            <w:tcBorders>
              <w:top w:val="single" w:sz="6" w:space="0" w:color="000000"/>
              <w:left w:val="single" w:sz="6" w:space="0" w:color="000000"/>
              <w:bottom w:val="single" w:sz="6" w:space="0" w:color="000000"/>
              <w:right w:val="single" w:sz="6" w:space="0" w:color="000000"/>
            </w:tcBorders>
          </w:tcPr>
          <w:p w14:paraId="1277095D"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1.</w:t>
            </w:r>
          </w:p>
        </w:tc>
        <w:tc>
          <w:tcPr>
            <w:tcW w:w="3075" w:type="dxa"/>
            <w:tcBorders>
              <w:top w:val="single" w:sz="6" w:space="0" w:color="000000"/>
              <w:left w:val="single" w:sz="6" w:space="0" w:color="000000"/>
              <w:bottom w:val="single" w:sz="6" w:space="0" w:color="000000"/>
              <w:right w:val="single" w:sz="6" w:space="0" w:color="000000"/>
            </w:tcBorders>
          </w:tcPr>
          <w:p w14:paraId="7BAEE5C9"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Central Bank issues digital legal tender in CBDC blockchain network.</w:t>
            </w:r>
          </w:p>
        </w:tc>
        <w:tc>
          <w:tcPr>
            <w:tcW w:w="5615" w:type="dxa"/>
            <w:tcBorders>
              <w:top w:val="single" w:sz="6" w:space="0" w:color="000000"/>
              <w:left w:val="single" w:sz="6" w:space="0" w:color="000000"/>
              <w:bottom w:val="single" w:sz="6" w:space="0" w:color="000000"/>
              <w:right w:val="single" w:sz="6" w:space="0" w:color="000000"/>
            </w:tcBorders>
          </w:tcPr>
          <w:p w14:paraId="7FB24847"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New CBDC units created on network, creation by Central Bank verified cryptographically via network.</w:t>
            </w:r>
          </w:p>
        </w:tc>
      </w:tr>
      <w:tr w:rsidR="00701906" w:rsidRPr="00EC044E" w14:paraId="73C3D9C2" w14:textId="77777777" w:rsidTr="008A3BB8">
        <w:trPr>
          <w:trHeight w:val="540"/>
        </w:trPr>
        <w:tc>
          <w:tcPr>
            <w:tcW w:w="1080" w:type="dxa"/>
            <w:tcBorders>
              <w:top w:val="single" w:sz="6" w:space="0" w:color="000000"/>
              <w:left w:val="single" w:sz="6" w:space="0" w:color="000000"/>
              <w:bottom w:val="single" w:sz="6" w:space="0" w:color="000000"/>
              <w:right w:val="single" w:sz="6" w:space="0" w:color="000000"/>
            </w:tcBorders>
          </w:tcPr>
          <w:p w14:paraId="0C71A62B"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 xml:space="preserve">2. </w:t>
            </w:r>
          </w:p>
        </w:tc>
        <w:tc>
          <w:tcPr>
            <w:tcW w:w="3075" w:type="dxa"/>
            <w:tcBorders>
              <w:top w:val="single" w:sz="6" w:space="0" w:color="000000"/>
              <w:left w:val="single" w:sz="6" w:space="0" w:color="000000"/>
              <w:bottom w:val="single" w:sz="6" w:space="0" w:color="000000"/>
              <w:right w:val="single" w:sz="6" w:space="0" w:color="000000"/>
            </w:tcBorders>
          </w:tcPr>
          <w:p w14:paraId="4DCB2915" w14:textId="1A2D16A7" w:rsidR="00701906" w:rsidRPr="001F7B51" w:rsidRDefault="00701906" w:rsidP="008A3BB8">
            <w:pPr>
              <w:tabs>
                <w:tab w:val="left" w:pos="794"/>
                <w:tab w:val="left" w:pos="1191"/>
                <w:tab w:val="left" w:pos="1588"/>
                <w:tab w:val="left" w:pos="1985"/>
              </w:tabs>
              <w:spacing w:after="60"/>
              <w:rPr>
                <w:szCs w:val="24"/>
                <w:lang w:val="en-US"/>
              </w:rPr>
            </w:pPr>
            <w:r w:rsidRPr="00EC044E">
              <w:rPr>
                <w:szCs w:val="24"/>
                <w:lang w:val="en-US"/>
              </w:rPr>
              <w:t>LFI / WSP requests CBDC from Central Bank.</w:t>
            </w:r>
          </w:p>
        </w:tc>
        <w:tc>
          <w:tcPr>
            <w:tcW w:w="5615" w:type="dxa"/>
            <w:tcBorders>
              <w:top w:val="single" w:sz="6" w:space="0" w:color="000000"/>
              <w:left w:val="single" w:sz="6" w:space="0" w:color="000000"/>
              <w:bottom w:val="single" w:sz="6" w:space="0" w:color="000000"/>
              <w:right w:val="single" w:sz="6" w:space="0" w:color="000000"/>
            </w:tcBorders>
          </w:tcPr>
          <w:p w14:paraId="4D7099A9" w14:textId="4ECAB5E5" w:rsidR="00701906" w:rsidRPr="001F7B51" w:rsidRDefault="00701906" w:rsidP="008A3BB8">
            <w:pPr>
              <w:tabs>
                <w:tab w:val="left" w:pos="794"/>
                <w:tab w:val="left" w:pos="1191"/>
                <w:tab w:val="left" w:pos="1588"/>
                <w:tab w:val="left" w:pos="1985"/>
              </w:tabs>
              <w:spacing w:after="60"/>
              <w:rPr>
                <w:szCs w:val="24"/>
                <w:lang w:val="en-US"/>
              </w:rPr>
            </w:pPr>
            <w:r w:rsidRPr="00EC044E">
              <w:rPr>
                <w:szCs w:val="24"/>
                <w:lang w:val="en-US"/>
              </w:rPr>
              <w:t>Request message sent through secure platform, and received by Central Bank via Central Bank Management Panel.</w:t>
            </w:r>
          </w:p>
        </w:tc>
      </w:tr>
      <w:tr w:rsidR="00701906" w:rsidRPr="00EC044E" w14:paraId="5A70E73F" w14:textId="77777777" w:rsidTr="008A3BB8">
        <w:trPr>
          <w:trHeight w:val="540"/>
        </w:trPr>
        <w:tc>
          <w:tcPr>
            <w:tcW w:w="1080" w:type="dxa"/>
            <w:tcBorders>
              <w:top w:val="single" w:sz="6" w:space="0" w:color="000000"/>
              <w:left w:val="single" w:sz="6" w:space="0" w:color="000000"/>
              <w:bottom w:val="single" w:sz="6" w:space="0" w:color="000000"/>
              <w:right w:val="single" w:sz="6" w:space="0" w:color="000000"/>
            </w:tcBorders>
          </w:tcPr>
          <w:p w14:paraId="3B85E0DC"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3.</w:t>
            </w:r>
          </w:p>
        </w:tc>
        <w:tc>
          <w:tcPr>
            <w:tcW w:w="3075" w:type="dxa"/>
            <w:tcBorders>
              <w:top w:val="single" w:sz="6" w:space="0" w:color="000000"/>
              <w:left w:val="single" w:sz="6" w:space="0" w:color="000000"/>
              <w:bottom w:val="single" w:sz="6" w:space="0" w:color="000000"/>
              <w:right w:val="single" w:sz="6" w:space="0" w:color="000000"/>
            </w:tcBorders>
          </w:tcPr>
          <w:p w14:paraId="7BCD4670" w14:textId="51B0F8FE" w:rsidR="00701906" w:rsidRPr="001F7B51" w:rsidRDefault="00701906" w:rsidP="008A3BB8">
            <w:pPr>
              <w:tabs>
                <w:tab w:val="left" w:pos="794"/>
                <w:tab w:val="left" w:pos="1191"/>
                <w:tab w:val="left" w:pos="1588"/>
                <w:tab w:val="left" w:pos="1985"/>
              </w:tabs>
              <w:spacing w:after="60"/>
              <w:rPr>
                <w:szCs w:val="24"/>
                <w:highlight w:val="yellow"/>
                <w:lang w:val="en-US"/>
              </w:rPr>
            </w:pPr>
            <w:r w:rsidRPr="00EC044E">
              <w:rPr>
                <w:szCs w:val="24"/>
                <w:lang w:val="en-US"/>
              </w:rPr>
              <w:t>Central Bank approves request and sends specific amount of CBDC to LFI / WSP per contractual terms.</w:t>
            </w:r>
          </w:p>
        </w:tc>
        <w:tc>
          <w:tcPr>
            <w:tcW w:w="5615" w:type="dxa"/>
            <w:tcBorders>
              <w:top w:val="single" w:sz="6" w:space="0" w:color="000000"/>
              <w:left w:val="single" w:sz="6" w:space="0" w:color="000000"/>
              <w:bottom w:val="single" w:sz="6" w:space="0" w:color="000000"/>
              <w:right w:val="single" w:sz="6" w:space="0" w:color="000000"/>
            </w:tcBorders>
          </w:tcPr>
          <w:p w14:paraId="0D142F8D"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CBDC sent from Central Bank wallet to LFI / WSP wallet; balances are managed via web-based panels (Central Bank panel and LFI Panel).</w:t>
            </w:r>
          </w:p>
        </w:tc>
      </w:tr>
      <w:tr w:rsidR="00701906" w:rsidRPr="00EC044E" w14:paraId="53D570C5" w14:textId="77777777" w:rsidTr="008A3BB8">
        <w:trPr>
          <w:trHeight w:val="540"/>
        </w:trPr>
        <w:tc>
          <w:tcPr>
            <w:tcW w:w="1080" w:type="dxa"/>
            <w:tcBorders>
              <w:top w:val="single" w:sz="6" w:space="0" w:color="000000"/>
              <w:left w:val="single" w:sz="6" w:space="0" w:color="000000"/>
              <w:bottom w:val="single" w:sz="6" w:space="0" w:color="000000"/>
              <w:right w:val="single" w:sz="6" w:space="0" w:color="000000"/>
            </w:tcBorders>
          </w:tcPr>
          <w:p w14:paraId="3864507A"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Trigger event</w:t>
            </w:r>
          </w:p>
        </w:tc>
        <w:tc>
          <w:tcPr>
            <w:tcW w:w="3075" w:type="dxa"/>
            <w:tcBorders>
              <w:top w:val="single" w:sz="6" w:space="0" w:color="000000"/>
              <w:left w:val="single" w:sz="6" w:space="0" w:color="000000"/>
              <w:bottom w:val="single" w:sz="6" w:space="0" w:color="000000"/>
              <w:right w:val="single" w:sz="6" w:space="0" w:color="000000"/>
            </w:tcBorders>
          </w:tcPr>
          <w:p w14:paraId="7B702412" w14:textId="77777777" w:rsidR="00701906" w:rsidRPr="00EC044E" w:rsidRDefault="00701906" w:rsidP="008A3BB8">
            <w:pPr>
              <w:tabs>
                <w:tab w:val="left" w:pos="794"/>
                <w:tab w:val="left" w:pos="1191"/>
                <w:tab w:val="left" w:pos="1588"/>
                <w:tab w:val="left" w:pos="1985"/>
              </w:tabs>
              <w:spacing w:after="60"/>
              <w:rPr>
                <w:szCs w:val="24"/>
                <w:highlight w:val="yellow"/>
                <w:lang w:val="en-US"/>
              </w:rPr>
            </w:pPr>
            <w:r w:rsidRPr="00EC044E">
              <w:rPr>
                <w:szCs w:val="24"/>
                <w:lang w:val="en-US"/>
              </w:rPr>
              <w:t>LFI / WSP provides CBDC to their clients in exchange for deposits.</w:t>
            </w:r>
          </w:p>
        </w:tc>
        <w:tc>
          <w:tcPr>
            <w:tcW w:w="5615" w:type="dxa"/>
            <w:tcBorders>
              <w:top w:val="single" w:sz="6" w:space="0" w:color="000000"/>
              <w:left w:val="single" w:sz="6" w:space="0" w:color="000000"/>
              <w:bottom w:val="single" w:sz="6" w:space="0" w:color="000000"/>
              <w:right w:val="single" w:sz="6" w:space="0" w:color="000000"/>
            </w:tcBorders>
          </w:tcPr>
          <w:p w14:paraId="1824B8E2" w14:textId="77777777" w:rsidR="00701906" w:rsidRPr="00EC044E" w:rsidRDefault="00701906" w:rsidP="008A3BB8">
            <w:pPr>
              <w:tabs>
                <w:tab w:val="left" w:pos="794"/>
                <w:tab w:val="left" w:pos="1191"/>
                <w:tab w:val="left" w:pos="1588"/>
                <w:tab w:val="left" w:pos="1985"/>
              </w:tabs>
              <w:spacing w:after="60"/>
              <w:rPr>
                <w:szCs w:val="24"/>
                <w:highlight w:val="yellow"/>
                <w:lang w:val="en-US"/>
              </w:rPr>
            </w:pPr>
            <w:r w:rsidRPr="00EC044E">
              <w:rPr>
                <w:szCs w:val="24"/>
                <w:lang w:val="en-US"/>
              </w:rPr>
              <w:t>Transfer of CBDC between LFI / WSP accounts and clients’ accounts.</w:t>
            </w:r>
          </w:p>
        </w:tc>
      </w:tr>
      <w:tr w:rsidR="00701906" w:rsidRPr="00EC044E" w14:paraId="47DACFF3" w14:textId="77777777" w:rsidTr="008A3BB8">
        <w:trPr>
          <w:trHeight w:val="540"/>
        </w:trPr>
        <w:tc>
          <w:tcPr>
            <w:tcW w:w="1080" w:type="dxa"/>
            <w:tcBorders>
              <w:top w:val="single" w:sz="6" w:space="0" w:color="000000"/>
              <w:left w:val="single" w:sz="6" w:space="0" w:color="000000"/>
              <w:bottom w:val="single" w:sz="6" w:space="0" w:color="000000"/>
              <w:right w:val="single" w:sz="6" w:space="0" w:color="000000"/>
            </w:tcBorders>
          </w:tcPr>
          <w:p w14:paraId="3E541806" w14:textId="77777777" w:rsidR="00701906" w:rsidRPr="00EC044E" w:rsidRDefault="00701906" w:rsidP="008A3BB8">
            <w:pPr>
              <w:tabs>
                <w:tab w:val="left" w:pos="794"/>
                <w:tab w:val="left" w:pos="1191"/>
                <w:tab w:val="left" w:pos="1588"/>
                <w:tab w:val="left" w:pos="1985"/>
              </w:tabs>
              <w:rPr>
                <w:szCs w:val="24"/>
                <w:highlight w:val="yellow"/>
                <w:lang w:val="en-US"/>
              </w:rPr>
            </w:pPr>
          </w:p>
        </w:tc>
        <w:tc>
          <w:tcPr>
            <w:tcW w:w="3075" w:type="dxa"/>
            <w:tcBorders>
              <w:top w:val="single" w:sz="6" w:space="0" w:color="000000"/>
              <w:left w:val="single" w:sz="6" w:space="0" w:color="000000"/>
              <w:bottom w:val="single" w:sz="6" w:space="0" w:color="000000"/>
              <w:right w:val="single" w:sz="6" w:space="0" w:color="000000"/>
            </w:tcBorders>
          </w:tcPr>
          <w:p w14:paraId="3B2A6B95"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Wallet users transact in CBDCs P2P and P2B.</w:t>
            </w:r>
          </w:p>
        </w:tc>
        <w:tc>
          <w:tcPr>
            <w:tcW w:w="5615" w:type="dxa"/>
            <w:tcBorders>
              <w:top w:val="single" w:sz="6" w:space="0" w:color="000000"/>
              <w:left w:val="single" w:sz="6" w:space="0" w:color="000000"/>
              <w:bottom w:val="single" w:sz="6" w:space="0" w:color="000000"/>
              <w:right w:val="single" w:sz="6" w:space="0" w:color="000000"/>
            </w:tcBorders>
          </w:tcPr>
          <w:p w14:paraId="656DFEF4"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Wallet users send CBDCs to friends and family via mobile wallets; wallet users pay for goods and services via mobile wallet.</w:t>
            </w:r>
          </w:p>
        </w:tc>
      </w:tr>
      <w:tr w:rsidR="00701906" w:rsidRPr="00EC044E" w14:paraId="7BA13717" w14:textId="77777777" w:rsidTr="008A3BB8">
        <w:trPr>
          <w:trHeight w:val="540"/>
        </w:trPr>
        <w:tc>
          <w:tcPr>
            <w:tcW w:w="1080" w:type="dxa"/>
            <w:tcBorders>
              <w:top w:val="single" w:sz="6" w:space="0" w:color="000000"/>
              <w:left w:val="single" w:sz="6" w:space="0" w:color="000000"/>
              <w:bottom w:val="single" w:sz="6" w:space="0" w:color="000000"/>
              <w:right w:val="single" w:sz="6" w:space="0" w:color="000000"/>
            </w:tcBorders>
          </w:tcPr>
          <w:p w14:paraId="30687A0A" w14:textId="77777777" w:rsidR="00701906" w:rsidRPr="00EC044E" w:rsidRDefault="00701906" w:rsidP="008A3BB8">
            <w:pPr>
              <w:tabs>
                <w:tab w:val="left" w:pos="794"/>
                <w:tab w:val="left" w:pos="1191"/>
                <w:tab w:val="left" w:pos="1588"/>
                <w:tab w:val="left" w:pos="1985"/>
              </w:tabs>
              <w:rPr>
                <w:szCs w:val="24"/>
                <w:highlight w:val="yellow"/>
                <w:lang w:val="en-US"/>
              </w:rPr>
            </w:pPr>
          </w:p>
        </w:tc>
        <w:tc>
          <w:tcPr>
            <w:tcW w:w="3075" w:type="dxa"/>
            <w:tcBorders>
              <w:top w:val="single" w:sz="6" w:space="0" w:color="000000"/>
              <w:left w:val="single" w:sz="6" w:space="0" w:color="000000"/>
              <w:bottom w:val="single" w:sz="6" w:space="0" w:color="000000"/>
              <w:right w:val="single" w:sz="6" w:space="0" w:color="000000"/>
            </w:tcBorders>
          </w:tcPr>
          <w:p w14:paraId="331EA687"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Enterprise users transact in CBDCs B2P and B2B.</w:t>
            </w:r>
          </w:p>
        </w:tc>
        <w:tc>
          <w:tcPr>
            <w:tcW w:w="5615" w:type="dxa"/>
            <w:tcBorders>
              <w:top w:val="single" w:sz="6" w:space="0" w:color="000000"/>
              <w:left w:val="single" w:sz="6" w:space="0" w:color="000000"/>
              <w:bottom w:val="single" w:sz="6" w:space="0" w:color="000000"/>
              <w:right w:val="single" w:sz="6" w:space="0" w:color="000000"/>
            </w:tcBorders>
          </w:tcPr>
          <w:p w14:paraId="39E75B2A"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Enterprise users accept CBDCs in exchange for goods and services, and user CBDCs to purchase goods or services from other businesses. Enterprise users can also transfer CBDC to retail users eg. to pay an employee salary direct to their mobile wallet.</w:t>
            </w:r>
          </w:p>
        </w:tc>
      </w:tr>
    </w:tbl>
    <w:p w14:paraId="72CB6F94" w14:textId="77777777" w:rsidR="00701906" w:rsidRPr="00EC044E" w:rsidRDefault="00701906" w:rsidP="00701906">
      <w:pPr>
        <w:tabs>
          <w:tab w:val="left" w:pos="794"/>
          <w:tab w:val="left" w:pos="1191"/>
          <w:tab w:val="left" w:pos="1588"/>
          <w:tab w:val="left" w:pos="1985"/>
        </w:tabs>
        <w:jc w:val="center"/>
        <w:rPr>
          <w:b/>
          <w:szCs w:val="24"/>
          <w:u w:val="single"/>
          <w:lang w:val="en-US"/>
        </w:rPr>
      </w:pPr>
      <w:r w:rsidRPr="00EC044E">
        <w:rPr>
          <w:szCs w:val="24"/>
          <w:lang w:val="en-US"/>
        </w:rPr>
        <w:br w:type="page"/>
      </w:r>
    </w:p>
    <w:p w14:paraId="01847549" w14:textId="77777777" w:rsidR="00701906" w:rsidRPr="00EC044E" w:rsidRDefault="00701906" w:rsidP="00701906">
      <w:pPr>
        <w:tabs>
          <w:tab w:val="left" w:pos="794"/>
          <w:tab w:val="left" w:pos="1191"/>
          <w:tab w:val="left" w:pos="1588"/>
          <w:tab w:val="left" w:pos="1985"/>
        </w:tabs>
        <w:jc w:val="center"/>
        <w:rPr>
          <w:b/>
          <w:szCs w:val="24"/>
          <w:u w:val="single"/>
          <w:lang w:val="en-US"/>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73"/>
      </w:tblGrid>
      <w:tr w:rsidR="00701906" w:rsidRPr="00EC044E" w14:paraId="38374086" w14:textId="77777777" w:rsidTr="008A3BB8">
        <w:trPr>
          <w:trHeight w:val="280"/>
        </w:trPr>
        <w:tc>
          <w:tcPr>
            <w:tcW w:w="9773" w:type="dxa"/>
            <w:tcBorders>
              <w:top w:val="single" w:sz="6" w:space="0" w:color="000000"/>
              <w:left w:val="single" w:sz="6" w:space="0" w:color="000000"/>
              <w:bottom w:val="nil"/>
              <w:right w:val="single" w:sz="6" w:space="0" w:color="000000"/>
            </w:tcBorders>
            <w:shd w:val="clear" w:color="auto" w:fill="D9D9D9"/>
          </w:tcPr>
          <w:p w14:paraId="51941004"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Process scheme (to-be)</w:t>
            </w:r>
          </w:p>
        </w:tc>
      </w:tr>
      <w:tr w:rsidR="00701906" w:rsidRPr="00EC044E" w14:paraId="03664006" w14:textId="77777777" w:rsidTr="008A3BB8">
        <w:trPr>
          <w:trHeight w:val="540"/>
        </w:trPr>
        <w:tc>
          <w:tcPr>
            <w:tcW w:w="9773" w:type="dxa"/>
            <w:tcBorders>
              <w:top w:val="single" w:sz="6" w:space="0" w:color="000000"/>
              <w:left w:val="single" w:sz="6" w:space="0" w:color="000000"/>
              <w:bottom w:val="single" w:sz="6" w:space="0" w:color="000000"/>
              <w:right w:val="single" w:sz="6" w:space="0" w:color="000000"/>
            </w:tcBorders>
          </w:tcPr>
          <w:p w14:paraId="3AB3162B" w14:textId="77777777" w:rsidR="00701906" w:rsidRPr="00EC044E" w:rsidRDefault="00701906" w:rsidP="008A3BB8">
            <w:pPr>
              <w:tabs>
                <w:tab w:val="left" w:pos="794"/>
                <w:tab w:val="left" w:pos="1191"/>
                <w:tab w:val="left" w:pos="1588"/>
                <w:tab w:val="left" w:pos="1985"/>
              </w:tabs>
              <w:rPr>
                <w:color w:val="FF0000"/>
                <w:szCs w:val="24"/>
                <w:lang w:val="en-US"/>
              </w:rPr>
            </w:pPr>
            <w:r w:rsidRPr="00EC044E">
              <w:rPr>
                <w:noProof/>
                <w:color w:val="0000FF"/>
                <w:szCs w:val="24"/>
                <w:lang w:eastAsia="en-GB"/>
              </w:rPr>
              <w:drawing>
                <wp:inline distT="114300" distB="114300" distL="114300" distR="114300" wp14:anchorId="270965CC" wp14:editId="2E9302E0">
                  <wp:extent cx="6057900" cy="33909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6057900" cy="3390900"/>
                          </a:xfrm>
                          <a:prstGeom prst="rect">
                            <a:avLst/>
                          </a:prstGeom>
                          <a:ln/>
                        </pic:spPr>
                      </pic:pic>
                    </a:graphicData>
                  </a:graphic>
                </wp:inline>
              </w:drawing>
            </w:r>
          </w:p>
        </w:tc>
      </w:tr>
    </w:tbl>
    <w:p w14:paraId="04B2D5D7" w14:textId="77777777" w:rsidR="00701906" w:rsidRPr="00EC044E" w:rsidRDefault="00701906" w:rsidP="00701906">
      <w:pPr>
        <w:tabs>
          <w:tab w:val="left" w:pos="794"/>
          <w:tab w:val="left" w:pos="1191"/>
          <w:tab w:val="left" w:pos="1588"/>
          <w:tab w:val="left" w:pos="1985"/>
        </w:tabs>
        <w:jc w:val="center"/>
        <w:rPr>
          <w:b/>
          <w:szCs w:val="24"/>
          <w:u w:val="single"/>
          <w:lang w:val="en-US"/>
        </w:rPr>
      </w:pPr>
    </w:p>
    <w:p w14:paraId="5BC23A4C" w14:textId="77777777" w:rsidR="00701906" w:rsidRPr="005157BE" w:rsidRDefault="00701906" w:rsidP="005157BE">
      <w:pPr>
        <w:tabs>
          <w:tab w:val="left" w:pos="794"/>
          <w:tab w:val="left" w:pos="1191"/>
          <w:tab w:val="left" w:pos="1588"/>
          <w:tab w:val="left" w:pos="1985"/>
        </w:tabs>
        <w:spacing w:after="120"/>
        <w:rPr>
          <w:b/>
          <w:szCs w:val="24"/>
          <w:lang w:val="en-US"/>
        </w:rPr>
      </w:pPr>
      <w:r w:rsidRPr="005157BE">
        <w:rPr>
          <w:b/>
          <w:szCs w:val="24"/>
          <w:lang w:val="en-US"/>
        </w:rPr>
        <w:t>Transition Vision</w:t>
      </w:r>
    </w:p>
    <w:p w14:paraId="4543615B" w14:textId="77777777" w:rsidR="00701906" w:rsidRPr="00EC044E" w:rsidRDefault="00701906" w:rsidP="001F7B51">
      <w:pPr>
        <w:tabs>
          <w:tab w:val="left" w:pos="794"/>
          <w:tab w:val="left" w:pos="1191"/>
          <w:tab w:val="left" w:pos="1588"/>
          <w:tab w:val="left" w:pos="1985"/>
        </w:tabs>
        <w:spacing w:before="0" w:after="120" w:line="264" w:lineRule="auto"/>
        <w:rPr>
          <w:szCs w:val="24"/>
          <w:lang w:val="en-US"/>
        </w:rPr>
      </w:pPr>
      <w:r w:rsidRPr="00EC044E">
        <w:rPr>
          <w:szCs w:val="24"/>
          <w:lang w:val="en-US"/>
        </w:rPr>
        <w:t>A blockchain-based CBDC network requires segregated testing prior to integration into the traditional financial system. Network security and operational uptime are amongst the most crucial elements to test and confirm prior to a live deployment. Application functionality for the end user also needs to be rigorously tested and confirmed prior to live deployment.</w:t>
      </w:r>
    </w:p>
    <w:p w14:paraId="62DFB109" w14:textId="4E078F39" w:rsidR="00701906" w:rsidRPr="001F7B51" w:rsidRDefault="00701906" w:rsidP="001F7B51">
      <w:pPr>
        <w:tabs>
          <w:tab w:val="left" w:pos="794"/>
          <w:tab w:val="left" w:pos="1191"/>
          <w:tab w:val="left" w:pos="1588"/>
          <w:tab w:val="left" w:pos="1985"/>
        </w:tabs>
        <w:spacing w:before="0" w:after="120" w:line="264" w:lineRule="auto"/>
        <w:rPr>
          <w:szCs w:val="24"/>
          <w:lang w:val="en-US"/>
        </w:rPr>
      </w:pPr>
      <w:r w:rsidRPr="00EC044E">
        <w:rPr>
          <w:szCs w:val="24"/>
          <w:lang w:val="en-US"/>
        </w:rPr>
        <w:t>Once the network and associated applications have been sufficiently tested with functionalities confirmed, and shortcomings addressed, API bridges can be built to the traditional payment networks to facilitate payment and exchange integration. Such APIs will also need to be rigorously tested in a sandboxed environment prior to enabling the general public to use them.</w:t>
      </w:r>
    </w:p>
    <w:p w14:paraId="3A97814F" w14:textId="77777777" w:rsidR="00701906" w:rsidRPr="005157BE" w:rsidRDefault="00701906" w:rsidP="005157BE">
      <w:pPr>
        <w:tabs>
          <w:tab w:val="left" w:pos="794"/>
          <w:tab w:val="left" w:pos="1191"/>
          <w:tab w:val="left" w:pos="1588"/>
          <w:tab w:val="left" w:pos="1985"/>
        </w:tabs>
        <w:spacing w:after="120"/>
        <w:rPr>
          <w:b/>
          <w:szCs w:val="24"/>
          <w:lang w:val="en-US"/>
        </w:rPr>
      </w:pPr>
      <w:r w:rsidRPr="005157BE">
        <w:rPr>
          <w:b/>
          <w:szCs w:val="24"/>
          <w:lang w:val="en-US"/>
        </w:rPr>
        <w:t>Future and Transition Vision</w:t>
      </w: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18"/>
        <w:gridCol w:w="2476"/>
        <w:gridCol w:w="6379"/>
      </w:tblGrid>
      <w:tr w:rsidR="00701906" w:rsidRPr="00EC044E" w14:paraId="35A76D1C" w14:textId="77777777" w:rsidTr="008A3BB8">
        <w:trPr>
          <w:trHeight w:val="280"/>
        </w:trPr>
        <w:tc>
          <w:tcPr>
            <w:tcW w:w="9773" w:type="dxa"/>
            <w:gridSpan w:val="3"/>
            <w:tcBorders>
              <w:top w:val="single" w:sz="6" w:space="0" w:color="000000"/>
              <w:left w:val="single" w:sz="6" w:space="0" w:color="000000"/>
              <w:bottom w:val="nil"/>
              <w:right w:val="single" w:sz="6" w:space="0" w:color="000000"/>
            </w:tcBorders>
            <w:shd w:val="clear" w:color="auto" w:fill="D9D9D9"/>
          </w:tcPr>
          <w:p w14:paraId="614881C6"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Participants and their roles</w:t>
            </w:r>
          </w:p>
        </w:tc>
      </w:tr>
      <w:tr w:rsidR="00701906" w:rsidRPr="00EC044E" w14:paraId="0C902D53" w14:textId="77777777" w:rsidTr="008A3BB8">
        <w:trPr>
          <w:trHeight w:val="280"/>
        </w:trPr>
        <w:tc>
          <w:tcPr>
            <w:tcW w:w="918" w:type="dxa"/>
            <w:tcBorders>
              <w:top w:val="single" w:sz="6" w:space="0" w:color="000000"/>
              <w:left w:val="single" w:sz="6" w:space="0" w:color="000000"/>
              <w:bottom w:val="nil"/>
              <w:right w:val="single" w:sz="6" w:space="0" w:color="000000"/>
            </w:tcBorders>
            <w:shd w:val="clear" w:color="auto" w:fill="D9D9D9"/>
          </w:tcPr>
          <w:p w14:paraId="73119F63"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Actor</w:t>
            </w:r>
          </w:p>
        </w:tc>
        <w:tc>
          <w:tcPr>
            <w:tcW w:w="2476" w:type="dxa"/>
            <w:tcBorders>
              <w:top w:val="single" w:sz="6" w:space="0" w:color="000000"/>
              <w:left w:val="single" w:sz="6" w:space="0" w:color="000000"/>
              <w:bottom w:val="nil"/>
              <w:right w:val="single" w:sz="6" w:space="0" w:color="000000"/>
            </w:tcBorders>
            <w:shd w:val="clear" w:color="auto" w:fill="D9D9D9"/>
          </w:tcPr>
          <w:p w14:paraId="061C9F77"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Type/Role</w:t>
            </w:r>
          </w:p>
        </w:tc>
        <w:tc>
          <w:tcPr>
            <w:tcW w:w="6379" w:type="dxa"/>
            <w:tcBorders>
              <w:top w:val="single" w:sz="6" w:space="0" w:color="000000"/>
              <w:left w:val="single" w:sz="6" w:space="0" w:color="000000"/>
              <w:bottom w:val="single" w:sz="6" w:space="0" w:color="000000"/>
              <w:right w:val="single" w:sz="6" w:space="0" w:color="000000"/>
            </w:tcBorders>
            <w:shd w:val="clear" w:color="auto" w:fill="D9D9D9"/>
          </w:tcPr>
          <w:p w14:paraId="131E4D82"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Description</w:t>
            </w:r>
          </w:p>
        </w:tc>
      </w:tr>
      <w:tr w:rsidR="00701906" w:rsidRPr="00EC044E" w14:paraId="039D3D54" w14:textId="77777777" w:rsidTr="008A3BB8">
        <w:trPr>
          <w:trHeight w:val="660"/>
        </w:trPr>
        <w:tc>
          <w:tcPr>
            <w:tcW w:w="918" w:type="dxa"/>
            <w:tcBorders>
              <w:top w:val="single" w:sz="6" w:space="0" w:color="000000"/>
              <w:left w:val="single" w:sz="6" w:space="0" w:color="000000"/>
              <w:bottom w:val="single" w:sz="6" w:space="0" w:color="000000"/>
              <w:right w:val="single" w:sz="6" w:space="0" w:color="000000"/>
            </w:tcBorders>
          </w:tcPr>
          <w:p w14:paraId="12278C5E" w14:textId="77777777" w:rsidR="00701906" w:rsidRPr="00EC044E" w:rsidRDefault="00701906" w:rsidP="008A3BB8">
            <w:pPr>
              <w:tabs>
                <w:tab w:val="left" w:pos="794"/>
                <w:tab w:val="left" w:pos="1191"/>
                <w:tab w:val="left" w:pos="1588"/>
                <w:tab w:val="left" w:pos="1985"/>
              </w:tabs>
              <w:rPr>
                <w:b/>
                <w:szCs w:val="24"/>
                <w:lang w:val="en-US"/>
              </w:rPr>
            </w:pPr>
            <w:r w:rsidRPr="00EC044E">
              <w:rPr>
                <w:b/>
                <w:szCs w:val="24"/>
                <w:lang w:val="en-US"/>
              </w:rPr>
              <w:t>1</w:t>
            </w:r>
          </w:p>
        </w:tc>
        <w:tc>
          <w:tcPr>
            <w:tcW w:w="2476" w:type="dxa"/>
            <w:tcBorders>
              <w:top w:val="single" w:sz="6" w:space="0" w:color="000000"/>
              <w:left w:val="single" w:sz="6" w:space="0" w:color="000000"/>
              <w:bottom w:val="single" w:sz="6" w:space="0" w:color="000000"/>
              <w:right w:val="single" w:sz="6" w:space="0" w:color="000000"/>
            </w:tcBorders>
          </w:tcPr>
          <w:p w14:paraId="1240A301"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Central Bank</w:t>
            </w:r>
          </w:p>
        </w:tc>
        <w:tc>
          <w:tcPr>
            <w:tcW w:w="6379" w:type="dxa"/>
            <w:tcBorders>
              <w:top w:val="single" w:sz="6" w:space="0" w:color="000000"/>
              <w:left w:val="single" w:sz="6" w:space="0" w:color="000000"/>
              <w:bottom w:val="single" w:sz="6" w:space="0" w:color="000000"/>
              <w:right w:val="single" w:sz="6" w:space="0" w:color="000000"/>
            </w:tcBorders>
          </w:tcPr>
          <w:p w14:paraId="54BA2153"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Financial institution responsible for issuance of digital legal tender, maintaining economic and financial stability.</w:t>
            </w:r>
          </w:p>
        </w:tc>
      </w:tr>
      <w:tr w:rsidR="00701906" w:rsidRPr="00EC044E" w14:paraId="32FEEF77" w14:textId="77777777" w:rsidTr="008A3BB8">
        <w:trPr>
          <w:trHeight w:val="540"/>
        </w:trPr>
        <w:tc>
          <w:tcPr>
            <w:tcW w:w="918" w:type="dxa"/>
            <w:tcBorders>
              <w:top w:val="single" w:sz="6" w:space="0" w:color="000000"/>
              <w:left w:val="single" w:sz="6" w:space="0" w:color="000000"/>
              <w:bottom w:val="single" w:sz="6" w:space="0" w:color="000000"/>
              <w:right w:val="single" w:sz="6" w:space="0" w:color="000000"/>
            </w:tcBorders>
          </w:tcPr>
          <w:p w14:paraId="424680A1" w14:textId="77777777" w:rsidR="00701906" w:rsidRPr="00EC044E" w:rsidRDefault="00701906" w:rsidP="008A3BB8">
            <w:pPr>
              <w:tabs>
                <w:tab w:val="left" w:pos="794"/>
                <w:tab w:val="left" w:pos="1191"/>
                <w:tab w:val="left" w:pos="1588"/>
                <w:tab w:val="left" w:pos="1985"/>
              </w:tabs>
              <w:rPr>
                <w:b/>
                <w:szCs w:val="24"/>
                <w:lang w:val="en-US"/>
              </w:rPr>
            </w:pPr>
            <w:r w:rsidRPr="00EC044E">
              <w:rPr>
                <w:b/>
                <w:szCs w:val="24"/>
                <w:lang w:val="en-US"/>
              </w:rPr>
              <w:t>2</w:t>
            </w:r>
          </w:p>
        </w:tc>
        <w:tc>
          <w:tcPr>
            <w:tcW w:w="2476" w:type="dxa"/>
            <w:tcBorders>
              <w:top w:val="single" w:sz="6" w:space="0" w:color="000000"/>
              <w:left w:val="single" w:sz="6" w:space="0" w:color="000000"/>
              <w:bottom w:val="single" w:sz="6" w:space="0" w:color="000000"/>
              <w:right w:val="single" w:sz="6" w:space="0" w:color="000000"/>
            </w:tcBorders>
          </w:tcPr>
          <w:p w14:paraId="25C17469"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Commercial bank</w:t>
            </w:r>
          </w:p>
        </w:tc>
        <w:tc>
          <w:tcPr>
            <w:tcW w:w="6379" w:type="dxa"/>
            <w:tcBorders>
              <w:top w:val="single" w:sz="6" w:space="0" w:color="000000"/>
              <w:left w:val="single" w:sz="6" w:space="0" w:color="000000"/>
              <w:bottom w:val="single" w:sz="6" w:space="0" w:color="000000"/>
              <w:right w:val="single" w:sz="6" w:space="0" w:color="000000"/>
            </w:tcBorders>
          </w:tcPr>
          <w:p w14:paraId="099BA468"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Financial institution to provide transfer/payment between parts, provide credit to end users, and connect Wallet Service Providers to the traditional financial system.</w:t>
            </w:r>
          </w:p>
        </w:tc>
      </w:tr>
      <w:tr w:rsidR="00701906" w:rsidRPr="00EC044E" w14:paraId="1158EE40" w14:textId="77777777" w:rsidTr="008A3BB8">
        <w:trPr>
          <w:trHeight w:val="540"/>
        </w:trPr>
        <w:tc>
          <w:tcPr>
            <w:tcW w:w="918" w:type="dxa"/>
            <w:tcBorders>
              <w:top w:val="single" w:sz="6" w:space="0" w:color="000000"/>
              <w:left w:val="single" w:sz="6" w:space="0" w:color="000000"/>
              <w:bottom w:val="single" w:sz="6" w:space="0" w:color="000000"/>
              <w:right w:val="single" w:sz="6" w:space="0" w:color="000000"/>
            </w:tcBorders>
          </w:tcPr>
          <w:p w14:paraId="79357F38" w14:textId="77777777" w:rsidR="00701906" w:rsidRPr="00EC044E" w:rsidRDefault="00701906" w:rsidP="008A3BB8">
            <w:pPr>
              <w:tabs>
                <w:tab w:val="left" w:pos="794"/>
                <w:tab w:val="left" w:pos="1191"/>
                <w:tab w:val="left" w:pos="1588"/>
                <w:tab w:val="left" w:pos="1985"/>
              </w:tabs>
              <w:rPr>
                <w:b/>
                <w:szCs w:val="24"/>
                <w:lang w:val="en-US"/>
              </w:rPr>
            </w:pPr>
            <w:r w:rsidRPr="00EC044E">
              <w:rPr>
                <w:b/>
                <w:szCs w:val="24"/>
                <w:lang w:val="en-US"/>
              </w:rPr>
              <w:t>3</w:t>
            </w:r>
          </w:p>
        </w:tc>
        <w:tc>
          <w:tcPr>
            <w:tcW w:w="2476" w:type="dxa"/>
            <w:tcBorders>
              <w:top w:val="single" w:sz="6" w:space="0" w:color="000000"/>
              <w:left w:val="single" w:sz="6" w:space="0" w:color="000000"/>
              <w:bottom w:val="single" w:sz="6" w:space="0" w:color="000000"/>
              <w:right w:val="single" w:sz="6" w:space="0" w:color="000000"/>
            </w:tcBorders>
          </w:tcPr>
          <w:p w14:paraId="145E8321"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 xml:space="preserve">Retail Merchants </w:t>
            </w:r>
          </w:p>
        </w:tc>
        <w:tc>
          <w:tcPr>
            <w:tcW w:w="6379" w:type="dxa"/>
            <w:tcBorders>
              <w:top w:val="single" w:sz="6" w:space="0" w:color="000000"/>
              <w:left w:val="single" w:sz="6" w:space="0" w:color="000000"/>
              <w:bottom w:val="single" w:sz="6" w:space="0" w:color="000000"/>
              <w:right w:val="single" w:sz="6" w:space="0" w:color="000000"/>
            </w:tcBorders>
          </w:tcPr>
          <w:p w14:paraId="08D93F2A"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 xml:space="preserve">Provide goods and services to the public in exchange for payment, accepted via Point-of-Sale wallet application. </w:t>
            </w:r>
          </w:p>
        </w:tc>
      </w:tr>
      <w:tr w:rsidR="00701906" w:rsidRPr="00EC044E" w14:paraId="1523BBCF" w14:textId="77777777" w:rsidTr="008A3BB8">
        <w:trPr>
          <w:trHeight w:val="540"/>
        </w:trPr>
        <w:tc>
          <w:tcPr>
            <w:tcW w:w="918" w:type="dxa"/>
            <w:tcBorders>
              <w:top w:val="single" w:sz="6" w:space="0" w:color="000000"/>
              <w:left w:val="single" w:sz="6" w:space="0" w:color="000000"/>
              <w:bottom w:val="single" w:sz="6" w:space="0" w:color="000000"/>
              <w:right w:val="single" w:sz="6" w:space="0" w:color="000000"/>
            </w:tcBorders>
          </w:tcPr>
          <w:p w14:paraId="1BB8C560" w14:textId="77777777" w:rsidR="00701906" w:rsidRPr="00EC044E" w:rsidRDefault="00701906" w:rsidP="008A3BB8">
            <w:pPr>
              <w:tabs>
                <w:tab w:val="left" w:pos="794"/>
                <w:tab w:val="left" w:pos="1191"/>
                <w:tab w:val="left" w:pos="1588"/>
                <w:tab w:val="left" w:pos="1985"/>
              </w:tabs>
              <w:rPr>
                <w:b/>
                <w:szCs w:val="24"/>
                <w:lang w:val="en-US"/>
              </w:rPr>
            </w:pPr>
            <w:r w:rsidRPr="00EC044E">
              <w:rPr>
                <w:b/>
                <w:szCs w:val="24"/>
                <w:lang w:val="en-US"/>
              </w:rPr>
              <w:t>4</w:t>
            </w:r>
          </w:p>
        </w:tc>
        <w:tc>
          <w:tcPr>
            <w:tcW w:w="2476" w:type="dxa"/>
            <w:tcBorders>
              <w:top w:val="single" w:sz="6" w:space="0" w:color="000000"/>
              <w:left w:val="single" w:sz="6" w:space="0" w:color="000000"/>
              <w:bottom w:val="single" w:sz="6" w:space="0" w:color="000000"/>
              <w:right w:val="single" w:sz="6" w:space="0" w:color="000000"/>
            </w:tcBorders>
          </w:tcPr>
          <w:p w14:paraId="1A78A93A"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 xml:space="preserve">Users </w:t>
            </w:r>
          </w:p>
        </w:tc>
        <w:tc>
          <w:tcPr>
            <w:tcW w:w="6379" w:type="dxa"/>
            <w:tcBorders>
              <w:top w:val="single" w:sz="6" w:space="0" w:color="000000"/>
              <w:left w:val="single" w:sz="6" w:space="0" w:color="000000"/>
              <w:bottom w:val="single" w:sz="6" w:space="0" w:color="000000"/>
              <w:right w:val="single" w:sz="6" w:space="0" w:color="000000"/>
            </w:tcBorders>
          </w:tcPr>
          <w:p w14:paraId="2200D623" w14:textId="77777777" w:rsidR="00701906" w:rsidRPr="00EC044E" w:rsidRDefault="00701906" w:rsidP="008A3BB8">
            <w:pPr>
              <w:tabs>
                <w:tab w:val="left" w:pos="794"/>
                <w:tab w:val="left" w:pos="1191"/>
                <w:tab w:val="left" w:pos="1588"/>
                <w:tab w:val="left" w:pos="1985"/>
              </w:tabs>
              <w:spacing w:after="60"/>
              <w:rPr>
                <w:szCs w:val="24"/>
                <w:lang w:val="en-US"/>
              </w:rPr>
            </w:pPr>
            <w:r w:rsidRPr="00EC044E">
              <w:rPr>
                <w:szCs w:val="24"/>
                <w:lang w:val="en-US"/>
              </w:rPr>
              <w:t>Participate in the economy through the purchase of goods and services, and by sending money to friends and family via mobile wallet.</w:t>
            </w:r>
          </w:p>
        </w:tc>
      </w:tr>
      <w:tr w:rsidR="00701906" w:rsidRPr="00EC044E" w14:paraId="785D43F8" w14:textId="77777777" w:rsidTr="008A3BB8">
        <w:trPr>
          <w:trHeight w:val="540"/>
        </w:trPr>
        <w:tc>
          <w:tcPr>
            <w:tcW w:w="918" w:type="dxa"/>
            <w:tcBorders>
              <w:top w:val="single" w:sz="6" w:space="0" w:color="000000"/>
              <w:left w:val="single" w:sz="6" w:space="0" w:color="000000"/>
              <w:bottom w:val="single" w:sz="6" w:space="0" w:color="000000"/>
              <w:right w:val="single" w:sz="6" w:space="0" w:color="000000"/>
            </w:tcBorders>
          </w:tcPr>
          <w:p w14:paraId="16E8A56E" w14:textId="77777777" w:rsidR="00701906" w:rsidRPr="00EC044E" w:rsidRDefault="00701906" w:rsidP="008A3BB8">
            <w:pPr>
              <w:tabs>
                <w:tab w:val="left" w:pos="794"/>
                <w:tab w:val="left" w:pos="1191"/>
                <w:tab w:val="left" w:pos="1588"/>
                <w:tab w:val="left" w:pos="1985"/>
              </w:tabs>
              <w:rPr>
                <w:b/>
                <w:szCs w:val="24"/>
                <w:lang w:val="en-US"/>
              </w:rPr>
            </w:pPr>
            <w:r w:rsidRPr="00EC044E">
              <w:rPr>
                <w:b/>
                <w:szCs w:val="24"/>
                <w:lang w:val="en-US"/>
              </w:rPr>
              <w:t>1</w:t>
            </w:r>
          </w:p>
        </w:tc>
        <w:tc>
          <w:tcPr>
            <w:tcW w:w="2476" w:type="dxa"/>
            <w:tcBorders>
              <w:top w:val="single" w:sz="6" w:space="0" w:color="000000"/>
              <w:left w:val="single" w:sz="6" w:space="0" w:color="000000"/>
              <w:bottom w:val="single" w:sz="6" w:space="0" w:color="000000"/>
              <w:right w:val="single" w:sz="6" w:space="0" w:color="000000"/>
            </w:tcBorders>
          </w:tcPr>
          <w:p w14:paraId="761F2D65"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Central Bank</w:t>
            </w:r>
          </w:p>
        </w:tc>
        <w:tc>
          <w:tcPr>
            <w:tcW w:w="6379" w:type="dxa"/>
            <w:tcBorders>
              <w:top w:val="single" w:sz="6" w:space="0" w:color="000000"/>
              <w:left w:val="single" w:sz="6" w:space="0" w:color="000000"/>
              <w:bottom w:val="single" w:sz="6" w:space="0" w:color="000000"/>
              <w:right w:val="single" w:sz="6" w:space="0" w:color="000000"/>
            </w:tcBorders>
          </w:tcPr>
          <w:p w14:paraId="251D83FD"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Financial institution responsible for issuance of digital legal tender, maintaining economic and financial stability.</w:t>
            </w:r>
          </w:p>
        </w:tc>
      </w:tr>
    </w:tbl>
    <w:p w14:paraId="2D0570BD" w14:textId="77777777" w:rsidR="00701906" w:rsidRPr="00EC044E" w:rsidRDefault="00701906" w:rsidP="00701906">
      <w:pPr>
        <w:tabs>
          <w:tab w:val="left" w:pos="794"/>
          <w:tab w:val="left" w:pos="1191"/>
          <w:tab w:val="left" w:pos="1588"/>
          <w:tab w:val="left" w:pos="1985"/>
        </w:tabs>
        <w:rPr>
          <w:b/>
          <w:szCs w:val="24"/>
          <w:lang w:val="en-US"/>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18"/>
        <w:gridCol w:w="2476"/>
        <w:gridCol w:w="6379"/>
      </w:tblGrid>
      <w:tr w:rsidR="00701906" w:rsidRPr="00EC044E" w14:paraId="008C8374" w14:textId="77777777" w:rsidTr="008A3BB8">
        <w:trPr>
          <w:trHeight w:val="280"/>
        </w:trPr>
        <w:tc>
          <w:tcPr>
            <w:tcW w:w="9773" w:type="dxa"/>
            <w:gridSpan w:val="3"/>
            <w:tcBorders>
              <w:top w:val="single" w:sz="6" w:space="0" w:color="000000"/>
              <w:left w:val="single" w:sz="6" w:space="0" w:color="000000"/>
              <w:bottom w:val="nil"/>
              <w:right w:val="single" w:sz="6" w:space="0" w:color="000000"/>
            </w:tcBorders>
            <w:shd w:val="clear" w:color="auto" w:fill="D9D9D9"/>
          </w:tcPr>
          <w:p w14:paraId="44C2CF03"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Data and information</w:t>
            </w:r>
          </w:p>
        </w:tc>
      </w:tr>
      <w:tr w:rsidR="00701906" w:rsidRPr="00EC044E" w14:paraId="18824889" w14:textId="77777777" w:rsidTr="008A3BB8">
        <w:trPr>
          <w:trHeight w:val="280"/>
        </w:trPr>
        <w:tc>
          <w:tcPr>
            <w:tcW w:w="918" w:type="dxa"/>
            <w:tcBorders>
              <w:top w:val="single" w:sz="6" w:space="0" w:color="000000"/>
              <w:left w:val="single" w:sz="6" w:space="0" w:color="000000"/>
              <w:bottom w:val="nil"/>
              <w:right w:val="single" w:sz="6" w:space="0" w:color="000000"/>
            </w:tcBorders>
            <w:shd w:val="clear" w:color="auto" w:fill="D9D9D9"/>
          </w:tcPr>
          <w:p w14:paraId="299BB90E"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Data</w:t>
            </w:r>
          </w:p>
        </w:tc>
        <w:tc>
          <w:tcPr>
            <w:tcW w:w="2476" w:type="dxa"/>
            <w:tcBorders>
              <w:top w:val="single" w:sz="6" w:space="0" w:color="000000"/>
              <w:left w:val="single" w:sz="6" w:space="0" w:color="000000"/>
              <w:bottom w:val="nil"/>
              <w:right w:val="single" w:sz="6" w:space="0" w:color="000000"/>
            </w:tcBorders>
            <w:shd w:val="clear" w:color="auto" w:fill="D9D9D9"/>
          </w:tcPr>
          <w:p w14:paraId="5617259A"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Type</w:t>
            </w:r>
          </w:p>
        </w:tc>
        <w:tc>
          <w:tcPr>
            <w:tcW w:w="6379" w:type="dxa"/>
            <w:tcBorders>
              <w:top w:val="single" w:sz="6" w:space="0" w:color="000000"/>
              <w:left w:val="single" w:sz="6" w:space="0" w:color="000000"/>
              <w:bottom w:val="single" w:sz="6" w:space="0" w:color="000000"/>
              <w:right w:val="single" w:sz="6" w:space="0" w:color="000000"/>
            </w:tcBorders>
            <w:shd w:val="clear" w:color="auto" w:fill="D9D9D9"/>
          </w:tcPr>
          <w:p w14:paraId="510A7048"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Description</w:t>
            </w:r>
          </w:p>
        </w:tc>
      </w:tr>
      <w:tr w:rsidR="00701906" w:rsidRPr="00EC044E" w14:paraId="3CE09484" w14:textId="77777777" w:rsidTr="008A3BB8">
        <w:trPr>
          <w:trHeight w:val="540"/>
        </w:trPr>
        <w:tc>
          <w:tcPr>
            <w:tcW w:w="918" w:type="dxa"/>
            <w:tcBorders>
              <w:top w:val="single" w:sz="6" w:space="0" w:color="000000"/>
              <w:left w:val="single" w:sz="6" w:space="0" w:color="000000"/>
              <w:bottom w:val="single" w:sz="6" w:space="0" w:color="000000"/>
              <w:right w:val="single" w:sz="6" w:space="0" w:color="000000"/>
            </w:tcBorders>
          </w:tcPr>
          <w:p w14:paraId="59256318" w14:textId="77777777" w:rsidR="00701906" w:rsidRPr="00EC044E" w:rsidRDefault="00701906" w:rsidP="008A3BB8">
            <w:pPr>
              <w:tabs>
                <w:tab w:val="left" w:pos="794"/>
                <w:tab w:val="left" w:pos="1191"/>
                <w:tab w:val="left" w:pos="1588"/>
                <w:tab w:val="left" w:pos="1985"/>
              </w:tabs>
              <w:rPr>
                <w:b/>
                <w:szCs w:val="24"/>
                <w:lang w:val="en-US"/>
              </w:rPr>
            </w:pPr>
            <w:r w:rsidRPr="00EC044E">
              <w:rPr>
                <w:b/>
                <w:szCs w:val="24"/>
                <w:lang w:val="en-US"/>
              </w:rPr>
              <w:t>1</w:t>
            </w:r>
          </w:p>
        </w:tc>
        <w:tc>
          <w:tcPr>
            <w:tcW w:w="2476" w:type="dxa"/>
            <w:tcBorders>
              <w:top w:val="single" w:sz="6" w:space="0" w:color="000000"/>
              <w:left w:val="single" w:sz="6" w:space="0" w:color="000000"/>
              <w:bottom w:val="single" w:sz="6" w:space="0" w:color="000000"/>
              <w:right w:val="single" w:sz="6" w:space="0" w:color="000000"/>
            </w:tcBorders>
          </w:tcPr>
          <w:p w14:paraId="0A5779D2"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Transaction Data including:</w:t>
            </w:r>
          </w:p>
          <w:p w14:paraId="03C5C36E" w14:textId="130E6FC0"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Public Keys &amp; CBDC Balances</w:t>
            </w:r>
          </w:p>
        </w:tc>
        <w:tc>
          <w:tcPr>
            <w:tcW w:w="6379" w:type="dxa"/>
            <w:tcBorders>
              <w:top w:val="single" w:sz="6" w:space="0" w:color="000000"/>
              <w:left w:val="single" w:sz="6" w:space="0" w:color="000000"/>
              <w:bottom w:val="single" w:sz="6" w:space="0" w:color="000000"/>
              <w:right w:val="single" w:sz="6" w:space="0" w:color="000000"/>
            </w:tcBorders>
          </w:tcPr>
          <w:p w14:paraId="54E6FF64"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The Central Bank is able to view the entire distributed ledger, however they are only able to see public keys and corresponding CBDC balances. This allows them to analyze anonymous transaction data to derive economic insight.</w:t>
            </w:r>
          </w:p>
        </w:tc>
      </w:tr>
      <w:tr w:rsidR="00701906" w:rsidRPr="00EC044E" w14:paraId="2ED9E4AD" w14:textId="77777777" w:rsidTr="008A3BB8">
        <w:trPr>
          <w:trHeight w:val="540"/>
        </w:trPr>
        <w:tc>
          <w:tcPr>
            <w:tcW w:w="918" w:type="dxa"/>
            <w:tcBorders>
              <w:top w:val="single" w:sz="6" w:space="0" w:color="000000"/>
              <w:left w:val="single" w:sz="6" w:space="0" w:color="000000"/>
              <w:bottom w:val="single" w:sz="6" w:space="0" w:color="000000"/>
              <w:right w:val="single" w:sz="6" w:space="0" w:color="000000"/>
            </w:tcBorders>
          </w:tcPr>
          <w:p w14:paraId="0EAE6918" w14:textId="77777777" w:rsidR="00701906" w:rsidRPr="00EC044E" w:rsidRDefault="00701906" w:rsidP="008A3BB8">
            <w:pPr>
              <w:tabs>
                <w:tab w:val="left" w:pos="794"/>
                <w:tab w:val="left" w:pos="1191"/>
                <w:tab w:val="left" w:pos="1588"/>
                <w:tab w:val="left" w:pos="1985"/>
              </w:tabs>
              <w:rPr>
                <w:b/>
                <w:szCs w:val="24"/>
                <w:lang w:val="en-US"/>
              </w:rPr>
            </w:pPr>
            <w:r w:rsidRPr="00EC044E">
              <w:rPr>
                <w:b/>
                <w:szCs w:val="24"/>
                <w:lang w:val="en-US"/>
              </w:rPr>
              <w:t>2</w:t>
            </w:r>
          </w:p>
        </w:tc>
        <w:tc>
          <w:tcPr>
            <w:tcW w:w="2476" w:type="dxa"/>
            <w:tcBorders>
              <w:top w:val="single" w:sz="6" w:space="0" w:color="000000"/>
              <w:left w:val="single" w:sz="6" w:space="0" w:color="000000"/>
              <w:bottom w:val="single" w:sz="6" w:space="0" w:color="000000"/>
              <w:right w:val="single" w:sz="6" w:space="0" w:color="000000"/>
            </w:tcBorders>
          </w:tcPr>
          <w:p w14:paraId="540268BA"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Transaction Data including:</w:t>
            </w:r>
          </w:p>
          <w:p w14:paraId="7B788B72"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LFI public keys &amp; balances</w:t>
            </w:r>
          </w:p>
          <w:p w14:paraId="5A8A997C" w14:textId="77777777" w:rsidR="00701906" w:rsidRPr="00EC044E" w:rsidRDefault="00701906" w:rsidP="008A3BB8">
            <w:pPr>
              <w:tabs>
                <w:tab w:val="left" w:pos="794"/>
                <w:tab w:val="left" w:pos="1191"/>
                <w:tab w:val="left" w:pos="1588"/>
                <w:tab w:val="left" w:pos="1985"/>
              </w:tabs>
              <w:rPr>
                <w:szCs w:val="24"/>
                <w:lang w:val="fr-CH"/>
              </w:rPr>
            </w:pPr>
            <w:r w:rsidRPr="00EC044E">
              <w:rPr>
                <w:szCs w:val="24"/>
                <w:lang w:val="fr-CH"/>
              </w:rPr>
              <w:t>Client public keys &amp; balances</w:t>
            </w:r>
          </w:p>
          <w:p w14:paraId="122F1AAB" w14:textId="77777777" w:rsidR="00701906" w:rsidRPr="00EC044E" w:rsidRDefault="00701906" w:rsidP="008A3BB8">
            <w:pPr>
              <w:tabs>
                <w:tab w:val="left" w:pos="794"/>
                <w:tab w:val="left" w:pos="1191"/>
                <w:tab w:val="left" w:pos="1588"/>
                <w:tab w:val="left" w:pos="1985"/>
              </w:tabs>
              <w:rPr>
                <w:szCs w:val="24"/>
                <w:lang w:val="fr-CH"/>
              </w:rPr>
            </w:pPr>
            <w:r w:rsidRPr="00EC044E">
              <w:rPr>
                <w:szCs w:val="24"/>
                <w:lang w:val="fr-CH"/>
              </w:rPr>
              <w:t>Client KYC information</w:t>
            </w:r>
          </w:p>
        </w:tc>
        <w:tc>
          <w:tcPr>
            <w:tcW w:w="6379" w:type="dxa"/>
            <w:tcBorders>
              <w:top w:val="single" w:sz="6" w:space="0" w:color="000000"/>
              <w:left w:val="single" w:sz="6" w:space="0" w:color="000000"/>
              <w:bottom w:val="single" w:sz="6" w:space="0" w:color="000000"/>
              <w:right w:val="single" w:sz="6" w:space="0" w:color="000000"/>
            </w:tcBorders>
          </w:tcPr>
          <w:p w14:paraId="341EC5D3"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LFIs and WSPs are able to view transaction data for their own transactions, and all of their clients transactions for the purpose of transaction monitoring and reporting requirements.</w:t>
            </w:r>
          </w:p>
          <w:p w14:paraId="1B97EFDE"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LFIs and WSPs must keep KYC information to ensure AML Compliance best practices are maintained.</w:t>
            </w:r>
          </w:p>
        </w:tc>
      </w:tr>
      <w:tr w:rsidR="00701906" w:rsidRPr="00EC044E" w14:paraId="4921A477" w14:textId="77777777" w:rsidTr="008A3BB8">
        <w:trPr>
          <w:trHeight w:val="540"/>
        </w:trPr>
        <w:tc>
          <w:tcPr>
            <w:tcW w:w="918" w:type="dxa"/>
            <w:tcBorders>
              <w:top w:val="single" w:sz="6" w:space="0" w:color="000000"/>
              <w:left w:val="single" w:sz="6" w:space="0" w:color="000000"/>
              <w:bottom w:val="single" w:sz="6" w:space="0" w:color="000000"/>
              <w:right w:val="single" w:sz="6" w:space="0" w:color="000000"/>
            </w:tcBorders>
          </w:tcPr>
          <w:p w14:paraId="78269032" w14:textId="77777777" w:rsidR="00701906" w:rsidRPr="00EC044E" w:rsidRDefault="00701906" w:rsidP="008A3BB8">
            <w:pPr>
              <w:tabs>
                <w:tab w:val="left" w:pos="794"/>
                <w:tab w:val="left" w:pos="1191"/>
                <w:tab w:val="left" w:pos="1588"/>
                <w:tab w:val="left" w:pos="1985"/>
              </w:tabs>
              <w:rPr>
                <w:b/>
                <w:szCs w:val="24"/>
                <w:lang w:val="en-US"/>
              </w:rPr>
            </w:pPr>
            <w:r w:rsidRPr="00EC044E">
              <w:rPr>
                <w:b/>
                <w:szCs w:val="24"/>
                <w:lang w:val="en-US"/>
              </w:rPr>
              <w:t>3</w:t>
            </w:r>
          </w:p>
        </w:tc>
        <w:tc>
          <w:tcPr>
            <w:tcW w:w="2476" w:type="dxa"/>
            <w:tcBorders>
              <w:top w:val="single" w:sz="6" w:space="0" w:color="000000"/>
              <w:left w:val="single" w:sz="6" w:space="0" w:color="000000"/>
              <w:bottom w:val="single" w:sz="6" w:space="0" w:color="000000"/>
              <w:right w:val="single" w:sz="6" w:space="0" w:color="000000"/>
            </w:tcBorders>
          </w:tcPr>
          <w:p w14:paraId="7A76B5B6"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Transaction Data</w:t>
            </w:r>
          </w:p>
        </w:tc>
        <w:tc>
          <w:tcPr>
            <w:tcW w:w="6379" w:type="dxa"/>
            <w:tcBorders>
              <w:top w:val="single" w:sz="6" w:space="0" w:color="000000"/>
              <w:left w:val="single" w:sz="6" w:space="0" w:color="000000"/>
              <w:bottom w:val="single" w:sz="6" w:space="0" w:color="000000"/>
              <w:right w:val="single" w:sz="6" w:space="0" w:color="000000"/>
            </w:tcBorders>
          </w:tcPr>
          <w:p w14:paraId="37260885"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Wallet users are able to view all transactions they have executed via the mobile wallet or online wallet interface.</w:t>
            </w:r>
          </w:p>
        </w:tc>
      </w:tr>
    </w:tbl>
    <w:p w14:paraId="2AAF5461" w14:textId="77777777" w:rsidR="00701906" w:rsidRPr="00EC044E" w:rsidRDefault="00701906" w:rsidP="00701906">
      <w:pPr>
        <w:tabs>
          <w:tab w:val="left" w:pos="794"/>
          <w:tab w:val="left" w:pos="1191"/>
          <w:tab w:val="left" w:pos="1588"/>
          <w:tab w:val="left" w:pos="1985"/>
        </w:tabs>
        <w:rPr>
          <w:b/>
          <w:szCs w:val="24"/>
          <w:lang w:val="en-US"/>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73"/>
      </w:tblGrid>
      <w:tr w:rsidR="00701906" w:rsidRPr="00EC044E" w14:paraId="23EC0CC0" w14:textId="77777777" w:rsidTr="008A3BB8">
        <w:tc>
          <w:tcPr>
            <w:tcW w:w="9773" w:type="dxa"/>
            <w:tcBorders>
              <w:top w:val="single" w:sz="6" w:space="0" w:color="000000"/>
              <w:left w:val="single" w:sz="6" w:space="0" w:color="000000"/>
              <w:bottom w:val="single" w:sz="6" w:space="0" w:color="000000"/>
              <w:right w:val="single" w:sz="6" w:space="0" w:color="000000"/>
            </w:tcBorders>
            <w:shd w:val="clear" w:color="auto" w:fill="D9D9D9"/>
          </w:tcPr>
          <w:p w14:paraId="2344DD57"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Security and privacy</w:t>
            </w:r>
          </w:p>
        </w:tc>
      </w:tr>
      <w:tr w:rsidR="00701906" w:rsidRPr="00EC044E" w14:paraId="22232628" w14:textId="77777777" w:rsidTr="008A3BB8">
        <w:tc>
          <w:tcPr>
            <w:tcW w:w="9773" w:type="dxa"/>
            <w:tcBorders>
              <w:top w:val="single" w:sz="6" w:space="0" w:color="000000"/>
              <w:left w:val="single" w:sz="6" w:space="0" w:color="000000"/>
              <w:bottom w:val="single" w:sz="6" w:space="0" w:color="000000"/>
              <w:right w:val="single" w:sz="6" w:space="0" w:color="000000"/>
            </w:tcBorders>
          </w:tcPr>
          <w:p w14:paraId="31B1F9CB" w14:textId="77777777" w:rsidR="00701906" w:rsidRPr="00EC044E" w:rsidRDefault="00701906" w:rsidP="008A3BB8">
            <w:pPr>
              <w:tabs>
                <w:tab w:val="left" w:pos="720"/>
                <w:tab w:val="left" w:pos="794"/>
                <w:tab w:val="left" w:pos="1191"/>
                <w:tab w:val="left" w:pos="1588"/>
                <w:tab w:val="left" w:pos="1985"/>
              </w:tabs>
              <w:spacing w:after="60"/>
              <w:rPr>
                <w:szCs w:val="24"/>
                <w:lang w:val="en-US"/>
              </w:rPr>
            </w:pPr>
            <w:r w:rsidRPr="00EC044E">
              <w:rPr>
                <w:szCs w:val="24"/>
                <w:lang w:val="en-US"/>
              </w:rPr>
              <w:t>1.Security is if the utmost importance when dealing with legal tender, for this reason the technology used by the central banks will meet the CBDC standard, and will be informed by the specific requirements and operating policies and procedures of the Central Bank.</w:t>
            </w:r>
          </w:p>
          <w:p w14:paraId="13C8A4A2" w14:textId="77777777" w:rsidR="00701906" w:rsidRPr="00EC044E" w:rsidRDefault="00701906" w:rsidP="008A3BB8">
            <w:pPr>
              <w:tabs>
                <w:tab w:val="left" w:pos="720"/>
                <w:tab w:val="left" w:pos="794"/>
                <w:tab w:val="left" w:pos="1191"/>
                <w:tab w:val="left" w:pos="1588"/>
                <w:tab w:val="left" w:pos="1985"/>
              </w:tabs>
              <w:spacing w:after="60"/>
              <w:rPr>
                <w:szCs w:val="24"/>
                <w:lang w:val="en-US"/>
              </w:rPr>
            </w:pPr>
            <w:r w:rsidRPr="00EC044E">
              <w:rPr>
                <w:szCs w:val="24"/>
                <w:lang w:val="en-US"/>
              </w:rPr>
              <w:t xml:space="preserve">2. The central bank would have access to the transactional data for the customers, all of which would have submitted the relevant KYC documents to verify their identity </w:t>
            </w:r>
          </w:p>
          <w:p w14:paraId="1360A40F" w14:textId="77777777" w:rsidR="00701906" w:rsidRPr="00EC044E" w:rsidRDefault="00701906" w:rsidP="008A3BB8">
            <w:pPr>
              <w:tabs>
                <w:tab w:val="left" w:pos="720"/>
                <w:tab w:val="left" w:pos="794"/>
                <w:tab w:val="left" w:pos="1191"/>
                <w:tab w:val="left" w:pos="1588"/>
                <w:tab w:val="left" w:pos="1985"/>
              </w:tabs>
              <w:spacing w:after="60"/>
              <w:rPr>
                <w:szCs w:val="24"/>
                <w:lang w:val="en-US"/>
              </w:rPr>
            </w:pPr>
            <w:r w:rsidRPr="00EC044E">
              <w:rPr>
                <w:szCs w:val="24"/>
                <w:lang w:val="en-US"/>
              </w:rPr>
              <w:t>3. DLT system should be able to provide mechanisms of DLT data integrity control;</w:t>
            </w:r>
          </w:p>
          <w:p w14:paraId="7D8298AE" w14:textId="77777777" w:rsidR="00701906" w:rsidRPr="00EC044E" w:rsidRDefault="00701906" w:rsidP="008A3BB8">
            <w:pPr>
              <w:tabs>
                <w:tab w:val="left" w:pos="720"/>
                <w:tab w:val="left" w:pos="794"/>
                <w:tab w:val="left" w:pos="1191"/>
                <w:tab w:val="left" w:pos="1588"/>
                <w:tab w:val="left" w:pos="1985"/>
              </w:tabs>
              <w:spacing w:after="60"/>
              <w:rPr>
                <w:szCs w:val="24"/>
                <w:lang w:val="en-US"/>
              </w:rPr>
            </w:pPr>
            <w:r w:rsidRPr="00EC044E">
              <w:rPr>
                <w:szCs w:val="24"/>
                <w:lang w:val="en-US"/>
              </w:rPr>
              <w:t>4. DLT data and related services (System Actions) should be available in 24/7/365 mode;</w:t>
            </w:r>
          </w:p>
          <w:p w14:paraId="1628451F" w14:textId="77777777" w:rsidR="00701906" w:rsidRPr="00EC044E" w:rsidRDefault="00701906" w:rsidP="008A3BB8">
            <w:pPr>
              <w:tabs>
                <w:tab w:val="left" w:pos="720"/>
                <w:tab w:val="left" w:pos="794"/>
                <w:tab w:val="left" w:pos="1191"/>
                <w:tab w:val="left" w:pos="1588"/>
                <w:tab w:val="left" w:pos="1985"/>
              </w:tabs>
              <w:spacing w:after="60"/>
              <w:rPr>
                <w:szCs w:val="24"/>
                <w:lang w:val="en-US"/>
              </w:rPr>
            </w:pPr>
            <w:r w:rsidRPr="00EC044E">
              <w:rPr>
                <w:szCs w:val="24"/>
                <w:lang w:val="en-US"/>
              </w:rPr>
              <w:t xml:space="preserve">5. The entity identity solution should prevent identity fraud.  </w:t>
            </w:r>
          </w:p>
          <w:p w14:paraId="21F07E1F" w14:textId="77777777" w:rsidR="00701906" w:rsidRPr="00EC044E" w:rsidRDefault="00701906" w:rsidP="008A3BB8">
            <w:pPr>
              <w:tabs>
                <w:tab w:val="left" w:pos="720"/>
                <w:tab w:val="left" w:pos="794"/>
                <w:tab w:val="left" w:pos="1191"/>
                <w:tab w:val="left" w:pos="1588"/>
                <w:tab w:val="left" w:pos="1985"/>
              </w:tabs>
              <w:spacing w:after="60"/>
              <w:rPr>
                <w:szCs w:val="24"/>
                <w:lang w:val="en-US"/>
              </w:rPr>
            </w:pPr>
            <w:r w:rsidRPr="00EC044E">
              <w:rPr>
                <w:szCs w:val="24"/>
                <w:lang w:val="en-US"/>
              </w:rPr>
              <w:t xml:space="preserve">6. The products and services type identification solution should prevent fraud. (Future Vision only) </w:t>
            </w:r>
          </w:p>
        </w:tc>
      </w:tr>
    </w:tbl>
    <w:p w14:paraId="397B9D88" w14:textId="77777777" w:rsidR="00701906" w:rsidRPr="00EC044E" w:rsidRDefault="00701906" w:rsidP="00701906">
      <w:pPr>
        <w:tabs>
          <w:tab w:val="left" w:pos="794"/>
          <w:tab w:val="left" w:pos="1191"/>
          <w:tab w:val="left" w:pos="1588"/>
          <w:tab w:val="left" w:pos="1985"/>
        </w:tabs>
        <w:rPr>
          <w:b/>
          <w:szCs w:val="24"/>
          <w:lang w:val="en-US"/>
        </w:rPr>
      </w:pPr>
    </w:p>
    <w:p w14:paraId="56572B71" w14:textId="77777777" w:rsidR="00701906" w:rsidRPr="00EC044E" w:rsidRDefault="00701906" w:rsidP="00701906">
      <w:pPr>
        <w:tabs>
          <w:tab w:val="left" w:pos="794"/>
          <w:tab w:val="left" w:pos="1191"/>
          <w:tab w:val="left" w:pos="1588"/>
          <w:tab w:val="left" w:pos="1985"/>
        </w:tabs>
        <w:rPr>
          <w:b/>
          <w:szCs w:val="24"/>
          <w:lang w:val="en-US"/>
        </w:rPr>
      </w:pP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81"/>
      </w:tblGrid>
      <w:tr w:rsidR="00701906" w:rsidRPr="00EC044E" w14:paraId="1EB1BB88" w14:textId="77777777" w:rsidTr="008A3BB8">
        <w:tc>
          <w:tcPr>
            <w:tcW w:w="9781" w:type="dxa"/>
            <w:tcBorders>
              <w:top w:val="single" w:sz="6" w:space="0" w:color="000000"/>
              <w:left w:val="single" w:sz="6" w:space="0" w:color="000000"/>
              <w:bottom w:val="single" w:sz="6" w:space="0" w:color="000000"/>
              <w:right w:val="single" w:sz="6" w:space="0" w:color="000000"/>
            </w:tcBorders>
            <w:shd w:val="clear" w:color="auto" w:fill="D9D9D9"/>
          </w:tcPr>
          <w:p w14:paraId="692A815D"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Main Success Scenario</w:t>
            </w:r>
          </w:p>
        </w:tc>
      </w:tr>
      <w:tr w:rsidR="00701906" w:rsidRPr="00EC044E" w14:paraId="27DDE54C" w14:textId="77777777" w:rsidTr="008A3BB8">
        <w:tc>
          <w:tcPr>
            <w:tcW w:w="9781" w:type="dxa"/>
            <w:tcBorders>
              <w:top w:val="single" w:sz="6" w:space="0" w:color="000000"/>
              <w:left w:val="single" w:sz="6" w:space="0" w:color="000000"/>
              <w:bottom w:val="single" w:sz="6" w:space="0" w:color="000000"/>
              <w:right w:val="single" w:sz="6" w:space="0" w:color="000000"/>
            </w:tcBorders>
          </w:tcPr>
          <w:p w14:paraId="237415B8"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1. The Central Bank securely issues CBDC;</w:t>
            </w:r>
          </w:p>
          <w:p w14:paraId="3771E7FF" w14:textId="77777777" w:rsidR="00701906" w:rsidRPr="00EC044E" w:rsidRDefault="00701906" w:rsidP="008A3BB8">
            <w:pPr>
              <w:tabs>
                <w:tab w:val="left" w:pos="794"/>
                <w:tab w:val="left" w:pos="1191"/>
                <w:tab w:val="left" w:pos="1588"/>
                <w:tab w:val="left" w:pos="1985"/>
              </w:tabs>
              <w:rPr>
                <w:szCs w:val="24"/>
                <w:lang w:val="en-US"/>
              </w:rPr>
            </w:pPr>
            <w:r w:rsidRPr="00EC044E">
              <w:rPr>
                <w:szCs w:val="24"/>
                <w:lang w:val="en-US"/>
              </w:rPr>
              <w:t>2. LFIs and WSPs provide low cost payment services using CBDC, including P2P, B2P, B2B, P2B, and remittance transactions;</w:t>
            </w:r>
          </w:p>
        </w:tc>
      </w:tr>
    </w:tbl>
    <w:p w14:paraId="06B26F47" w14:textId="77777777" w:rsidR="00701906" w:rsidRPr="00EC044E" w:rsidRDefault="00701906" w:rsidP="00701906">
      <w:pPr>
        <w:tabs>
          <w:tab w:val="left" w:pos="794"/>
          <w:tab w:val="left" w:pos="1191"/>
          <w:tab w:val="left" w:pos="1588"/>
          <w:tab w:val="left" w:pos="1985"/>
        </w:tabs>
        <w:rPr>
          <w:b/>
          <w:szCs w:val="24"/>
          <w:lang w:val="en-US"/>
        </w:rPr>
      </w:pP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81"/>
      </w:tblGrid>
      <w:tr w:rsidR="00701906" w:rsidRPr="00EC044E" w14:paraId="374BB8F7" w14:textId="77777777" w:rsidTr="008A3BB8">
        <w:tc>
          <w:tcPr>
            <w:tcW w:w="9781" w:type="dxa"/>
            <w:tcBorders>
              <w:top w:val="single" w:sz="6" w:space="0" w:color="000000"/>
              <w:left w:val="single" w:sz="6" w:space="0" w:color="000000"/>
              <w:bottom w:val="single" w:sz="6" w:space="0" w:color="000000"/>
              <w:right w:val="single" w:sz="6" w:space="0" w:color="000000"/>
            </w:tcBorders>
            <w:shd w:val="clear" w:color="auto" w:fill="D9D9D9"/>
          </w:tcPr>
          <w:p w14:paraId="0663A208"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Conditions (pre- or post-)</w:t>
            </w:r>
          </w:p>
        </w:tc>
      </w:tr>
      <w:tr w:rsidR="00701906" w:rsidRPr="00EC044E" w14:paraId="3164DBB9" w14:textId="77777777" w:rsidTr="008A3BB8">
        <w:tc>
          <w:tcPr>
            <w:tcW w:w="9781" w:type="dxa"/>
            <w:tcBorders>
              <w:top w:val="single" w:sz="6" w:space="0" w:color="000000"/>
              <w:left w:val="single" w:sz="6" w:space="0" w:color="000000"/>
              <w:bottom w:val="single" w:sz="6" w:space="0" w:color="000000"/>
              <w:right w:val="single" w:sz="6" w:space="0" w:color="000000"/>
            </w:tcBorders>
          </w:tcPr>
          <w:p w14:paraId="6F03AE13" w14:textId="77777777" w:rsidR="00701906" w:rsidRPr="00EC044E" w:rsidRDefault="00701906" w:rsidP="001F7B51">
            <w:pPr>
              <w:tabs>
                <w:tab w:val="left" w:pos="794"/>
                <w:tab w:val="left" w:pos="1191"/>
                <w:tab w:val="left" w:pos="1588"/>
                <w:tab w:val="left" w:pos="1985"/>
              </w:tabs>
              <w:spacing w:before="0"/>
              <w:rPr>
                <w:szCs w:val="24"/>
                <w:lang w:val="en-US"/>
              </w:rPr>
            </w:pPr>
            <w:r w:rsidRPr="00EC044E">
              <w:rPr>
                <w:szCs w:val="24"/>
                <w:lang w:val="en-US"/>
              </w:rPr>
              <w:t xml:space="preserve">1. The Central Bank would issue CBDC as legal tender </w:t>
            </w:r>
          </w:p>
          <w:p w14:paraId="7B3A00A4" w14:textId="77777777" w:rsidR="00701906" w:rsidRPr="00EC044E" w:rsidRDefault="00701906" w:rsidP="001F7B51">
            <w:pPr>
              <w:tabs>
                <w:tab w:val="left" w:pos="794"/>
                <w:tab w:val="left" w:pos="1191"/>
                <w:tab w:val="left" w:pos="1588"/>
                <w:tab w:val="left" w:pos="1985"/>
              </w:tabs>
              <w:spacing w:before="0"/>
              <w:rPr>
                <w:szCs w:val="24"/>
                <w:lang w:val="en-US"/>
              </w:rPr>
            </w:pPr>
            <w:r w:rsidRPr="00EC044E">
              <w:rPr>
                <w:szCs w:val="24"/>
                <w:lang w:val="en-US"/>
              </w:rPr>
              <w:t>2. Commercial Banks and Wallet Providers  would have the necessary set ups to  provide digital payment services to their customers</w:t>
            </w:r>
          </w:p>
          <w:p w14:paraId="7B378996" w14:textId="77777777" w:rsidR="00701906" w:rsidRPr="00EC044E" w:rsidRDefault="00701906" w:rsidP="001F7B51">
            <w:pPr>
              <w:tabs>
                <w:tab w:val="left" w:pos="794"/>
                <w:tab w:val="left" w:pos="1191"/>
                <w:tab w:val="left" w:pos="1588"/>
                <w:tab w:val="left" w:pos="1985"/>
              </w:tabs>
              <w:spacing w:before="0"/>
              <w:rPr>
                <w:szCs w:val="24"/>
                <w:lang w:val="en-US"/>
              </w:rPr>
            </w:pPr>
            <w:r w:rsidRPr="00EC044E">
              <w:rPr>
                <w:szCs w:val="24"/>
                <w:lang w:val="en-US"/>
              </w:rPr>
              <w:t xml:space="preserve">3. General public will have access to a digital wallet and have signed up as users with the necessary compliance procedures </w:t>
            </w:r>
          </w:p>
          <w:p w14:paraId="1CA642FE" w14:textId="77777777" w:rsidR="00701906" w:rsidRPr="00EC044E" w:rsidRDefault="00701906" w:rsidP="001F7B51">
            <w:pPr>
              <w:tabs>
                <w:tab w:val="left" w:pos="794"/>
                <w:tab w:val="left" w:pos="1191"/>
                <w:tab w:val="left" w:pos="1588"/>
                <w:tab w:val="left" w:pos="1985"/>
              </w:tabs>
              <w:spacing w:before="0"/>
              <w:rPr>
                <w:szCs w:val="24"/>
                <w:lang w:val="en-US"/>
              </w:rPr>
            </w:pPr>
            <w:r w:rsidRPr="00EC044E">
              <w:rPr>
                <w:szCs w:val="24"/>
                <w:lang w:val="en-US"/>
              </w:rPr>
              <w:t xml:space="preserve">4. Merchants to be set up to accept CBDCs as a form of payment </w:t>
            </w:r>
          </w:p>
        </w:tc>
      </w:tr>
    </w:tbl>
    <w:p w14:paraId="054E0CB2" w14:textId="77777777" w:rsidR="00701906" w:rsidRPr="00EC044E" w:rsidRDefault="00701906" w:rsidP="00701906">
      <w:pPr>
        <w:tabs>
          <w:tab w:val="left" w:pos="794"/>
          <w:tab w:val="left" w:pos="1191"/>
          <w:tab w:val="left" w:pos="1588"/>
          <w:tab w:val="left" w:pos="1985"/>
        </w:tabs>
        <w:rPr>
          <w:szCs w:val="24"/>
          <w:lang w:val="en-US"/>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73"/>
      </w:tblGrid>
      <w:tr w:rsidR="00701906" w:rsidRPr="00EC044E" w14:paraId="0DE04176" w14:textId="77777777" w:rsidTr="008A3BB8">
        <w:tc>
          <w:tcPr>
            <w:tcW w:w="9773" w:type="dxa"/>
            <w:tcBorders>
              <w:top w:val="single" w:sz="6" w:space="0" w:color="000000"/>
              <w:left w:val="single" w:sz="6" w:space="0" w:color="000000"/>
              <w:bottom w:val="single" w:sz="6" w:space="0" w:color="000000"/>
              <w:right w:val="single" w:sz="6" w:space="0" w:color="000000"/>
            </w:tcBorders>
            <w:shd w:val="clear" w:color="auto" w:fill="D9D9D9"/>
          </w:tcPr>
          <w:p w14:paraId="1E49BCE4"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Performance needs</w:t>
            </w:r>
          </w:p>
        </w:tc>
      </w:tr>
      <w:tr w:rsidR="00701906" w:rsidRPr="00EC044E" w14:paraId="3E01CDEE" w14:textId="77777777" w:rsidTr="008A3BB8">
        <w:tc>
          <w:tcPr>
            <w:tcW w:w="9773" w:type="dxa"/>
            <w:tcBorders>
              <w:top w:val="single" w:sz="6" w:space="0" w:color="000000"/>
              <w:left w:val="single" w:sz="6" w:space="0" w:color="000000"/>
              <w:bottom w:val="single" w:sz="6" w:space="0" w:color="000000"/>
              <w:right w:val="single" w:sz="6" w:space="0" w:color="000000"/>
            </w:tcBorders>
          </w:tcPr>
          <w:p w14:paraId="6F3BFC0B" w14:textId="77777777" w:rsidR="00701906" w:rsidRPr="00EC044E" w:rsidRDefault="00701906" w:rsidP="001F7B51">
            <w:pPr>
              <w:tabs>
                <w:tab w:val="left" w:pos="794"/>
                <w:tab w:val="left" w:pos="1191"/>
                <w:tab w:val="left" w:pos="1588"/>
                <w:tab w:val="left" w:pos="1985"/>
              </w:tabs>
              <w:spacing w:before="0"/>
              <w:jc w:val="both"/>
              <w:rPr>
                <w:szCs w:val="24"/>
                <w:lang w:val="en-US"/>
              </w:rPr>
            </w:pPr>
            <w:r w:rsidRPr="00EC044E">
              <w:rPr>
                <w:szCs w:val="24"/>
                <w:lang w:val="en-US"/>
              </w:rPr>
              <w:t>1. Transactions processing near real time;</w:t>
            </w:r>
          </w:p>
          <w:p w14:paraId="6B412A54" w14:textId="77777777" w:rsidR="00701906" w:rsidRPr="00EC044E" w:rsidRDefault="00701906" w:rsidP="001F7B51">
            <w:pPr>
              <w:tabs>
                <w:tab w:val="left" w:pos="794"/>
                <w:tab w:val="left" w:pos="1191"/>
                <w:tab w:val="left" w:pos="1588"/>
                <w:tab w:val="left" w:pos="1985"/>
              </w:tabs>
              <w:spacing w:before="0"/>
              <w:jc w:val="both"/>
              <w:rPr>
                <w:i/>
                <w:szCs w:val="24"/>
                <w:highlight w:val="yellow"/>
                <w:lang w:val="en-US"/>
              </w:rPr>
            </w:pPr>
            <w:r w:rsidRPr="00EC044E">
              <w:rPr>
                <w:szCs w:val="24"/>
                <w:lang w:val="en-US"/>
              </w:rPr>
              <w:t>2. 24/7/365 availability;</w:t>
            </w:r>
          </w:p>
        </w:tc>
      </w:tr>
    </w:tbl>
    <w:p w14:paraId="6645EF36" w14:textId="77777777" w:rsidR="00701906" w:rsidRPr="00EC044E" w:rsidRDefault="00701906" w:rsidP="00701906">
      <w:pPr>
        <w:tabs>
          <w:tab w:val="left" w:pos="794"/>
          <w:tab w:val="left" w:pos="1191"/>
          <w:tab w:val="left" w:pos="1588"/>
          <w:tab w:val="left" w:pos="1985"/>
        </w:tabs>
        <w:rPr>
          <w:rFonts w:ascii="Calibri" w:eastAsia="Calibri" w:hAnsi="Calibri" w:cs="Calibri"/>
          <w:b/>
          <w:sz w:val="22"/>
          <w:szCs w:val="22"/>
          <w:lang w:val="en-US"/>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73"/>
      </w:tblGrid>
      <w:tr w:rsidR="00701906" w:rsidRPr="00EC044E" w14:paraId="508783E3" w14:textId="77777777" w:rsidTr="008A3BB8">
        <w:tc>
          <w:tcPr>
            <w:tcW w:w="9773" w:type="dxa"/>
            <w:tcBorders>
              <w:top w:val="single" w:sz="6" w:space="0" w:color="000000"/>
              <w:left w:val="single" w:sz="6" w:space="0" w:color="000000"/>
              <w:bottom w:val="single" w:sz="6" w:space="0" w:color="000000"/>
              <w:right w:val="single" w:sz="6" w:space="0" w:color="000000"/>
            </w:tcBorders>
            <w:shd w:val="clear" w:color="auto" w:fill="D9D9D9"/>
          </w:tcPr>
          <w:p w14:paraId="23F6DCF6"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Legal considerations</w:t>
            </w:r>
          </w:p>
        </w:tc>
      </w:tr>
      <w:tr w:rsidR="00701906" w:rsidRPr="00EC044E" w14:paraId="7263EC30" w14:textId="77777777" w:rsidTr="008A3BB8">
        <w:tc>
          <w:tcPr>
            <w:tcW w:w="9773" w:type="dxa"/>
            <w:tcBorders>
              <w:top w:val="single" w:sz="6" w:space="0" w:color="000000"/>
              <w:left w:val="single" w:sz="6" w:space="0" w:color="000000"/>
              <w:bottom w:val="single" w:sz="6" w:space="0" w:color="000000"/>
              <w:right w:val="single" w:sz="6" w:space="0" w:color="000000"/>
            </w:tcBorders>
          </w:tcPr>
          <w:p w14:paraId="79DB6FFB" w14:textId="77777777" w:rsidR="00701906" w:rsidRPr="00EC044E" w:rsidRDefault="00701906" w:rsidP="008A3BB8">
            <w:pPr>
              <w:tabs>
                <w:tab w:val="left" w:pos="720"/>
                <w:tab w:val="left" w:pos="794"/>
                <w:tab w:val="left" w:pos="1191"/>
                <w:tab w:val="left" w:pos="1588"/>
                <w:tab w:val="left" w:pos="1985"/>
              </w:tabs>
              <w:spacing w:after="60"/>
              <w:rPr>
                <w:szCs w:val="24"/>
                <w:lang w:val="en-US"/>
              </w:rPr>
            </w:pPr>
            <w:r w:rsidRPr="00EC044E">
              <w:rPr>
                <w:szCs w:val="24"/>
                <w:lang w:val="en-US"/>
              </w:rPr>
              <w:t xml:space="preserve">Regulations need to be amended to better suit the utilization of central bank issued digital currencies </w:t>
            </w:r>
          </w:p>
        </w:tc>
      </w:tr>
    </w:tbl>
    <w:p w14:paraId="7E68DEF3" w14:textId="77777777" w:rsidR="00701906" w:rsidRPr="00EC044E" w:rsidRDefault="00701906" w:rsidP="00701906">
      <w:pPr>
        <w:tabs>
          <w:tab w:val="left" w:pos="794"/>
          <w:tab w:val="left" w:pos="1191"/>
          <w:tab w:val="left" w:pos="1588"/>
          <w:tab w:val="left" w:pos="1985"/>
        </w:tabs>
        <w:rPr>
          <w:szCs w:val="24"/>
          <w:lang w:val="en-US"/>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73"/>
      </w:tblGrid>
      <w:tr w:rsidR="00701906" w:rsidRPr="00EC044E" w14:paraId="211F0404" w14:textId="77777777" w:rsidTr="008A3BB8">
        <w:tc>
          <w:tcPr>
            <w:tcW w:w="9773" w:type="dxa"/>
            <w:tcBorders>
              <w:top w:val="single" w:sz="6" w:space="0" w:color="000000"/>
              <w:left w:val="single" w:sz="6" w:space="0" w:color="000000"/>
              <w:bottom w:val="single" w:sz="6" w:space="0" w:color="000000"/>
              <w:right w:val="single" w:sz="6" w:space="0" w:color="000000"/>
            </w:tcBorders>
            <w:shd w:val="clear" w:color="auto" w:fill="D9D9D9"/>
          </w:tcPr>
          <w:p w14:paraId="183E17AD"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Risks</w:t>
            </w:r>
          </w:p>
        </w:tc>
      </w:tr>
      <w:tr w:rsidR="00701906" w:rsidRPr="00EC044E" w14:paraId="381E53BE" w14:textId="77777777" w:rsidTr="008A3BB8">
        <w:tc>
          <w:tcPr>
            <w:tcW w:w="9773" w:type="dxa"/>
            <w:tcBorders>
              <w:top w:val="single" w:sz="6" w:space="0" w:color="000000"/>
              <w:left w:val="single" w:sz="6" w:space="0" w:color="000000"/>
              <w:bottom w:val="single" w:sz="6" w:space="0" w:color="000000"/>
              <w:right w:val="single" w:sz="6" w:space="0" w:color="000000"/>
            </w:tcBorders>
          </w:tcPr>
          <w:p w14:paraId="3DE9E1D3" w14:textId="77777777" w:rsidR="00701906" w:rsidRPr="00EC044E" w:rsidRDefault="00701906" w:rsidP="001F7B51">
            <w:pPr>
              <w:tabs>
                <w:tab w:val="left" w:pos="720"/>
                <w:tab w:val="left" w:pos="794"/>
                <w:tab w:val="left" w:pos="1191"/>
                <w:tab w:val="left" w:pos="1588"/>
                <w:tab w:val="left" w:pos="1985"/>
              </w:tabs>
              <w:spacing w:before="0"/>
              <w:rPr>
                <w:szCs w:val="24"/>
                <w:lang w:val="en-US"/>
              </w:rPr>
            </w:pPr>
            <w:r w:rsidRPr="00EC044E">
              <w:rPr>
                <w:szCs w:val="24"/>
                <w:lang w:val="en-US"/>
              </w:rPr>
              <w:t>1.Security risks: hacks, bad actors, etc.</w:t>
            </w:r>
          </w:p>
          <w:p w14:paraId="5089235C" w14:textId="77777777" w:rsidR="00701906" w:rsidRPr="00EC044E" w:rsidRDefault="00701906" w:rsidP="001F7B51">
            <w:pPr>
              <w:tabs>
                <w:tab w:val="left" w:pos="720"/>
                <w:tab w:val="left" w:pos="794"/>
                <w:tab w:val="left" w:pos="1191"/>
                <w:tab w:val="left" w:pos="1588"/>
                <w:tab w:val="left" w:pos="1985"/>
              </w:tabs>
              <w:spacing w:before="0"/>
              <w:rPr>
                <w:szCs w:val="24"/>
                <w:lang w:val="en-US"/>
              </w:rPr>
            </w:pPr>
            <w:r w:rsidRPr="00EC044E">
              <w:rPr>
                <w:szCs w:val="24"/>
                <w:lang w:val="en-US"/>
              </w:rPr>
              <w:t>2. Network reliance risk: should the internet go down, the CBDC network will not be able to operate. Offline transaction mechanisms are being tested yet are not operational yet.</w:t>
            </w:r>
          </w:p>
        </w:tc>
      </w:tr>
    </w:tbl>
    <w:p w14:paraId="7E7F7942" w14:textId="77777777" w:rsidR="00701906" w:rsidRPr="00EC044E" w:rsidRDefault="00701906" w:rsidP="00701906">
      <w:pPr>
        <w:tabs>
          <w:tab w:val="left" w:pos="794"/>
          <w:tab w:val="left" w:pos="1191"/>
          <w:tab w:val="left" w:pos="1588"/>
          <w:tab w:val="left" w:pos="1985"/>
        </w:tabs>
        <w:rPr>
          <w:szCs w:val="24"/>
          <w:lang w:val="en-US"/>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73"/>
      </w:tblGrid>
      <w:tr w:rsidR="00701906" w:rsidRPr="00EC044E" w14:paraId="0F93156C" w14:textId="77777777" w:rsidTr="008A3BB8">
        <w:tc>
          <w:tcPr>
            <w:tcW w:w="9773" w:type="dxa"/>
            <w:tcBorders>
              <w:top w:val="single" w:sz="6" w:space="0" w:color="000000"/>
              <w:left w:val="single" w:sz="6" w:space="0" w:color="000000"/>
              <w:bottom w:val="single" w:sz="6" w:space="0" w:color="000000"/>
              <w:right w:val="single" w:sz="6" w:space="0" w:color="000000"/>
            </w:tcBorders>
            <w:shd w:val="clear" w:color="auto" w:fill="D9D9D9"/>
          </w:tcPr>
          <w:p w14:paraId="7B5BE5FD"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Special Requirements</w:t>
            </w:r>
          </w:p>
        </w:tc>
      </w:tr>
      <w:tr w:rsidR="00701906" w:rsidRPr="00EC044E" w14:paraId="3A17AFD3" w14:textId="77777777" w:rsidTr="008A3BB8">
        <w:tc>
          <w:tcPr>
            <w:tcW w:w="9773" w:type="dxa"/>
            <w:tcBorders>
              <w:top w:val="single" w:sz="6" w:space="0" w:color="000000"/>
              <w:left w:val="single" w:sz="6" w:space="0" w:color="000000"/>
              <w:bottom w:val="single" w:sz="6" w:space="0" w:color="000000"/>
              <w:right w:val="single" w:sz="6" w:space="0" w:color="000000"/>
            </w:tcBorders>
          </w:tcPr>
          <w:p w14:paraId="18A9831D" w14:textId="77777777" w:rsidR="00701906" w:rsidRPr="00EC044E" w:rsidRDefault="00701906" w:rsidP="008A3BB8">
            <w:pPr>
              <w:tabs>
                <w:tab w:val="left" w:pos="720"/>
                <w:tab w:val="left" w:pos="794"/>
                <w:tab w:val="left" w:pos="1191"/>
                <w:tab w:val="left" w:pos="1588"/>
                <w:tab w:val="left" w:pos="1985"/>
              </w:tabs>
              <w:spacing w:after="60"/>
              <w:rPr>
                <w:szCs w:val="24"/>
                <w:lang w:val="en-US"/>
              </w:rPr>
            </w:pPr>
            <w:r w:rsidRPr="00EC044E">
              <w:rPr>
                <w:szCs w:val="24"/>
                <w:lang w:val="en-US"/>
              </w:rPr>
              <w:t>N/A</w:t>
            </w:r>
          </w:p>
        </w:tc>
      </w:tr>
    </w:tbl>
    <w:p w14:paraId="39C105A6" w14:textId="77777777" w:rsidR="00701906" w:rsidRPr="00EC044E" w:rsidRDefault="00701906" w:rsidP="00701906">
      <w:pPr>
        <w:tabs>
          <w:tab w:val="left" w:pos="794"/>
          <w:tab w:val="left" w:pos="1191"/>
          <w:tab w:val="left" w:pos="1588"/>
          <w:tab w:val="left" w:pos="1985"/>
        </w:tabs>
        <w:rPr>
          <w:szCs w:val="24"/>
          <w:lang w:val="en-US"/>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73"/>
      </w:tblGrid>
      <w:tr w:rsidR="00701906" w:rsidRPr="00EC044E" w14:paraId="23705555" w14:textId="77777777" w:rsidTr="008A3BB8">
        <w:tc>
          <w:tcPr>
            <w:tcW w:w="9773" w:type="dxa"/>
            <w:tcBorders>
              <w:top w:val="single" w:sz="6" w:space="0" w:color="000000"/>
              <w:left w:val="single" w:sz="6" w:space="0" w:color="000000"/>
              <w:bottom w:val="single" w:sz="6" w:space="0" w:color="000000"/>
              <w:right w:val="single" w:sz="6" w:space="0" w:color="000000"/>
            </w:tcBorders>
            <w:shd w:val="clear" w:color="auto" w:fill="D9D9D9"/>
          </w:tcPr>
          <w:p w14:paraId="3D027C88" w14:textId="77777777" w:rsidR="00701906" w:rsidRPr="00EC044E" w:rsidRDefault="00701906" w:rsidP="008A3BB8">
            <w:pPr>
              <w:tabs>
                <w:tab w:val="left" w:pos="794"/>
                <w:tab w:val="left" w:pos="1191"/>
                <w:tab w:val="left" w:pos="1588"/>
                <w:tab w:val="left" w:pos="1985"/>
              </w:tabs>
              <w:spacing w:before="0"/>
              <w:rPr>
                <w:b/>
                <w:szCs w:val="24"/>
                <w:lang w:val="en-US"/>
              </w:rPr>
            </w:pPr>
            <w:r w:rsidRPr="00EC044E">
              <w:rPr>
                <w:b/>
                <w:szCs w:val="24"/>
                <w:lang w:val="en-US"/>
              </w:rPr>
              <w:t>External References and Miscellaneous</w:t>
            </w:r>
          </w:p>
        </w:tc>
      </w:tr>
      <w:tr w:rsidR="00701906" w:rsidRPr="00EC044E" w14:paraId="6C4CC3C8" w14:textId="77777777" w:rsidTr="008A3BB8">
        <w:tc>
          <w:tcPr>
            <w:tcW w:w="9773" w:type="dxa"/>
            <w:tcBorders>
              <w:top w:val="single" w:sz="6" w:space="0" w:color="000000"/>
              <w:left w:val="single" w:sz="6" w:space="0" w:color="000000"/>
              <w:bottom w:val="single" w:sz="6" w:space="0" w:color="000000"/>
              <w:right w:val="single" w:sz="6" w:space="0" w:color="000000"/>
            </w:tcBorders>
          </w:tcPr>
          <w:p w14:paraId="2786753F" w14:textId="77777777" w:rsidR="00701906" w:rsidRPr="00EC044E" w:rsidRDefault="00701906" w:rsidP="00A24280">
            <w:pPr>
              <w:numPr>
                <w:ilvl w:val="0"/>
                <w:numId w:val="31"/>
              </w:numPr>
              <w:tabs>
                <w:tab w:val="left" w:pos="794"/>
                <w:tab w:val="left" w:pos="1191"/>
                <w:tab w:val="left" w:pos="1588"/>
                <w:tab w:val="left" w:pos="1985"/>
              </w:tabs>
              <w:jc w:val="both"/>
              <w:rPr>
                <w:szCs w:val="24"/>
                <w:lang w:val="en-US"/>
              </w:rPr>
            </w:pPr>
            <w:r w:rsidRPr="00EC044E">
              <w:rPr>
                <w:szCs w:val="24"/>
                <w:lang w:val="en-US"/>
              </w:rPr>
              <w:t xml:space="preserve">Current Pilot Project with the Eastern Caribbean Central Bank to issue a legal, digital EC Dollar: </w:t>
            </w:r>
            <w:hyperlink r:id="rId89">
              <w:r w:rsidRPr="00EC044E">
                <w:rPr>
                  <w:color w:val="1155CC"/>
                  <w:szCs w:val="24"/>
                  <w:u w:val="single"/>
                  <w:lang w:val="en-US"/>
                </w:rPr>
                <w:t>https://www.eccb-centralbank.org/news/view/eccb-to-issue-worldas-first-blockchain-based-digital-currency</w:t>
              </w:r>
            </w:hyperlink>
          </w:p>
        </w:tc>
      </w:tr>
    </w:tbl>
    <w:p w14:paraId="57FFBDF3" w14:textId="77777777" w:rsidR="00701906" w:rsidRPr="00EC044E" w:rsidRDefault="00701906" w:rsidP="00701906">
      <w:pPr>
        <w:keepLines/>
        <w:tabs>
          <w:tab w:val="left" w:pos="255"/>
          <w:tab w:val="left" w:pos="794"/>
          <w:tab w:val="left" w:pos="1191"/>
          <w:tab w:val="left" w:pos="1588"/>
          <w:tab w:val="left" w:pos="1985"/>
        </w:tabs>
        <w:spacing w:before="80"/>
        <w:ind w:left="255" w:hanging="255"/>
        <w:rPr>
          <w:szCs w:val="24"/>
          <w:lang w:val="en-US"/>
        </w:rPr>
      </w:pPr>
    </w:p>
    <w:p w14:paraId="019DAFD2" w14:textId="77777777" w:rsidR="00701906" w:rsidRPr="00EC044E" w:rsidRDefault="00701906" w:rsidP="00701906">
      <w:pPr>
        <w:tabs>
          <w:tab w:val="left" w:pos="794"/>
          <w:tab w:val="left" w:pos="1191"/>
          <w:tab w:val="left" w:pos="1588"/>
          <w:tab w:val="left" w:pos="1985"/>
        </w:tabs>
        <w:spacing w:before="0" w:after="160" w:line="259" w:lineRule="auto"/>
        <w:jc w:val="center"/>
        <w:rPr>
          <w:szCs w:val="24"/>
          <w:lang w:val="en-US"/>
        </w:rPr>
      </w:pPr>
      <w:r w:rsidRPr="00EC044E">
        <w:rPr>
          <w:szCs w:val="24"/>
          <w:lang w:val="en-US"/>
        </w:rPr>
        <w:t>____________________</w:t>
      </w:r>
    </w:p>
    <w:p w14:paraId="196EADD5" w14:textId="77777777" w:rsidR="00701906" w:rsidRPr="0012245A" w:rsidRDefault="00701906" w:rsidP="00701906">
      <w:pPr>
        <w:tabs>
          <w:tab w:val="left" w:pos="794"/>
          <w:tab w:val="left" w:pos="1191"/>
          <w:tab w:val="left" w:pos="1588"/>
          <w:tab w:val="left" w:pos="1985"/>
        </w:tabs>
        <w:rPr>
          <w:rFonts w:eastAsia="Batang"/>
          <w:lang w:val="fr-CH"/>
        </w:rPr>
      </w:pPr>
    </w:p>
    <w:p w14:paraId="460F941B" w14:textId="77777777" w:rsidR="00701906" w:rsidRDefault="00701906" w:rsidP="00E219DB">
      <w:pPr>
        <w:spacing w:before="0"/>
        <w:rPr>
          <w:rFonts w:eastAsia="Batang"/>
          <w:b/>
          <w:szCs w:val="24"/>
        </w:rPr>
      </w:pPr>
    </w:p>
    <w:p w14:paraId="5EB198F9" w14:textId="77777777" w:rsidR="00701906" w:rsidRDefault="00701906" w:rsidP="00E219DB">
      <w:pPr>
        <w:spacing w:before="0"/>
        <w:rPr>
          <w:rFonts w:eastAsia="Batang"/>
          <w:b/>
          <w:szCs w:val="24"/>
        </w:rPr>
      </w:pPr>
    </w:p>
    <w:p w14:paraId="5E4683CA" w14:textId="77777777" w:rsidR="00701906" w:rsidRDefault="00701906" w:rsidP="00E219DB">
      <w:pPr>
        <w:spacing w:before="0"/>
        <w:rPr>
          <w:rFonts w:eastAsia="Batang"/>
          <w:b/>
          <w:szCs w:val="24"/>
        </w:rPr>
      </w:pPr>
    </w:p>
    <w:p w14:paraId="3302E3B6" w14:textId="77777777" w:rsidR="001F7B51" w:rsidRDefault="001F7B51" w:rsidP="005157BE">
      <w:pPr>
        <w:pStyle w:val="Heading2"/>
        <w:numPr>
          <w:ilvl w:val="1"/>
          <w:numId w:val="47"/>
        </w:numPr>
        <w:ind w:left="576"/>
        <w:rPr>
          <w:rFonts w:eastAsia="Batang"/>
          <w:b w:val="0"/>
          <w:szCs w:val="24"/>
        </w:rPr>
      </w:pPr>
      <w:r>
        <w:rPr>
          <w:rFonts w:eastAsia="Batang"/>
          <w:b w:val="0"/>
          <w:szCs w:val="24"/>
        </w:rPr>
        <w:br w:type="page"/>
      </w:r>
    </w:p>
    <w:p w14:paraId="3150BBAC" w14:textId="3DF6736C" w:rsidR="00E219DB" w:rsidRPr="00497C70" w:rsidRDefault="00E219DB" w:rsidP="0060119B">
      <w:pPr>
        <w:spacing w:before="0" w:after="120" w:line="264" w:lineRule="auto"/>
      </w:pPr>
      <w:r w:rsidRPr="00497C70">
        <w:rPr>
          <w:rFonts w:eastAsia="Batang"/>
          <w:b/>
          <w:szCs w:val="24"/>
        </w:rPr>
        <w:t>Bibliography</w:t>
      </w:r>
    </w:p>
    <w:p w14:paraId="0BAF30B0" w14:textId="17BF7C3C" w:rsidR="00E219DB" w:rsidRPr="00190C9D" w:rsidRDefault="00E219DB" w:rsidP="00A24280">
      <w:pPr>
        <w:pStyle w:val="ListParagraph"/>
        <w:numPr>
          <w:ilvl w:val="0"/>
          <w:numId w:val="10"/>
        </w:numPr>
        <w:autoSpaceDE w:val="0"/>
        <w:autoSpaceDN w:val="0"/>
        <w:adjustRightInd w:val="0"/>
        <w:spacing w:after="120" w:line="264" w:lineRule="auto"/>
        <w:ind w:left="360"/>
        <w:contextualSpacing w:val="0"/>
        <w:rPr>
          <w:szCs w:val="24"/>
          <w:lang w:val="en-US"/>
        </w:rPr>
      </w:pPr>
      <w:r w:rsidRPr="00497C70">
        <w:rPr>
          <w:rFonts w:ascii="Times New Roman" w:hAnsi="Times New Roman" w:cs="Times New Roman"/>
          <w:sz w:val="24"/>
          <w:szCs w:val="24"/>
          <w:lang w:val="en-US"/>
        </w:rPr>
        <w:t>Adam Furgal, Rodney Garratt, Zhiling Guo, Dave Hudson (2018). “</w:t>
      </w:r>
      <w:r w:rsidRPr="00497C70">
        <w:rPr>
          <w:rFonts w:ascii="Times New Roman" w:hAnsi="Times New Roman" w:cs="Times New Roman"/>
          <w:b/>
          <w:i/>
          <w:iCs/>
          <w:sz w:val="24"/>
          <w:szCs w:val="24"/>
          <w:lang w:val="en-US"/>
        </w:rPr>
        <w:t>A Proposal for a Decentralized Liquidity Savings Mechanism with Side Payments”</w:t>
      </w:r>
      <w:r w:rsidRPr="00497C70">
        <w:rPr>
          <w:rFonts w:ascii="Times New Roman" w:hAnsi="Times New Roman" w:cs="Times New Roman"/>
          <w:sz w:val="24"/>
          <w:szCs w:val="24"/>
          <w:lang w:val="en-US"/>
        </w:rPr>
        <w:t>. R3 Report. June 11.</w:t>
      </w:r>
    </w:p>
    <w:p w14:paraId="280DD64D" w14:textId="73A0A8C8" w:rsidR="00190C9D" w:rsidRPr="00190C9D" w:rsidRDefault="00190C9D" w:rsidP="00A24280">
      <w:pPr>
        <w:pStyle w:val="ListParagraph"/>
        <w:numPr>
          <w:ilvl w:val="0"/>
          <w:numId w:val="10"/>
        </w:numPr>
        <w:autoSpaceDE w:val="0"/>
        <w:autoSpaceDN w:val="0"/>
        <w:adjustRightInd w:val="0"/>
        <w:spacing w:after="120" w:line="264" w:lineRule="auto"/>
        <w:ind w:left="360"/>
        <w:contextualSpacing w:val="0"/>
        <w:rPr>
          <w:rFonts w:ascii="Times New Roman" w:hAnsi="Times New Roman" w:cs="Times New Roman"/>
          <w:sz w:val="24"/>
          <w:szCs w:val="24"/>
          <w:lang w:val="en-US"/>
        </w:rPr>
      </w:pPr>
      <w:r w:rsidRPr="00190C9D">
        <w:rPr>
          <w:rFonts w:ascii="Times New Roman" w:hAnsi="Times New Roman" w:cs="Times New Roman"/>
          <w:sz w:val="24"/>
          <w:szCs w:val="24"/>
          <w:lang w:val="en-US"/>
        </w:rPr>
        <w:t>Adrian, Tobias</w:t>
      </w:r>
      <w:r>
        <w:rPr>
          <w:rFonts w:ascii="Times New Roman" w:hAnsi="Times New Roman" w:cs="Times New Roman"/>
          <w:sz w:val="24"/>
          <w:szCs w:val="24"/>
          <w:lang w:val="en-US"/>
        </w:rPr>
        <w:t xml:space="preserve"> (</w:t>
      </w:r>
      <w:r w:rsidRPr="00190C9D">
        <w:rPr>
          <w:rFonts w:ascii="Times New Roman" w:hAnsi="Times New Roman" w:cs="Times New Roman"/>
          <w:sz w:val="24"/>
          <w:szCs w:val="24"/>
          <w:lang w:val="en-US"/>
        </w:rPr>
        <w:t>2019</w:t>
      </w:r>
      <w:r>
        <w:rPr>
          <w:rFonts w:ascii="Times New Roman" w:hAnsi="Times New Roman" w:cs="Times New Roman"/>
          <w:sz w:val="24"/>
          <w:szCs w:val="24"/>
          <w:lang w:val="en-US"/>
        </w:rPr>
        <w:t>)</w:t>
      </w:r>
      <w:r w:rsidRPr="00190C9D">
        <w:rPr>
          <w:rFonts w:ascii="Times New Roman" w:hAnsi="Times New Roman" w:cs="Times New Roman"/>
          <w:sz w:val="24"/>
          <w:szCs w:val="24"/>
          <w:lang w:val="en-US"/>
        </w:rPr>
        <w:t xml:space="preserve">, </w:t>
      </w:r>
      <w:r w:rsidRPr="00190C9D">
        <w:rPr>
          <w:rFonts w:ascii="Times New Roman" w:hAnsi="Times New Roman" w:cs="Times New Roman"/>
          <w:b/>
          <w:i/>
          <w:sz w:val="24"/>
          <w:szCs w:val="24"/>
          <w:lang w:val="en-US"/>
        </w:rPr>
        <w:t>"Stablecoins, Central Bank Digital Currencies, and Cross-Border Payments: A New Look at the International Monetary System,"</w:t>
      </w:r>
      <w:r w:rsidRPr="00190C9D">
        <w:rPr>
          <w:rFonts w:ascii="Times New Roman" w:hAnsi="Times New Roman" w:cs="Times New Roman"/>
          <w:sz w:val="24"/>
          <w:szCs w:val="24"/>
          <w:lang w:val="en-US"/>
        </w:rPr>
        <w:t xml:space="preserve"> Remarks at the IMF-Swiss National Bank Conference, Zurich, May 14.</w:t>
      </w:r>
    </w:p>
    <w:p w14:paraId="6518F895" w14:textId="5B837CB4" w:rsidR="00917B35" w:rsidRPr="00917B35" w:rsidRDefault="00917B35" w:rsidP="00A24280">
      <w:pPr>
        <w:pStyle w:val="ListParagraph"/>
        <w:numPr>
          <w:ilvl w:val="0"/>
          <w:numId w:val="10"/>
        </w:numPr>
        <w:autoSpaceDE w:val="0"/>
        <w:autoSpaceDN w:val="0"/>
        <w:adjustRightInd w:val="0"/>
        <w:spacing w:after="120" w:line="264" w:lineRule="auto"/>
        <w:ind w:left="360"/>
        <w:contextualSpacing w:val="0"/>
        <w:rPr>
          <w:rFonts w:ascii="Times New Roman" w:hAnsi="Times New Roman" w:cs="Times New Roman"/>
          <w:sz w:val="24"/>
          <w:szCs w:val="24"/>
          <w:lang w:val="en-US"/>
        </w:rPr>
      </w:pPr>
      <w:r w:rsidRPr="00917B35">
        <w:rPr>
          <w:rFonts w:ascii="Times New Roman" w:hAnsi="Times New Roman" w:cs="Times New Roman"/>
          <w:sz w:val="24"/>
          <w:szCs w:val="24"/>
          <w:lang w:val="en-US"/>
        </w:rPr>
        <w:t>Agarwal, R., and M. Kimball</w:t>
      </w:r>
      <w:r>
        <w:rPr>
          <w:rFonts w:ascii="Times New Roman" w:hAnsi="Times New Roman" w:cs="Times New Roman"/>
          <w:sz w:val="24"/>
          <w:szCs w:val="24"/>
          <w:lang w:val="en-US"/>
        </w:rPr>
        <w:t xml:space="preserve"> (</w:t>
      </w:r>
      <w:r w:rsidRPr="00917B35">
        <w:rPr>
          <w:rFonts w:ascii="Times New Roman" w:hAnsi="Times New Roman" w:cs="Times New Roman"/>
          <w:sz w:val="24"/>
          <w:szCs w:val="24"/>
          <w:lang w:val="en-US"/>
        </w:rPr>
        <w:t>2015</w:t>
      </w:r>
      <w:r>
        <w:rPr>
          <w:rFonts w:ascii="Times New Roman" w:hAnsi="Times New Roman" w:cs="Times New Roman"/>
          <w:sz w:val="24"/>
          <w:szCs w:val="24"/>
          <w:lang w:val="en-US"/>
        </w:rPr>
        <w:t>)</w:t>
      </w:r>
      <w:r w:rsidRPr="00917B35">
        <w:rPr>
          <w:rFonts w:ascii="Times New Roman" w:hAnsi="Times New Roman" w:cs="Times New Roman"/>
          <w:sz w:val="24"/>
          <w:szCs w:val="24"/>
          <w:lang w:val="en-US"/>
        </w:rPr>
        <w:t>. “</w:t>
      </w:r>
      <w:r w:rsidRPr="00917B35">
        <w:rPr>
          <w:rFonts w:ascii="Times New Roman" w:hAnsi="Times New Roman" w:cs="Times New Roman"/>
          <w:b/>
          <w:i/>
          <w:sz w:val="24"/>
          <w:szCs w:val="24"/>
          <w:lang w:val="en-US"/>
        </w:rPr>
        <w:t>Breaking through the Zero Lower Bound</w:t>
      </w:r>
      <w:r w:rsidRPr="00917B35">
        <w:rPr>
          <w:rFonts w:ascii="Times New Roman" w:hAnsi="Times New Roman" w:cs="Times New Roman"/>
          <w:sz w:val="24"/>
          <w:szCs w:val="24"/>
          <w:lang w:val="en-US"/>
        </w:rPr>
        <w:t>.” IMF Working Paper 15/224, International Monetary Fund, Washington, DC.</w:t>
      </w:r>
    </w:p>
    <w:p w14:paraId="6A3ED315" w14:textId="2C6F11A5" w:rsidR="00C03B6E" w:rsidRPr="00C03B6E" w:rsidRDefault="00C03B6E" w:rsidP="00A24280">
      <w:pPr>
        <w:pStyle w:val="ListParagraph"/>
        <w:numPr>
          <w:ilvl w:val="0"/>
          <w:numId w:val="10"/>
        </w:numPr>
        <w:autoSpaceDE w:val="0"/>
        <w:autoSpaceDN w:val="0"/>
        <w:adjustRightInd w:val="0"/>
        <w:spacing w:after="120" w:line="264" w:lineRule="auto"/>
        <w:ind w:left="360"/>
        <w:contextualSpacing w:val="0"/>
        <w:rPr>
          <w:rFonts w:ascii="Times New Roman" w:hAnsi="Times New Roman" w:cs="Times New Roman"/>
          <w:sz w:val="24"/>
          <w:szCs w:val="24"/>
          <w:lang w:val="en-US"/>
        </w:rPr>
      </w:pPr>
      <w:r w:rsidRPr="00C03B6E">
        <w:rPr>
          <w:rFonts w:ascii="Times New Roman" w:hAnsi="Times New Roman" w:cs="Times New Roman"/>
          <w:sz w:val="24"/>
          <w:szCs w:val="24"/>
          <w:lang w:val="en-US"/>
        </w:rPr>
        <w:t>Bank of Canada et al (2017). “</w:t>
      </w:r>
      <w:r w:rsidRPr="00C03B6E">
        <w:rPr>
          <w:rFonts w:ascii="Times New Roman" w:hAnsi="Times New Roman" w:cs="Times New Roman"/>
          <w:b/>
          <w:i/>
          <w:sz w:val="24"/>
          <w:szCs w:val="24"/>
          <w:lang w:val="en-US"/>
        </w:rPr>
        <w:t>Project Jasper: A Canadian Experiment with Distributed Ledger Technology for Domestic Interbank Payments Settlement</w:t>
      </w:r>
      <w:r w:rsidRPr="00C03B6E">
        <w:rPr>
          <w:rFonts w:ascii="Times New Roman" w:hAnsi="Times New Roman" w:cs="Times New Roman"/>
          <w:sz w:val="24"/>
          <w:szCs w:val="24"/>
          <w:lang w:val="en-US"/>
        </w:rPr>
        <w:t>”</w:t>
      </w:r>
      <w:r>
        <w:rPr>
          <w:rFonts w:ascii="Times New Roman" w:hAnsi="Times New Roman" w:cs="Times New Roman"/>
          <w:sz w:val="24"/>
          <w:szCs w:val="24"/>
          <w:lang w:val="en-US"/>
        </w:rPr>
        <w:t>.</w:t>
      </w:r>
      <w:r w:rsidRPr="00C03B6E">
        <w:rPr>
          <w:rFonts w:ascii="Times New Roman" w:hAnsi="Times New Roman" w:cs="Times New Roman"/>
          <w:sz w:val="24"/>
          <w:szCs w:val="24"/>
          <w:lang w:val="en-US"/>
        </w:rPr>
        <w:t xml:space="preserve"> Report prepared jointly by Bank of Canada, Payments Canada and R3. September.</w:t>
      </w:r>
    </w:p>
    <w:p w14:paraId="1B47F237" w14:textId="406F72F0" w:rsidR="00E219DB" w:rsidRPr="00C106AC" w:rsidRDefault="00E219DB" w:rsidP="00A24280">
      <w:pPr>
        <w:pStyle w:val="ListParagraph"/>
        <w:numPr>
          <w:ilvl w:val="0"/>
          <w:numId w:val="10"/>
        </w:numPr>
        <w:autoSpaceDE w:val="0"/>
        <w:autoSpaceDN w:val="0"/>
        <w:adjustRightInd w:val="0"/>
        <w:spacing w:after="120" w:line="264" w:lineRule="auto"/>
        <w:ind w:left="360"/>
        <w:contextualSpacing w:val="0"/>
        <w:rPr>
          <w:szCs w:val="24"/>
          <w:lang w:val="en-US"/>
        </w:rPr>
      </w:pPr>
      <w:r w:rsidRPr="00497C70">
        <w:rPr>
          <w:rFonts w:ascii="Times New Roman" w:hAnsi="Times New Roman" w:cs="Times New Roman"/>
          <w:sz w:val="24"/>
          <w:szCs w:val="24"/>
          <w:lang w:val="en-US"/>
        </w:rPr>
        <w:t>Bank of Canada et al (2018). “</w:t>
      </w:r>
      <w:r w:rsidRPr="00497C70">
        <w:rPr>
          <w:rFonts w:ascii="Times New Roman" w:hAnsi="Times New Roman" w:cs="Times New Roman"/>
          <w:b/>
          <w:i/>
          <w:iCs/>
          <w:sz w:val="24"/>
          <w:szCs w:val="24"/>
          <w:lang w:val="en-US"/>
        </w:rPr>
        <w:t>Jasper Phase III: Securities Settlement Using Distributed Ledger Technology</w:t>
      </w:r>
      <w:r w:rsidRPr="00497C70">
        <w:rPr>
          <w:rFonts w:ascii="Times New Roman" w:hAnsi="Times New Roman" w:cs="Times New Roman"/>
          <w:sz w:val="24"/>
          <w:szCs w:val="24"/>
          <w:lang w:val="en-US"/>
        </w:rPr>
        <w:t>”. Report prepared jointly by Bank of Canada, TMX Group, Payments Canada, Accenture and R3. October.</w:t>
      </w:r>
    </w:p>
    <w:p w14:paraId="0E994153" w14:textId="7E55FC18" w:rsidR="004C06AB" w:rsidRPr="00C106AC" w:rsidRDefault="004C06AB" w:rsidP="004C06AB">
      <w:pPr>
        <w:pStyle w:val="ListParagraph"/>
        <w:numPr>
          <w:ilvl w:val="0"/>
          <w:numId w:val="10"/>
        </w:numPr>
        <w:autoSpaceDE w:val="0"/>
        <w:autoSpaceDN w:val="0"/>
        <w:adjustRightInd w:val="0"/>
        <w:spacing w:after="120" w:line="264" w:lineRule="auto"/>
        <w:ind w:left="360"/>
        <w:contextualSpacing w:val="0"/>
        <w:rPr>
          <w:b/>
          <w:bCs/>
          <w:szCs w:val="24"/>
        </w:rPr>
      </w:pPr>
      <w:r w:rsidRPr="00E4196D">
        <w:rPr>
          <w:rFonts w:ascii="Times New Roman" w:hAnsi="Times New Roman" w:cs="Times New Roman"/>
          <w:bCs/>
          <w:sz w:val="24"/>
          <w:szCs w:val="24"/>
        </w:rPr>
        <w:t xml:space="preserve">Bank of </w:t>
      </w:r>
      <w:r w:rsidRPr="00E4196D">
        <w:rPr>
          <w:rFonts w:ascii="Times New Roman" w:hAnsi="Times New Roman" w:cs="Times New Roman"/>
          <w:sz w:val="24"/>
          <w:szCs w:val="24"/>
          <w:lang w:val="en-US"/>
        </w:rPr>
        <w:t>Canada</w:t>
      </w:r>
      <w:r w:rsidRPr="00E4196D">
        <w:rPr>
          <w:rFonts w:ascii="Times New Roman" w:hAnsi="Times New Roman" w:cs="Times New Roman"/>
          <w:bCs/>
          <w:sz w:val="24"/>
          <w:szCs w:val="24"/>
        </w:rPr>
        <w:t xml:space="preserve"> (BoC)</w:t>
      </w:r>
      <w:r>
        <w:rPr>
          <w:rFonts w:ascii="Times New Roman" w:hAnsi="Times New Roman" w:cs="Times New Roman"/>
          <w:bCs/>
          <w:sz w:val="24"/>
          <w:szCs w:val="24"/>
        </w:rPr>
        <w:t xml:space="preserve"> </w:t>
      </w:r>
      <w:r w:rsidRPr="00E4196D">
        <w:rPr>
          <w:rFonts w:ascii="Times New Roman" w:hAnsi="Times New Roman" w:cs="Times New Roman"/>
          <w:bCs/>
          <w:sz w:val="24"/>
          <w:szCs w:val="24"/>
        </w:rPr>
        <w:t xml:space="preserve">and Monetary Authority of Singapore (MAS) </w:t>
      </w:r>
      <w:r>
        <w:rPr>
          <w:rFonts w:ascii="Times New Roman" w:hAnsi="Times New Roman" w:cs="Times New Roman"/>
          <w:bCs/>
          <w:sz w:val="24"/>
          <w:szCs w:val="24"/>
        </w:rPr>
        <w:t>(</w:t>
      </w:r>
      <w:r w:rsidRPr="00E4196D">
        <w:rPr>
          <w:rFonts w:ascii="Times New Roman" w:hAnsi="Times New Roman" w:cs="Times New Roman"/>
          <w:bCs/>
          <w:sz w:val="24"/>
          <w:szCs w:val="24"/>
        </w:rPr>
        <w:t>201</w:t>
      </w:r>
      <w:r>
        <w:rPr>
          <w:rFonts w:ascii="Times New Roman" w:hAnsi="Times New Roman" w:cs="Times New Roman"/>
          <w:bCs/>
          <w:sz w:val="24"/>
          <w:szCs w:val="24"/>
        </w:rPr>
        <w:t>9).</w:t>
      </w:r>
      <w:r w:rsidRPr="00E4196D">
        <w:rPr>
          <w:rFonts w:ascii="Times New Roman" w:hAnsi="Times New Roman" w:cs="Times New Roman"/>
          <w:bCs/>
          <w:sz w:val="24"/>
          <w:szCs w:val="24"/>
        </w:rPr>
        <w:t xml:space="preserve"> "</w:t>
      </w:r>
      <w:r w:rsidRPr="00C106AC">
        <w:rPr>
          <w:rFonts w:ascii="Times New Roman" w:hAnsi="Times New Roman" w:cs="Times New Roman"/>
          <w:b/>
          <w:bCs/>
          <w:i/>
          <w:sz w:val="24"/>
          <w:szCs w:val="24"/>
        </w:rPr>
        <w:t>Enabling Cross-Border High Value Transfer Using Distributed Ledger Technology</w:t>
      </w:r>
      <w:r w:rsidRPr="00E4196D">
        <w:rPr>
          <w:rFonts w:ascii="Times New Roman" w:hAnsi="Times New Roman" w:cs="Times New Roman"/>
          <w:bCs/>
          <w:sz w:val="24"/>
          <w:szCs w:val="24"/>
        </w:rPr>
        <w:t xml:space="preserve">," </w:t>
      </w:r>
      <w:r>
        <w:rPr>
          <w:rFonts w:ascii="Times New Roman" w:hAnsi="Times New Roman" w:cs="Times New Roman"/>
          <w:bCs/>
          <w:sz w:val="24"/>
          <w:szCs w:val="24"/>
        </w:rPr>
        <w:t>May</w:t>
      </w:r>
      <w:r w:rsidRPr="00E4196D">
        <w:rPr>
          <w:rFonts w:ascii="Times New Roman" w:hAnsi="Times New Roman" w:cs="Times New Roman"/>
          <w:bCs/>
          <w:sz w:val="24"/>
          <w:szCs w:val="24"/>
        </w:rPr>
        <w:t>.</w:t>
      </w:r>
    </w:p>
    <w:p w14:paraId="25170422" w14:textId="5ACCD97C" w:rsidR="00E219DB" w:rsidRPr="0060119B" w:rsidRDefault="00E219DB" w:rsidP="00A24280">
      <w:pPr>
        <w:pStyle w:val="ListParagraph"/>
        <w:numPr>
          <w:ilvl w:val="0"/>
          <w:numId w:val="10"/>
        </w:numPr>
        <w:autoSpaceDE w:val="0"/>
        <w:autoSpaceDN w:val="0"/>
        <w:adjustRightInd w:val="0"/>
        <w:spacing w:after="120" w:line="264" w:lineRule="auto"/>
        <w:ind w:left="360"/>
        <w:contextualSpacing w:val="0"/>
        <w:rPr>
          <w:b/>
          <w:bCs/>
          <w:szCs w:val="24"/>
        </w:rPr>
      </w:pPr>
      <w:r w:rsidRPr="00E4196D">
        <w:rPr>
          <w:rFonts w:ascii="Times New Roman" w:hAnsi="Times New Roman" w:cs="Times New Roman"/>
          <w:bCs/>
          <w:sz w:val="24"/>
          <w:szCs w:val="24"/>
        </w:rPr>
        <w:t xml:space="preserve">Bank of </w:t>
      </w:r>
      <w:r w:rsidRPr="00E4196D">
        <w:rPr>
          <w:rFonts w:ascii="Times New Roman" w:hAnsi="Times New Roman" w:cs="Times New Roman"/>
          <w:sz w:val="24"/>
          <w:szCs w:val="24"/>
          <w:lang w:val="en-US"/>
        </w:rPr>
        <w:t>Canada</w:t>
      </w:r>
      <w:r w:rsidRPr="00E4196D">
        <w:rPr>
          <w:rFonts w:ascii="Times New Roman" w:hAnsi="Times New Roman" w:cs="Times New Roman"/>
          <w:bCs/>
          <w:sz w:val="24"/>
          <w:szCs w:val="24"/>
        </w:rPr>
        <w:t xml:space="preserve"> (BoC), Bank of England (BoE) and Monetary Authority of Singapore (MAS) </w:t>
      </w:r>
      <w:r>
        <w:rPr>
          <w:rFonts w:ascii="Times New Roman" w:hAnsi="Times New Roman" w:cs="Times New Roman"/>
          <w:bCs/>
          <w:sz w:val="24"/>
          <w:szCs w:val="24"/>
        </w:rPr>
        <w:t>(</w:t>
      </w:r>
      <w:r w:rsidRPr="00E4196D">
        <w:rPr>
          <w:rFonts w:ascii="Times New Roman" w:hAnsi="Times New Roman" w:cs="Times New Roman"/>
          <w:bCs/>
          <w:sz w:val="24"/>
          <w:szCs w:val="24"/>
        </w:rPr>
        <w:t>2018</w:t>
      </w:r>
      <w:r>
        <w:rPr>
          <w:rFonts w:ascii="Times New Roman" w:hAnsi="Times New Roman" w:cs="Times New Roman"/>
          <w:bCs/>
          <w:sz w:val="24"/>
          <w:szCs w:val="24"/>
        </w:rPr>
        <w:t>).</w:t>
      </w:r>
      <w:r w:rsidRPr="00E4196D">
        <w:rPr>
          <w:rFonts w:ascii="Times New Roman" w:hAnsi="Times New Roman" w:cs="Times New Roman"/>
          <w:bCs/>
          <w:sz w:val="24"/>
          <w:szCs w:val="24"/>
        </w:rPr>
        <w:t xml:space="preserve"> "</w:t>
      </w:r>
      <w:r w:rsidRPr="00C106AC">
        <w:rPr>
          <w:rFonts w:ascii="Times New Roman" w:hAnsi="Times New Roman" w:cs="Times New Roman"/>
          <w:b/>
          <w:bCs/>
          <w:i/>
          <w:sz w:val="24"/>
          <w:szCs w:val="24"/>
        </w:rPr>
        <w:t>Cross-Border Interbank Payments and Settlements</w:t>
      </w:r>
      <w:r w:rsidRPr="00E4196D">
        <w:rPr>
          <w:rFonts w:ascii="Times New Roman" w:hAnsi="Times New Roman" w:cs="Times New Roman"/>
          <w:bCs/>
          <w:sz w:val="24"/>
          <w:szCs w:val="24"/>
        </w:rPr>
        <w:t>," November.</w:t>
      </w:r>
    </w:p>
    <w:p w14:paraId="326324CB" w14:textId="7FC04E4D" w:rsidR="00E219DB" w:rsidRPr="00AB69E8" w:rsidRDefault="00E219DB" w:rsidP="00A24280">
      <w:pPr>
        <w:pStyle w:val="ListParagraph"/>
        <w:numPr>
          <w:ilvl w:val="0"/>
          <w:numId w:val="10"/>
        </w:numPr>
        <w:autoSpaceDE w:val="0"/>
        <w:autoSpaceDN w:val="0"/>
        <w:adjustRightInd w:val="0"/>
        <w:spacing w:after="120" w:line="264" w:lineRule="auto"/>
        <w:ind w:left="360"/>
        <w:contextualSpacing w:val="0"/>
        <w:rPr>
          <w:szCs w:val="24"/>
          <w:lang w:val="en-US"/>
        </w:rPr>
      </w:pPr>
      <w:r w:rsidRPr="00497C70">
        <w:rPr>
          <w:rFonts w:ascii="Times New Roman" w:hAnsi="Times New Roman" w:cs="Times New Roman"/>
          <w:sz w:val="24"/>
          <w:szCs w:val="24"/>
          <w:lang w:val="en-US"/>
        </w:rPr>
        <w:t xml:space="preserve">BIS – Bank for International Settlements </w:t>
      </w:r>
    </w:p>
    <w:p w14:paraId="03D51D8C" w14:textId="0F88D22B" w:rsidR="00E219DB" w:rsidRPr="00AB69E8" w:rsidRDefault="00E219DB" w:rsidP="00A24280">
      <w:pPr>
        <w:pStyle w:val="ListParagraph"/>
        <w:numPr>
          <w:ilvl w:val="1"/>
          <w:numId w:val="10"/>
        </w:numPr>
        <w:tabs>
          <w:tab w:val="left" w:pos="1530"/>
        </w:tabs>
        <w:autoSpaceDE w:val="0"/>
        <w:autoSpaceDN w:val="0"/>
        <w:adjustRightInd w:val="0"/>
        <w:spacing w:after="120" w:line="264" w:lineRule="auto"/>
        <w:ind w:left="720"/>
        <w:contextualSpacing w:val="0"/>
        <w:rPr>
          <w:szCs w:val="24"/>
          <w:lang w:val="en-US"/>
        </w:rPr>
      </w:pPr>
      <w:r w:rsidRPr="00497C70">
        <w:rPr>
          <w:rFonts w:ascii="Times New Roman" w:hAnsi="Times New Roman" w:cs="Times New Roman"/>
          <w:sz w:val="24"/>
          <w:szCs w:val="24"/>
          <w:lang w:val="en-US"/>
        </w:rPr>
        <w:t>(2003) “</w:t>
      </w:r>
      <w:r w:rsidRPr="00497C70">
        <w:rPr>
          <w:rFonts w:ascii="Times New Roman" w:hAnsi="Times New Roman" w:cs="Times New Roman"/>
          <w:b/>
          <w:i/>
          <w:iCs/>
          <w:sz w:val="24"/>
          <w:szCs w:val="24"/>
          <w:lang w:val="en-US"/>
        </w:rPr>
        <w:t>The role of central bank money in payment systems</w:t>
      </w:r>
      <w:r w:rsidRPr="00497C70">
        <w:rPr>
          <w:rFonts w:ascii="Times New Roman" w:hAnsi="Times New Roman" w:cs="Times New Roman"/>
          <w:sz w:val="24"/>
          <w:szCs w:val="24"/>
          <w:lang w:val="en-US"/>
        </w:rPr>
        <w:t xml:space="preserve">”. CPMI papers. No. 55. August 12. </w:t>
      </w:r>
    </w:p>
    <w:p w14:paraId="71C9F134" w14:textId="0EF36835" w:rsidR="00E219DB" w:rsidRPr="00AB69E8" w:rsidRDefault="00E219DB" w:rsidP="00A24280">
      <w:pPr>
        <w:pStyle w:val="ListParagraph"/>
        <w:numPr>
          <w:ilvl w:val="0"/>
          <w:numId w:val="13"/>
        </w:numPr>
        <w:autoSpaceDE w:val="0"/>
        <w:autoSpaceDN w:val="0"/>
        <w:adjustRightInd w:val="0"/>
        <w:spacing w:after="120" w:line="264" w:lineRule="auto"/>
        <w:contextualSpacing w:val="0"/>
        <w:rPr>
          <w:szCs w:val="24"/>
          <w:lang w:val="en-US"/>
        </w:rPr>
      </w:pPr>
      <w:r w:rsidRPr="00626301">
        <w:rPr>
          <w:rFonts w:ascii="Times New Roman" w:hAnsi="Times New Roman" w:cs="Times New Roman"/>
          <w:sz w:val="24"/>
          <w:szCs w:val="24"/>
        </w:rPr>
        <w:t>(2012) “</w:t>
      </w:r>
      <w:r w:rsidRPr="00626301">
        <w:rPr>
          <w:rFonts w:ascii="Times New Roman" w:hAnsi="Times New Roman" w:cs="Times New Roman"/>
          <w:b/>
          <w:i/>
          <w:iCs/>
          <w:sz w:val="24"/>
          <w:szCs w:val="24"/>
        </w:rPr>
        <w:t>Principles for Financial market infrastructures</w:t>
      </w:r>
      <w:r w:rsidRPr="00626301">
        <w:rPr>
          <w:rFonts w:ascii="Times New Roman" w:hAnsi="Times New Roman" w:cs="Times New Roman"/>
          <w:sz w:val="24"/>
          <w:szCs w:val="24"/>
        </w:rPr>
        <w:t xml:space="preserve">”. </w:t>
      </w:r>
      <w:r w:rsidRPr="00497C70">
        <w:rPr>
          <w:rFonts w:ascii="Times New Roman" w:hAnsi="Times New Roman" w:cs="Times New Roman"/>
          <w:sz w:val="24"/>
          <w:szCs w:val="24"/>
          <w:lang w:val="en-US"/>
        </w:rPr>
        <w:t>CPSS, BIS and Technical Committee of IOSCO Paper. April.</w:t>
      </w:r>
    </w:p>
    <w:p w14:paraId="45975E54" w14:textId="2AF16FA7" w:rsidR="00E219DB" w:rsidRPr="00AB69E8" w:rsidRDefault="00E219DB" w:rsidP="00A24280">
      <w:pPr>
        <w:pStyle w:val="ListParagraph"/>
        <w:numPr>
          <w:ilvl w:val="1"/>
          <w:numId w:val="10"/>
        </w:numPr>
        <w:autoSpaceDE w:val="0"/>
        <w:autoSpaceDN w:val="0"/>
        <w:adjustRightInd w:val="0"/>
        <w:spacing w:after="120" w:line="264" w:lineRule="auto"/>
        <w:ind w:left="720"/>
        <w:contextualSpacing w:val="0"/>
        <w:rPr>
          <w:szCs w:val="24"/>
          <w:lang w:val="en-US"/>
        </w:rPr>
      </w:pPr>
      <w:r w:rsidRPr="00497C70">
        <w:rPr>
          <w:rFonts w:ascii="Times New Roman" w:hAnsi="Times New Roman" w:cs="Times New Roman"/>
          <w:sz w:val="24"/>
          <w:szCs w:val="24"/>
          <w:lang w:val="en-US"/>
        </w:rPr>
        <w:t>(2017). “</w:t>
      </w:r>
      <w:r w:rsidRPr="00497C70">
        <w:rPr>
          <w:rFonts w:ascii="Times New Roman" w:hAnsi="Times New Roman" w:cs="Times New Roman"/>
          <w:b/>
          <w:i/>
          <w:iCs/>
          <w:sz w:val="24"/>
          <w:szCs w:val="24"/>
          <w:lang w:val="en-US"/>
        </w:rPr>
        <w:t>Distributed ledger technology in payment, clearing and settlement</w:t>
      </w:r>
      <w:r w:rsidRPr="00497C70">
        <w:rPr>
          <w:rFonts w:ascii="Times New Roman" w:hAnsi="Times New Roman" w:cs="Times New Roman"/>
          <w:sz w:val="24"/>
          <w:szCs w:val="24"/>
          <w:lang w:val="en-US"/>
        </w:rPr>
        <w:t>”. CPMI. No. 157. February.</w:t>
      </w:r>
    </w:p>
    <w:p w14:paraId="3EB00452" w14:textId="0B552E91" w:rsidR="00E219DB" w:rsidRPr="00AB69E8" w:rsidRDefault="00E219DB" w:rsidP="00A24280">
      <w:pPr>
        <w:pStyle w:val="ListParagraph"/>
        <w:numPr>
          <w:ilvl w:val="1"/>
          <w:numId w:val="10"/>
        </w:numPr>
        <w:autoSpaceDE w:val="0"/>
        <w:autoSpaceDN w:val="0"/>
        <w:adjustRightInd w:val="0"/>
        <w:spacing w:after="120" w:line="264" w:lineRule="auto"/>
        <w:ind w:left="720"/>
        <w:contextualSpacing w:val="0"/>
        <w:rPr>
          <w:szCs w:val="24"/>
          <w:lang w:val="en-US"/>
        </w:rPr>
      </w:pPr>
      <w:r w:rsidRPr="00497C70">
        <w:rPr>
          <w:rFonts w:ascii="Times New Roman" w:hAnsi="Times New Roman" w:cs="Times New Roman"/>
          <w:sz w:val="24"/>
          <w:szCs w:val="24"/>
          <w:lang w:val="en-US"/>
        </w:rPr>
        <w:t>(2018). “</w:t>
      </w:r>
      <w:r w:rsidRPr="00497C70">
        <w:rPr>
          <w:rFonts w:ascii="Times New Roman" w:hAnsi="Times New Roman" w:cs="Times New Roman"/>
          <w:b/>
          <w:i/>
          <w:iCs/>
          <w:sz w:val="24"/>
          <w:szCs w:val="24"/>
          <w:lang w:val="en-US"/>
        </w:rPr>
        <w:t>Central bank digital currencies</w:t>
      </w:r>
      <w:r w:rsidRPr="00497C70">
        <w:rPr>
          <w:rFonts w:ascii="Times New Roman" w:hAnsi="Times New Roman" w:cs="Times New Roman"/>
          <w:sz w:val="24"/>
          <w:szCs w:val="24"/>
          <w:lang w:val="en-US"/>
        </w:rPr>
        <w:t>”. Report submitted by Working Groups chaired by Klaus Löber (European Central Bank) and Aerdt Houben (Netherlands Bank). Committee on Payments and Market Infrastructures &amp; Markets Committee. March.</w:t>
      </w:r>
    </w:p>
    <w:p w14:paraId="52572FBA" w14:textId="721FDF94" w:rsidR="00917B35" w:rsidRPr="00917B35" w:rsidRDefault="00917B35" w:rsidP="00A24280">
      <w:pPr>
        <w:pStyle w:val="ListParagraph"/>
        <w:numPr>
          <w:ilvl w:val="0"/>
          <w:numId w:val="10"/>
        </w:numPr>
        <w:autoSpaceDE w:val="0"/>
        <w:autoSpaceDN w:val="0"/>
        <w:adjustRightInd w:val="0"/>
        <w:spacing w:after="120" w:line="264" w:lineRule="auto"/>
        <w:ind w:left="360"/>
        <w:contextualSpacing w:val="0"/>
        <w:rPr>
          <w:rFonts w:ascii="Times New Roman" w:hAnsi="Times New Roman" w:cs="Times New Roman"/>
          <w:sz w:val="24"/>
          <w:szCs w:val="24"/>
          <w:lang w:val="en-US"/>
        </w:rPr>
      </w:pPr>
      <w:r w:rsidRPr="00917B35">
        <w:rPr>
          <w:rFonts w:ascii="Times New Roman" w:hAnsi="Times New Roman" w:cs="Times New Roman"/>
          <w:sz w:val="24"/>
          <w:szCs w:val="24"/>
          <w:lang w:val="en-US"/>
        </w:rPr>
        <w:t>Bordo, M., and A. Levin (2018). "</w:t>
      </w:r>
      <w:r w:rsidRPr="00917B35">
        <w:rPr>
          <w:rFonts w:ascii="Times New Roman" w:hAnsi="Times New Roman" w:cs="Times New Roman"/>
          <w:b/>
          <w:i/>
          <w:sz w:val="24"/>
          <w:szCs w:val="24"/>
          <w:lang w:val="en-US"/>
        </w:rPr>
        <w:t>Central Bank Digital Currency and the Future of Monetary Policy</w:t>
      </w:r>
      <w:r w:rsidRPr="00917B35">
        <w:rPr>
          <w:rFonts w:ascii="Times New Roman" w:hAnsi="Times New Roman" w:cs="Times New Roman"/>
          <w:sz w:val="24"/>
          <w:szCs w:val="24"/>
          <w:lang w:val="en-US"/>
        </w:rPr>
        <w:t>"</w:t>
      </w:r>
      <w:r>
        <w:rPr>
          <w:rFonts w:ascii="Times New Roman" w:hAnsi="Times New Roman" w:cs="Times New Roman"/>
          <w:sz w:val="24"/>
          <w:szCs w:val="24"/>
          <w:lang w:val="en-US"/>
        </w:rPr>
        <w:t>.</w:t>
      </w:r>
      <w:r w:rsidRPr="00917B35">
        <w:rPr>
          <w:rFonts w:ascii="Times New Roman" w:hAnsi="Times New Roman" w:cs="Times New Roman"/>
          <w:sz w:val="24"/>
          <w:szCs w:val="24"/>
          <w:lang w:val="en-US"/>
        </w:rPr>
        <w:t xml:space="preserve"> Monetary Policy and Payments 3:143–78.</w:t>
      </w:r>
    </w:p>
    <w:p w14:paraId="534FA7CD" w14:textId="7F25C9ED" w:rsidR="00E219DB" w:rsidRPr="00B60653" w:rsidRDefault="00E219DB" w:rsidP="00A24280">
      <w:pPr>
        <w:pStyle w:val="ListParagraph"/>
        <w:numPr>
          <w:ilvl w:val="0"/>
          <w:numId w:val="10"/>
        </w:numPr>
        <w:autoSpaceDE w:val="0"/>
        <w:autoSpaceDN w:val="0"/>
        <w:adjustRightInd w:val="0"/>
        <w:spacing w:after="120" w:line="264" w:lineRule="auto"/>
        <w:ind w:left="360"/>
        <w:contextualSpacing w:val="0"/>
        <w:rPr>
          <w:szCs w:val="24"/>
          <w:lang w:val="en-US"/>
        </w:rPr>
      </w:pPr>
      <w:r w:rsidRPr="00497C70">
        <w:rPr>
          <w:rFonts w:ascii="Times New Roman" w:hAnsi="Times New Roman" w:cs="Times New Roman"/>
          <w:sz w:val="24"/>
          <w:szCs w:val="24"/>
          <w:lang w:val="en-US"/>
        </w:rPr>
        <w:t>Burgos et al (2017). “</w:t>
      </w:r>
      <w:r w:rsidRPr="00497C70">
        <w:rPr>
          <w:rFonts w:ascii="Times New Roman" w:hAnsi="Times New Roman" w:cs="Times New Roman"/>
          <w:b/>
          <w:i/>
          <w:iCs/>
          <w:sz w:val="24"/>
          <w:szCs w:val="24"/>
          <w:lang w:val="en-US"/>
        </w:rPr>
        <w:t>Distributed Ledger Technical Research in Central Bank of Brazil: Positioning Report</w:t>
      </w:r>
      <w:r w:rsidRPr="00497C70">
        <w:rPr>
          <w:rFonts w:ascii="Times New Roman" w:hAnsi="Times New Roman" w:cs="Times New Roman"/>
          <w:sz w:val="24"/>
          <w:szCs w:val="24"/>
          <w:lang w:val="en-US"/>
        </w:rPr>
        <w:t xml:space="preserve">”. August. </w:t>
      </w:r>
    </w:p>
    <w:p w14:paraId="67C07571" w14:textId="186813B8" w:rsidR="00B60653" w:rsidRPr="00B60653" w:rsidRDefault="00B60653" w:rsidP="00B60653">
      <w:pPr>
        <w:pStyle w:val="ListParagraph"/>
        <w:numPr>
          <w:ilvl w:val="0"/>
          <w:numId w:val="10"/>
        </w:numPr>
        <w:autoSpaceDE w:val="0"/>
        <w:autoSpaceDN w:val="0"/>
        <w:adjustRightInd w:val="0"/>
        <w:spacing w:after="120" w:line="264" w:lineRule="auto"/>
        <w:ind w:left="360"/>
        <w:contextualSpacing w:val="0"/>
        <w:rPr>
          <w:rFonts w:ascii="Times New Roman" w:hAnsi="Times New Roman" w:cs="Times New Roman"/>
          <w:sz w:val="24"/>
          <w:szCs w:val="24"/>
          <w:lang w:val="en-US"/>
        </w:rPr>
      </w:pPr>
      <w:r w:rsidRPr="00B60653">
        <w:rPr>
          <w:rFonts w:ascii="Times New Roman" w:hAnsi="Times New Roman" w:cs="Times New Roman"/>
          <w:sz w:val="24"/>
          <w:szCs w:val="24"/>
          <w:lang w:val="en-US"/>
        </w:rPr>
        <w:t>Duffie, D. (2019). "</w:t>
      </w:r>
      <w:r w:rsidRPr="00B60653">
        <w:rPr>
          <w:rFonts w:ascii="Times New Roman" w:hAnsi="Times New Roman" w:cs="Times New Roman"/>
          <w:b/>
          <w:i/>
          <w:sz w:val="24"/>
          <w:szCs w:val="24"/>
          <w:lang w:val="en-US"/>
        </w:rPr>
        <w:t>Digital Currencies and Fast Payment Systems: Disruption is Coming</w:t>
      </w:r>
      <w:r w:rsidRPr="00B60653">
        <w:rPr>
          <w:rFonts w:ascii="Times New Roman" w:hAnsi="Times New Roman" w:cs="Times New Roman"/>
          <w:sz w:val="24"/>
          <w:szCs w:val="24"/>
          <w:lang w:val="en-US"/>
        </w:rPr>
        <w:t>". Presentation to the Asian Monetary Policy Forum</w:t>
      </w:r>
      <w:r>
        <w:rPr>
          <w:rFonts w:ascii="Times New Roman" w:hAnsi="Times New Roman" w:cs="Times New Roman"/>
          <w:sz w:val="24"/>
          <w:szCs w:val="24"/>
          <w:lang w:val="en-US"/>
        </w:rPr>
        <w:t xml:space="preserve">, </w:t>
      </w:r>
      <w:r w:rsidRPr="00B60653">
        <w:rPr>
          <w:rFonts w:ascii="Times New Roman" w:hAnsi="Times New Roman" w:cs="Times New Roman"/>
          <w:sz w:val="24"/>
          <w:szCs w:val="24"/>
          <w:lang w:val="en-US"/>
        </w:rPr>
        <w:t>May.</w:t>
      </w:r>
    </w:p>
    <w:p w14:paraId="431A7B70" w14:textId="2C97AB29" w:rsidR="00E219DB" w:rsidRPr="00AB69E8" w:rsidRDefault="00E219DB" w:rsidP="00A24280">
      <w:pPr>
        <w:pStyle w:val="ListParagraph"/>
        <w:numPr>
          <w:ilvl w:val="0"/>
          <w:numId w:val="10"/>
        </w:numPr>
        <w:autoSpaceDE w:val="0"/>
        <w:autoSpaceDN w:val="0"/>
        <w:adjustRightInd w:val="0"/>
        <w:spacing w:after="120" w:line="264" w:lineRule="auto"/>
        <w:ind w:left="360"/>
        <w:contextualSpacing w:val="0"/>
        <w:rPr>
          <w:szCs w:val="24"/>
          <w:lang w:val="en-US"/>
        </w:rPr>
      </w:pPr>
      <w:r w:rsidRPr="00497C70">
        <w:rPr>
          <w:rFonts w:ascii="Times New Roman" w:hAnsi="Times New Roman" w:cs="Times New Roman"/>
          <w:sz w:val="24"/>
          <w:szCs w:val="24"/>
          <w:lang w:val="en-US"/>
        </w:rPr>
        <w:t>European Central Bank &amp; Bank of Japan (2017). “</w:t>
      </w:r>
      <w:r w:rsidRPr="00497C70">
        <w:rPr>
          <w:rFonts w:ascii="Times New Roman" w:hAnsi="Times New Roman" w:cs="Times New Roman"/>
          <w:b/>
          <w:i/>
          <w:iCs/>
          <w:sz w:val="24"/>
          <w:szCs w:val="24"/>
          <w:lang w:val="en-US"/>
        </w:rPr>
        <w:t>Stella: Payment Systems: Liquidity Saving Mechanisms in a Distributed Ledger Environment</w:t>
      </w:r>
      <w:r w:rsidRPr="00497C70">
        <w:rPr>
          <w:rFonts w:ascii="Times New Roman" w:hAnsi="Times New Roman" w:cs="Times New Roman"/>
          <w:sz w:val="24"/>
          <w:szCs w:val="24"/>
          <w:lang w:val="en-US"/>
        </w:rPr>
        <w:t>”. September.</w:t>
      </w:r>
    </w:p>
    <w:p w14:paraId="5E760399" w14:textId="518E1FC2" w:rsidR="00E219DB" w:rsidRPr="00AB69E8" w:rsidRDefault="00E219DB" w:rsidP="00A24280">
      <w:pPr>
        <w:pStyle w:val="ListParagraph"/>
        <w:numPr>
          <w:ilvl w:val="0"/>
          <w:numId w:val="10"/>
        </w:numPr>
        <w:autoSpaceDE w:val="0"/>
        <w:autoSpaceDN w:val="0"/>
        <w:adjustRightInd w:val="0"/>
        <w:spacing w:after="120" w:line="264" w:lineRule="auto"/>
        <w:ind w:left="360"/>
        <w:contextualSpacing w:val="0"/>
        <w:rPr>
          <w:szCs w:val="24"/>
          <w:lang w:val="en-US"/>
        </w:rPr>
      </w:pPr>
      <w:r w:rsidRPr="00497C70">
        <w:rPr>
          <w:rFonts w:ascii="Times New Roman" w:hAnsi="Times New Roman" w:cs="Times New Roman"/>
          <w:sz w:val="24"/>
          <w:szCs w:val="24"/>
          <w:lang w:val="en-US"/>
        </w:rPr>
        <w:t>European Central Bank &amp; Bank of Japan (2018). “</w:t>
      </w:r>
      <w:r w:rsidRPr="00497C70">
        <w:rPr>
          <w:rFonts w:ascii="Times New Roman" w:hAnsi="Times New Roman" w:cs="Times New Roman"/>
          <w:b/>
          <w:i/>
          <w:iCs/>
          <w:sz w:val="24"/>
          <w:szCs w:val="24"/>
          <w:lang w:val="en-US"/>
        </w:rPr>
        <w:t>Stella: Securities Settlement Systems: Delivery versus Payment in a Distributed Ledger Environment</w:t>
      </w:r>
      <w:r w:rsidRPr="00497C70">
        <w:rPr>
          <w:rFonts w:ascii="Times New Roman" w:hAnsi="Times New Roman" w:cs="Times New Roman"/>
          <w:sz w:val="24"/>
          <w:szCs w:val="24"/>
          <w:lang w:val="en-US"/>
        </w:rPr>
        <w:t>”. September.</w:t>
      </w:r>
    </w:p>
    <w:p w14:paraId="5214DDE9" w14:textId="5465237A" w:rsidR="00E219DB" w:rsidRPr="00AB69E8" w:rsidRDefault="00E219DB" w:rsidP="00A24280">
      <w:pPr>
        <w:pStyle w:val="ListParagraph"/>
        <w:numPr>
          <w:ilvl w:val="0"/>
          <w:numId w:val="10"/>
        </w:numPr>
        <w:autoSpaceDE w:val="0"/>
        <w:autoSpaceDN w:val="0"/>
        <w:adjustRightInd w:val="0"/>
        <w:spacing w:after="120" w:line="264" w:lineRule="auto"/>
        <w:ind w:left="360"/>
        <w:contextualSpacing w:val="0"/>
        <w:rPr>
          <w:szCs w:val="24"/>
          <w:lang w:val="en-US"/>
        </w:rPr>
      </w:pPr>
      <w:r w:rsidRPr="00497C70">
        <w:rPr>
          <w:rFonts w:ascii="Times New Roman" w:hAnsi="Times New Roman" w:cs="Times New Roman"/>
          <w:sz w:val="24"/>
          <w:szCs w:val="24"/>
          <w:lang w:val="en-US"/>
        </w:rPr>
        <w:t>IBM (2018). “</w:t>
      </w:r>
      <w:r w:rsidRPr="00497C70">
        <w:rPr>
          <w:rFonts w:ascii="Times New Roman" w:hAnsi="Times New Roman" w:cs="Times New Roman"/>
          <w:b/>
          <w:i/>
          <w:iCs/>
          <w:sz w:val="24"/>
          <w:szCs w:val="24"/>
          <w:lang w:val="en-US"/>
        </w:rPr>
        <w:t>Central bank digital currencies</w:t>
      </w:r>
      <w:r w:rsidRPr="00497C70">
        <w:rPr>
          <w:rFonts w:ascii="Times New Roman" w:hAnsi="Times New Roman" w:cs="Times New Roman"/>
          <w:sz w:val="24"/>
          <w:szCs w:val="24"/>
          <w:lang w:val="en-US"/>
        </w:rPr>
        <w:t>”. Report prepared by the Official Monetary and Financial Institutions Forum in collaboration with IBM Blockchain World Wire. September.</w:t>
      </w:r>
    </w:p>
    <w:p w14:paraId="4EC023DB" w14:textId="470EDC88" w:rsidR="00E219DB" w:rsidRPr="00AB69E8" w:rsidRDefault="00E219DB" w:rsidP="00A24280">
      <w:pPr>
        <w:pStyle w:val="ListParagraph"/>
        <w:numPr>
          <w:ilvl w:val="0"/>
          <w:numId w:val="10"/>
        </w:numPr>
        <w:autoSpaceDE w:val="0"/>
        <w:autoSpaceDN w:val="0"/>
        <w:adjustRightInd w:val="0"/>
        <w:spacing w:after="120" w:line="264" w:lineRule="auto"/>
        <w:ind w:left="360"/>
        <w:contextualSpacing w:val="0"/>
        <w:rPr>
          <w:szCs w:val="24"/>
          <w:lang w:val="en-US"/>
        </w:rPr>
      </w:pPr>
      <w:r w:rsidRPr="00497C70">
        <w:rPr>
          <w:rFonts w:ascii="Times New Roman" w:hAnsi="Times New Roman" w:cs="Times New Roman"/>
          <w:sz w:val="24"/>
          <w:szCs w:val="24"/>
          <w:lang w:val="en-US"/>
        </w:rPr>
        <w:t>IMF (2018). “</w:t>
      </w:r>
      <w:r w:rsidRPr="00497C70">
        <w:rPr>
          <w:rFonts w:ascii="Times New Roman" w:hAnsi="Times New Roman" w:cs="Times New Roman"/>
          <w:b/>
          <w:i/>
          <w:iCs/>
          <w:sz w:val="24"/>
          <w:szCs w:val="24"/>
          <w:lang w:val="en-US"/>
        </w:rPr>
        <w:t>Casting light on Central Bank Digital Currency</w:t>
      </w:r>
      <w:r w:rsidRPr="00497C70">
        <w:rPr>
          <w:rFonts w:ascii="Times New Roman" w:hAnsi="Times New Roman" w:cs="Times New Roman"/>
          <w:sz w:val="24"/>
          <w:szCs w:val="24"/>
          <w:lang w:val="en-US"/>
        </w:rPr>
        <w:t>”. IMF Staff Discussion Note. SDN/18/08. November.</w:t>
      </w:r>
    </w:p>
    <w:p w14:paraId="103A5889" w14:textId="5F62A0A1" w:rsidR="00E219DB" w:rsidRPr="00373D83" w:rsidRDefault="00E219DB" w:rsidP="00A24280">
      <w:pPr>
        <w:pStyle w:val="ListParagraph"/>
        <w:numPr>
          <w:ilvl w:val="0"/>
          <w:numId w:val="10"/>
        </w:numPr>
        <w:autoSpaceDE w:val="0"/>
        <w:autoSpaceDN w:val="0"/>
        <w:adjustRightInd w:val="0"/>
        <w:spacing w:after="120" w:line="264" w:lineRule="auto"/>
        <w:ind w:left="360"/>
        <w:contextualSpacing w:val="0"/>
        <w:rPr>
          <w:rStyle w:val="fontstyle01"/>
          <w:rFonts w:ascii="Calibri" w:hAnsi="Calibri"/>
          <w:color w:val="auto"/>
          <w:sz w:val="22"/>
        </w:rPr>
      </w:pPr>
      <w:r w:rsidRPr="00497C70">
        <w:rPr>
          <w:rStyle w:val="fontstyle01"/>
          <w:rFonts w:ascii="Times New Roman" w:hAnsi="Times New Roman" w:cs="Times New Roman"/>
          <w:color w:val="auto"/>
          <w:sz w:val="24"/>
          <w:szCs w:val="24"/>
        </w:rPr>
        <w:t>Joseph Poon and Thaddeus Dryja (2016), "</w:t>
      </w:r>
      <w:r w:rsidRPr="00497C70">
        <w:rPr>
          <w:rFonts w:ascii="Times New Roman" w:hAnsi="Times New Roman" w:cs="Times New Roman"/>
          <w:b/>
          <w:i/>
          <w:iCs/>
          <w:sz w:val="24"/>
          <w:szCs w:val="24"/>
          <w:lang w:val="en-US"/>
        </w:rPr>
        <w:t>The Bitcoin Lightning Network: Scalable Off-Chain Instant Payments</w:t>
      </w:r>
      <w:r w:rsidRPr="00497C70">
        <w:rPr>
          <w:rStyle w:val="fontstyle01"/>
          <w:rFonts w:ascii="Times New Roman" w:hAnsi="Times New Roman" w:cs="Times New Roman"/>
          <w:color w:val="auto"/>
          <w:sz w:val="24"/>
          <w:szCs w:val="24"/>
        </w:rPr>
        <w:t xml:space="preserve">". January </w:t>
      </w:r>
    </w:p>
    <w:p w14:paraId="65B9391F" w14:textId="4AE46139" w:rsidR="0011156E" w:rsidRPr="0011156E" w:rsidRDefault="0011156E" w:rsidP="00A24280">
      <w:pPr>
        <w:pStyle w:val="ListParagraph"/>
        <w:numPr>
          <w:ilvl w:val="0"/>
          <w:numId w:val="10"/>
        </w:numPr>
        <w:autoSpaceDE w:val="0"/>
        <w:autoSpaceDN w:val="0"/>
        <w:adjustRightInd w:val="0"/>
        <w:spacing w:after="120" w:line="264" w:lineRule="auto"/>
        <w:ind w:left="360"/>
        <w:contextualSpacing w:val="0"/>
        <w:rPr>
          <w:rStyle w:val="fontstyle01"/>
          <w:rFonts w:ascii="Times New Roman" w:hAnsi="Times New Roman" w:cs="Times New Roman"/>
          <w:color w:val="auto"/>
          <w:sz w:val="24"/>
          <w:szCs w:val="24"/>
        </w:rPr>
      </w:pPr>
      <w:r w:rsidRPr="0011156E">
        <w:rPr>
          <w:rStyle w:val="fontstyle01"/>
          <w:rFonts w:ascii="Times New Roman" w:hAnsi="Times New Roman" w:cs="Times New Roman"/>
          <w:color w:val="auto"/>
          <w:sz w:val="24"/>
          <w:szCs w:val="24"/>
        </w:rPr>
        <w:t xml:space="preserve">Kumhof, Michael and Clare Noone (2018), </w:t>
      </w:r>
      <w:r w:rsidRPr="0011156E">
        <w:rPr>
          <w:rStyle w:val="fontstyle01"/>
          <w:rFonts w:ascii="Times New Roman" w:hAnsi="Times New Roman" w:cs="Times New Roman"/>
          <w:b/>
          <w:i/>
          <w:color w:val="auto"/>
          <w:sz w:val="24"/>
          <w:szCs w:val="24"/>
        </w:rPr>
        <w:t>"Central Bank Digital Currencies — Design Principles and Balance Sheet Implications,"</w:t>
      </w:r>
      <w:r w:rsidRPr="0011156E">
        <w:rPr>
          <w:rStyle w:val="fontstyle01"/>
          <w:rFonts w:ascii="Times New Roman" w:hAnsi="Times New Roman" w:cs="Times New Roman"/>
          <w:color w:val="auto"/>
          <w:sz w:val="24"/>
          <w:szCs w:val="24"/>
        </w:rPr>
        <w:t xml:space="preserve"> Bank of England Staff Working Paper No. 725, May.</w:t>
      </w:r>
    </w:p>
    <w:p w14:paraId="60F923CB" w14:textId="4BC7F025" w:rsidR="00E219DB" w:rsidRPr="00AB69E8" w:rsidRDefault="00E219DB" w:rsidP="00A24280">
      <w:pPr>
        <w:pStyle w:val="ListParagraph"/>
        <w:numPr>
          <w:ilvl w:val="0"/>
          <w:numId w:val="10"/>
        </w:numPr>
        <w:autoSpaceDE w:val="0"/>
        <w:autoSpaceDN w:val="0"/>
        <w:adjustRightInd w:val="0"/>
        <w:spacing w:after="120" w:line="264" w:lineRule="auto"/>
        <w:ind w:left="360"/>
        <w:contextualSpacing w:val="0"/>
        <w:rPr>
          <w:szCs w:val="24"/>
          <w:lang w:val="en-US"/>
        </w:rPr>
      </w:pPr>
      <w:r w:rsidRPr="00497C70">
        <w:rPr>
          <w:rFonts w:ascii="Times New Roman" w:hAnsi="Times New Roman" w:cs="Times New Roman"/>
          <w:sz w:val="24"/>
          <w:szCs w:val="24"/>
          <w:lang w:val="en-US"/>
        </w:rPr>
        <w:t>Monetary Authority of Singapore &amp; Deloitte (2017). “</w:t>
      </w:r>
      <w:r w:rsidRPr="00497C70">
        <w:rPr>
          <w:rFonts w:ascii="Times New Roman" w:hAnsi="Times New Roman" w:cs="Times New Roman"/>
          <w:b/>
          <w:i/>
          <w:iCs/>
          <w:sz w:val="24"/>
          <w:szCs w:val="24"/>
          <w:lang w:val="en-US"/>
        </w:rPr>
        <w:t>The future is here - Project Ubin: SGD on Distributed Ledger</w:t>
      </w:r>
      <w:r w:rsidRPr="00497C70">
        <w:rPr>
          <w:rFonts w:ascii="Times New Roman" w:hAnsi="Times New Roman" w:cs="Times New Roman"/>
          <w:sz w:val="24"/>
          <w:szCs w:val="24"/>
          <w:lang w:val="en-US"/>
        </w:rPr>
        <w:t>”. A report developed with the contributions of Bank of America Merrill Lynch, BCS Information Systems, Credit Suisse, DBS Bank, HSBC, J.P. Morgan, Mitsubishi UFJ Financial Group, OCBC Bank, R3, Singapore Exchange and UOB Bank</w:t>
      </w:r>
    </w:p>
    <w:p w14:paraId="50DF1469" w14:textId="77777777" w:rsidR="00E219DB" w:rsidRPr="00497C70" w:rsidRDefault="00E219DB" w:rsidP="00A24280">
      <w:pPr>
        <w:pStyle w:val="ListParagraph"/>
        <w:numPr>
          <w:ilvl w:val="0"/>
          <w:numId w:val="10"/>
        </w:numPr>
        <w:autoSpaceDE w:val="0"/>
        <w:autoSpaceDN w:val="0"/>
        <w:adjustRightInd w:val="0"/>
        <w:spacing w:after="120" w:line="264" w:lineRule="auto"/>
        <w:ind w:left="360"/>
        <w:contextualSpacing w:val="0"/>
        <w:rPr>
          <w:rFonts w:ascii="Times New Roman" w:hAnsi="Times New Roman" w:cs="Times New Roman"/>
          <w:sz w:val="24"/>
          <w:szCs w:val="24"/>
          <w:lang w:val="en-US"/>
        </w:rPr>
      </w:pPr>
      <w:r w:rsidRPr="00497C70">
        <w:rPr>
          <w:rFonts w:ascii="Times New Roman" w:hAnsi="Times New Roman" w:cs="Times New Roman"/>
          <w:sz w:val="24"/>
          <w:szCs w:val="24"/>
          <w:lang w:val="en-US"/>
        </w:rPr>
        <w:t>Monetary Authority of Singapore, Association of Banks in Singapore &amp; Accenture (2017). “</w:t>
      </w:r>
      <w:r w:rsidRPr="00497C70">
        <w:rPr>
          <w:rFonts w:ascii="Times New Roman" w:hAnsi="Times New Roman" w:cs="Times New Roman"/>
          <w:b/>
          <w:i/>
          <w:iCs/>
          <w:sz w:val="24"/>
          <w:szCs w:val="24"/>
          <w:lang w:val="en-US"/>
        </w:rPr>
        <w:t>Project Ubin Phase 2: Re-imagining Interbank Real-Time Gross Settlement System Using Distributed Ledger Technologies</w:t>
      </w:r>
      <w:r w:rsidRPr="00497C70">
        <w:rPr>
          <w:rFonts w:ascii="Times New Roman" w:hAnsi="Times New Roman" w:cs="Times New Roman"/>
          <w:sz w:val="24"/>
          <w:szCs w:val="24"/>
          <w:lang w:val="en-US"/>
        </w:rPr>
        <w:t xml:space="preserve">”. November. </w:t>
      </w:r>
    </w:p>
    <w:p w14:paraId="52C525E1" w14:textId="50549A86" w:rsidR="00E219DB" w:rsidRPr="00AB69E8" w:rsidRDefault="00E219DB" w:rsidP="00A24280">
      <w:pPr>
        <w:pStyle w:val="ListParagraph"/>
        <w:numPr>
          <w:ilvl w:val="0"/>
          <w:numId w:val="10"/>
        </w:numPr>
        <w:autoSpaceDE w:val="0"/>
        <w:autoSpaceDN w:val="0"/>
        <w:adjustRightInd w:val="0"/>
        <w:spacing w:after="120" w:line="264" w:lineRule="auto"/>
        <w:ind w:left="360"/>
        <w:contextualSpacing w:val="0"/>
        <w:rPr>
          <w:szCs w:val="24"/>
          <w:lang w:val="en-US"/>
        </w:rPr>
      </w:pPr>
      <w:r w:rsidRPr="00497C70">
        <w:rPr>
          <w:rFonts w:ascii="Times New Roman" w:hAnsi="Times New Roman" w:cs="Times New Roman"/>
          <w:sz w:val="24"/>
          <w:szCs w:val="24"/>
          <w:lang w:val="en-US"/>
        </w:rPr>
        <w:t>Monetary Authority of Singapore, Singapore Exchange and Deloitte (2018). “</w:t>
      </w:r>
      <w:r w:rsidRPr="00497C70">
        <w:rPr>
          <w:rFonts w:ascii="Times New Roman" w:hAnsi="Times New Roman" w:cs="Times New Roman"/>
          <w:b/>
          <w:i/>
          <w:iCs/>
          <w:sz w:val="24"/>
          <w:szCs w:val="24"/>
          <w:lang w:val="en-US"/>
        </w:rPr>
        <w:t>Delivery versus Payment on Distributed Ledger Technologies: Project Ubin</w:t>
      </w:r>
      <w:r w:rsidRPr="00497C70">
        <w:rPr>
          <w:rFonts w:ascii="Times New Roman" w:hAnsi="Times New Roman" w:cs="Times New Roman"/>
          <w:sz w:val="24"/>
          <w:szCs w:val="24"/>
          <w:lang w:val="en-US"/>
        </w:rPr>
        <w:t xml:space="preserve">”. </w:t>
      </w:r>
      <w:r w:rsidRPr="00497C70">
        <w:rPr>
          <w:rStyle w:val="fontstyle21"/>
          <w:rFonts w:ascii="Times New Roman" w:hAnsi="Times New Roman" w:cs="Times New Roman"/>
          <w:color w:val="auto"/>
          <w:sz w:val="24"/>
          <w:szCs w:val="24"/>
        </w:rPr>
        <w:t>A report developed with the contributions of</w:t>
      </w:r>
      <w:r w:rsidRPr="00497C70">
        <w:rPr>
          <w:rFonts w:ascii="Times New Roman" w:hAnsi="Times New Roman" w:cs="Times New Roman"/>
          <w:sz w:val="24"/>
          <w:szCs w:val="24"/>
        </w:rPr>
        <w:t xml:space="preserve"> </w:t>
      </w:r>
      <w:r w:rsidRPr="00497C70">
        <w:rPr>
          <w:rStyle w:val="fontstyle21"/>
          <w:rFonts w:ascii="Times New Roman" w:hAnsi="Times New Roman" w:cs="Times New Roman"/>
          <w:color w:val="auto"/>
          <w:sz w:val="24"/>
          <w:szCs w:val="24"/>
        </w:rPr>
        <w:t>MAS, SGX, Anquan Capital, Deloitte and Nasdaq.</w:t>
      </w:r>
    </w:p>
    <w:p w14:paraId="078C6681" w14:textId="4BD13490" w:rsidR="00E219DB" w:rsidRDefault="00E219DB" w:rsidP="00A24280">
      <w:pPr>
        <w:pStyle w:val="ListParagraph"/>
        <w:numPr>
          <w:ilvl w:val="0"/>
          <w:numId w:val="10"/>
        </w:numPr>
        <w:autoSpaceDE w:val="0"/>
        <w:autoSpaceDN w:val="0"/>
        <w:adjustRightInd w:val="0"/>
        <w:spacing w:after="120" w:line="264" w:lineRule="auto"/>
        <w:ind w:left="360"/>
        <w:contextualSpacing w:val="0"/>
        <w:rPr>
          <w:rFonts w:ascii="Times New Roman" w:hAnsi="Times New Roman" w:cs="Times New Roman"/>
          <w:b/>
          <w:i/>
          <w:iCs/>
          <w:sz w:val="24"/>
          <w:szCs w:val="24"/>
          <w:lang w:val="en-US"/>
        </w:rPr>
      </w:pPr>
      <w:r w:rsidRPr="00497C70">
        <w:rPr>
          <w:rFonts w:ascii="Times New Roman" w:hAnsi="Times New Roman" w:cs="Times New Roman"/>
          <w:sz w:val="24"/>
          <w:szCs w:val="24"/>
          <w:lang w:val="en-US"/>
        </w:rPr>
        <w:t>Payments Canada, Bank of Canada and R3 (2017). “</w:t>
      </w:r>
      <w:r w:rsidRPr="00497C70">
        <w:rPr>
          <w:rFonts w:ascii="Times New Roman" w:hAnsi="Times New Roman" w:cs="Times New Roman"/>
          <w:b/>
          <w:i/>
          <w:iCs/>
          <w:sz w:val="24"/>
          <w:szCs w:val="24"/>
          <w:lang w:val="en-US"/>
        </w:rPr>
        <w:t>Project Jasper: A Canadian Experiment with Distributed Ledger Technology for Domestic Interbank Payments Settlement”.</w:t>
      </w:r>
    </w:p>
    <w:p w14:paraId="33DA65A2" w14:textId="14F5555A" w:rsidR="00917B35" w:rsidRDefault="00917B35" w:rsidP="00A24280">
      <w:pPr>
        <w:pStyle w:val="ListParagraph"/>
        <w:numPr>
          <w:ilvl w:val="0"/>
          <w:numId w:val="10"/>
        </w:numPr>
        <w:autoSpaceDE w:val="0"/>
        <w:autoSpaceDN w:val="0"/>
        <w:adjustRightInd w:val="0"/>
        <w:spacing w:after="120" w:line="264" w:lineRule="auto"/>
        <w:ind w:left="360"/>
        <w:contextualSpacing w:val="0"/>
        <w:rPr>
          <w:rFonts w:ascii="Times New Roman" w:hAnsi="Times New Roman" w:cs="Times New Roman"/>
          <w:sz w:val="24"/>
          <w:szCs w:val="24"/>
          <w:lang w:val="en-US"/>
        </w:rPr>
      </w:pPr>
      <w:r w:rsidRPr="00917B35">
        <w:rPr>
          <w:rFonts w:ascii="Times New Roman" w:hAnsi="Times New Roman" w:cs="Times New Roman"/>
          <w:sz w:val="24"/>
          <w:szCs w:val="24"/>
          <w:lang w:val="en-US"/>
        </w:rPr>
        <w:t xml:space="preserve">Rogoff, K. </w:t>
      </w:r>
      <w:r>
        <w:rPr>
          <w:rFonts w:ascii="Times New Roman" w:hAnsi="Times New Roman" w:cs="Times New Roman"/>
          <w:sz w:val="24"/>
          <w:szCs w:val="24"/>
          <w:lang w:val="en-US"/>
        </w:rPr>
        <w:t>(</w:t>
      </w:r>
      <w:r w:rsidRPr="00917B35">
        <w:rPr>
          <w:rFonts w:ascii="Times New Roman" w:hAnsi="Times New Roman" w:cs="Times New Roman"/>
          <w:sz w:val="24"/>
          <w:szCs w:val="24"/>
          <w:lang w:val="en-US"/>
        </w:rPr>
        <w:t>2014</w:t>
      </w:r>
      <w:r>
        <w:rPr>
          <w:rFonts w:ascii="Times New Roman" w:hAnsi="Times New Roman" w:cs="Times New Roman"/>
          <w:sz w:val="24"/>
          <w:szCs w:val="24"/>
          <w:lang w:val="en-US"/>
        </w:rPr>
        <w:t>)</w:t>
      </w:r>
      <w:r w:rsidRPr="00917B35">
        <w:rPr>
          <w:rFonts w:ascii="Times New Roman" w:hAnsi="Times New Roman" w:cs="Times New Roman"/>
          <w:sz w:val="24"/>
          <w:szCs w:val="24"/>
          <w:lang w:val="en-US"/>
        </w:rPr>
        <w:t>. "</w:t>
      </w:r>
      <w:r w:rsidRPr="00917B35">
        <w:rPr>
          <w:rFonts w:ascii="Times New Roman" w:hAnsi="Times New Roman" w:cs="Times New Roman"/>
          <w:b/>
          <w:i/>
          <w:sz w:val="24"/>
          <w:szCs w:val="24"/>
          <w:lang w:val="en-US"/>
        </w:rPr>
        <w:t>Costs and Benefits to Phasing Out Paper Currency</w:t>
      </w:r>
      <w:r w:rsidRPr="00917B35">
        <w:rPr>
          <w:rFonts w:ascii="Times New Roman" w:hAnsi="Times New Roman" w:cs="Times New Roman"/>
          <w:sz w:val="24"/>
          <w:szCs w:val="24"/>
          <w:lang w:val="en-US"/>
        </w:rPr>
        <w:t>"</w:t>
      </w:r>
      <w:r>
        <w:rPr>
          <w:rFonts w:ascii="Times New Roman" w:hAnsi="Times New Roman" w:cs="Times New Roman"/>
          <w:sz w:val="24"/>
          <w:szCs w:val="24"/>
          <w:lang w:val="en-US"/>
        </w:rPr>
        <w:t>.</w:t>
      </w:r>
      <w:r w:rsidRPr="00917B35">
        <w:rPr>
          <w:rFonts w:ascii="Times New Roman" w:hAnsi="Times New Roman" w:cs="Times New Roman"/>
          <w:sz w:val="24"/>
          <w:szCs w:val="24"/>
          <w:lang w:val="en-US"/>
        </w:rPr>
        <w:t xml:space="preserve"> NBER Working Paper 20126, National Bureau of Economic Research, Cambridge, MA.</w:t>
      </w:r>
    </w:p>
    <w:p w14:paraId="22D80FF9" w14:textId="1725C370" w:rsidR="008B3E4F" w:rsidRPr="00EB6E5B" w:rsidRDefault="008B3E4F" w:rsidP="00EB6E5B">
      <w:pPr>
        <w:pStyle w:val="ListParagraph"/>
        <w:numPr>
          <w:ilvl w:val="0"/>
          <w:numId w:val="10"/>
        </w:numPr>
        <w:autoSpaceDE w:val="0"/>
        <w:autoSpaceDN w:val="0"/>
        <w:adjustRightInd w:val="0"/>
        <w:spacing w:after="120" w:line="264" w:lineRule="auto"/>
        <w:ind w:left="360"/>
        <w:contextualSpacing w:val="0"/>
        <w:rPr>
          <w:rFonts w:ascii="Times New Roman" w:hAnsi="Times New Roman" w:cs="Times New Roman"/>
          <w:sz w:val="24"/>
          <w:szCs w:val="24"/>
          <w:lang w:val="en-US"/>
        </w:rPr>
      </w:pPr>
      <w:r w:rsidRPr="008B3E4F">
        <w:rPr>
          <w:rFonts w:ascii="Times New Roman" w:hAnsi="Times New Roman" w:cs="Times New Roman"/>
          <w:sz w:val="24"/>
          <w:szCs w:val="24"/>
          <w:lang w:val="en-US"/>
        </w:rPr>
        <w:t>Qian, Y</w:t>
      </w:r>
      <w:r>
        <w:rPr>
          <w:rFonts w:ascii="Times New Roman" w:hAnsi="Times New Roman" w:cs="Times New Roman"/>
          <w:sz w:val="24"/>
          <w:szCs w:val="24"/>
          <w:lang w:val="en-US"/>
        </w:rPr>
        <w:t>.</w:t>
      </w:r>
      <w:r w:rsidRPr="008B3E4F">
        <w:rPr>
          <w:rFonts w:ascii="Times New Roman" w:hAnsi="Times New Roman" w:cs="Times New Roman"/>
          <w:sz w:val="24"/>
          <w:szCs w:val="24"/>
          <w:lang w:val="en-US"/>
        </w:rPr>
        <w:t xml:space="preserve"> (201</w:t>
      </w:r>
      <w:r w:rsidR="00860CF7">
        <w:rPr>
          <w:rFonts w:ascii="Times New Roman" w:hAnsi="Times New Roman" w:cs="Times New Roman"/>
          <w:sz w:val="24"/>
          <w:szCs w:val="24"/>
          <w:lang w:val="en-US"/>
        </w:rPr>
        <w:t>9</w:t>
      </w:r>
      <w:r w:rsidRPr="008B3E4F">
        <w:rPr>
          <w:rFonts w:ascii="Times New Roman" w:hAnsi="Times New Roman" w:cs="Times New Roman"/>
          <w:sz w:val="24"/>
          <w:szCs w:val="24"/>
          <w:lang w:val="en-US"/>
        </w:rPr>
        <w:t>). "</w:t>
      </w:r>
      <w:r w:rsidRPr="00EB6E5B">
        <w:rPr>
          <w:rFonts w:ascii="Times New Roman" w:hAnsi="Times New Roman" w:cs="Times New Roman"/>
          <w:b/>
          <w:i/>
          <w:sz w:val="24"/>
          <w:szCs w:val="24"/>
          <w:lang w:val="en-US"/>
        </w:rPr>
        <w:t>Central Bank Digital Currency: Optimization of the Currency System and Its Issuance Design</w:t>
      </w:r>
      <w:r w:rsidRPr="008B3E4F">
        <w:rPr>
          <w:rFonts w:ascii="Times New Roman" w:hAnsi="Times New Roman" w:cs="Times New Roman"/>
          <w:sz w:val="24"/>
          <w:szCs w:val="24"/>
          <w:lang w:val="en-US"/>
        </w:rPr>
        <w:t>".</w:t>
      </w:r>
      <w:r w:rsidR="00EB6E5B">
        <w:rPr>
          <w:rFonts w:ascii="Times New Roman" w:hAnsi="Times New Roman" w:cs="Times New Roman"/>
          <w:sz w:val="24"/>
          <w:szCs w:val="24"/>
          <w:lang w:val="en-US"/>
        </w:rPr>
        <w:t xml:space="preserve"> </w:t>
      </w:r>
      <w:r w:rsidR="00EB6E5B" w:rsidRPr="00EB6E5B">
        <w:rPr>
          <w:rFonts w:ascii="Times New Roman" w:hAnsi="Times New Roman" w:cs="Times New Roman"/>
          <w:sz w:val="24"/>
          <w:szCs w:val="24"/>
          <w:lang w:val="en-US"/>
        </w:rPr>
        <w:t>China Economic Journal</w:t>
      </w:r>
      <w:r w:rsidR="00EB6E5B">
        <w:rPr>
          <w:rFonts w:ascii="Times New Roman" w:hAnsi="Times New Roman" w:cs="Times New Roman"/>
          <w:sz w:val="24"/>
          <w:szCs w:val="24"/>
          <w:lang w:val="en-US"/>
        </w:rPr>
        <w:t xml:space="preserve">, </w:t>
      </w:r>
      <w:r w:rsidR="00EB6E5B" w:rsidRPr="00EB6E5B">
        <w:rPr>
          <w:rFonts w:ascii="Times New Roman" w:hAnsi="Times New Roman" w:cs="Times New Roman"/>
          <w:sz w:val="24"/>
          <w:szCs w:val="24"/>
          <w:lang w:val="en-US"/>
        </w:rPr>
        <w:t>Volume 12, Issue 1.</w:t>
      </w:r>
    </w:p>
    <w:p w14:paraId="30451032" w14:textId="2E9985D2" w:rsidR="00E219DB" w:rsidRDefault="00E219DB" w:rsidP="00A24280">
      <w:pPr>
        <w:pStyle w:val="ListParagraph"/>
        <w:numPr>
          <w:ilvl w:val="0"/>
          <w:numId w:val="10"/>
        </w:numPr>
        <w:autoSpaceDE w:val="0"/>
        <w:autoSpaceDN w:val="0"/>
        <w:adjustRightInd w:val="0"/>
        <w:spacing w:after="120" w:line="264" w:lineRule="auto"/>
        <w:ind w:left="360"/>
        <w:contextualSpacing w:val="0"/>
        <w:rPr>
          <w:rFonts w:ascii="Times New Roman" w:hAnsi="Times New Roman" w:cs="Times New Roman"/>
          <w:sz w:val="24"/>
          <w:szCs w:val="24"/>
          <w:lang w:val="en-US"/>
        </w:rPr>
      </w:pPr>
      <w:bookmarkStart w:id="93" w:name="_Hlk11346488"/>
      <w:r w:rsidRPr="00497C70">
        <w:rPr>
          <w:rFonts w:ascii="Times New Roman" w:hAnsi="Times New Roman" w:cs="Times New Roman"/>
          <w:sz w:val="24"/>
          <w:szCs w:val="24"/>
          <w:lang w:val="en-US"/>
        </w:rPr>
        <w:t>South African Reserve Bank</w:t>
      </w:r>
      <w:r w:rsidR="00AB69E8">
        <w:rPr>
          <w:rFonts w:ascii="Times New Roman" w:hAnsi="Times New Roman" w:cs="Times New Roman"/>
          <w:sz w:val="24"/>
          <w:szCs w:val="24"/>
          <w:lang w:val="en-US"/>
        </w:rPr>
        <w:t xml:space="preserve"> (SARB)</w:t>
      </w:r>
      <w:r w:rsidRPr="00497C70">
        <w:rPr>
          <w:rFonts w:ascii="Times New Roman" w:hAnsi="Times New Roman" w:cs="Times New Roman"/>
          <w:sz w:val="24"/>
          <w:szCs w:val="24"/>
          <w:lang w:val="en-US"/>
        </w:rPr>
        <w:t xml:space="preserve"> (2018). </w:t>
      </w:r>
      <w:bookmarkEnd w:id="93"/>
      <w:r w:rsidRPr="00497C70">
        <w:rPr>
          <w:rFonts w:ascii="Times New Roman" w:hAnsi="Times New Roman" w:cs="Times New Roman"/>
          <w:sz w:val="24"/>
          <w:szCs w:val="24"/>
          <w:lang w:val="en-US"/>
        </w:rPr>
        <w:t>“</w:t>
      </w:r>
      <w:r w:rsidRPr="00497C70">
        <w:rPr>
          <w:rFonts w:ascii="Times New Roman" w:hAnsi="Times New Roman" w:cs="Times New Roman"/>
          <w:b/>
          <w:i/>
          <w:iCs/>
          <w:sz w:val="24"/>
          <w:szCs w:val="24"/>
          <w:lang w:val="en-US"/>
        </w:rPr>
        <w:t>Project Khokha: Exploring the use of distributed ledger technology in interbank payments settlement in South Africa</w:t>
      </w:r>
      <w:r w:rsidRPr="00497C70">
        <w:rPr>
          <w:rFonts w:ascii="Times New Roman" w:hAnsi="Times New Roman" w:cs="Times New Roman"/>
          <w:sz w:val="24"/>
          <w:szCs w:val="24"/>
          <w:lang w:val="en-US"/>
        </w:rPr>
        <w:t>”. June.</w:t>
      </w:r>
    </w:p>
    <w:p w14:paraId="648B23E1" w14:textId="0B7E5F08" w:rsidR="00E219DB" w:rsidRPr="00441575" w:rsidRDefault="00AB69E8" w:rsidP="00A24280">
      <w:pPr>
        <w:pStyle w:val="ListParagraph"/>
        <w:numPr>
          <w:ilvl w:val="0"/>
          <w:numId w:val="10"/>
        </w:numPr>
        <w:autoSpaceDE w:val="0"/>
        <w:autoSpaceDN w:val="0"/>
        <w:adjustRightInd w:val="0"/>
        <w:spacing w:after="120" w:line="264" w:lineRule="auto"/>
        <w:ind w:left="360"/>
        <w:contextualSpacing w:val="0"/>
        <w:rPr>
          <w:szCs w:val="24"/>
          <w:lang w:val="en-US"/>
        </w:rPr>
      </w:pPr>
      <w:r w:rsidRPr="00441575">
        <w:rPr>
          <w:rFonts w:ascii="Times New Roman" w:hAnsi="Times New Roman" w:cs="Times New Roman"/>
          <w:sz w:val="24"/>
          <w:szCs w:val="24"/>
          <w:lang w:val="en-US"/>
        </w:rPr>
        <w:t>South African Reserve Bank (SARB) (2019).</w:t>
      </w:r>
      <w:r w:rsidR="00441575" w:rsidRPr="00441575">
        <w:rPr>
          <w:rFonts w:ascii="Times New Roman" w:hAnsi="Times New Roman" w:cs="Times New Roman"/>
          <w:sz w:val="24"/>
          <w:szCs w:val="24"/>
          <w:lang w:val="en-US"/>
        </w:rPr>
        <w:t xml:space="preserve"> </w:t>
      </w:r>
      <w:r w:rsidR="00441575" w:rsidRPr="00441575">
        <w:rPr>
          <w:rFonts w:ascii="Times New Roman" w:hAnsi="Times New Roman" w:cs="Times New Roman"/>
          <w:b/>
          <w:i/>
          <w:sz w:val="24"/>
          <w:szCs w:val="24"/>
          <w:lang w:val="en-US"/>
        </w:rPr>
        <w:t>Procurement Division Expressions of Interest</w:t>
      </w:r>
      <w:r w:rsidR="00441575" w:rsidRPr="00441575">
        <w:rPr>
          <w:rFonts w:ascii="Times New Roman" w:hAnsi="Times New Roman" w:cs="Times New Roman"/>
          <w:sz w:val="24"/>
          <w:szCs w:val="24"/>
          <w:lang w:val="en-US"/>
        </w:rPr>
        <w:t>. May.</w:t>
      </w:r>
    </w:p>
    <w:p w14:paraId="48EC6726" w14:textId="257B812B" w:rsidR="00E219DB" w:rsidRDefault="00E219DB" w:rsidP="00A24280">
      <w:pPr>
        <w:pStyle w:val="ListParagraph"/>
        <w:numPr>
          <w:ilvl w:val="0"/>
          <w:numId w:val="10"/>
        </w:numPr>
        <w:autoSpaceDE w:val="0"/>
        <w:autoSpaceDN w:val="0"/>
        <w:adjustRightInd w:val="0"/>
        <w:spacing w:after="120" w:line="264" w:lineRule="auto"/>
        <w:ind w:left="360"/>
        <w:contextualSpacing w:val="0"/>
        <w:rPr>
          <w:rFonts w:ascii="Times New Roman" w:hAnsi="Times New Roman" w:cs="Times New Roman"/>
          <w:sz w:val="24"/>
          <w:szCs w:val="24"/>
          <w:lang w:val="en-US"/>
        </w:rPr>
      </w:pPr>
      <w:r w:rsidRPr="00497C70">
        <w:rPr>
          <w:rFonts w:ascii="Times New Roman" w:hAnsi="Times New Roman" w:cs="Times New Roman"/>
          <w:sz w:val="24"/>
          <w:szCs w:val="24"/>
          <w:lang w:val="en-US"/>
        </w:rPr>
        <w:t>Samman and Masanto (2019). “</w:t>
      </w:r>
      <w:r w:rsidRPr="00497C70">
        <w:rPr>
          <w:rFonts w:ascii="Times New Roman" w:hAnsi="Times New Roman" w:cs="Times New Roman"/>
          <w:b/>
          <w:i/>
          <w:iCs/>
          <w:sz w:val="24"/>
          <w:szCs w:val="24"/>
          <w:lang w:val="en-US"/>
        </w:rPr>
        <w:t>The State of Stablecoins 2019 – Hype vs. Reality in the Race for Stable, Global, Digital Money</w:t>
      </w:r>
      <w:r w:rsidRPr="00497C70">
        <w:rPr>
          <w:rFonts w:ascii="Times New Roman" w:hAnsi="Times New Roman" w:cs="Times New Roman"/>
          <w:sz w:val="24"/>
          <w:szCs w:val="24"/>
          <w:lang w:val="en-US"/>
        </w:rPr>
        <w:t>”.  February.</w:t>
      </w:r>
    </w:p>
    <w:p w14:paraId="0E170E9D" w14:textId="78B9AEFB" w:rsidR="00AE6482" w:rsidRPr="00497C70" w:rsidRDefault="00AE6482" w:rsidP="00A24280">
      <w:pPr>
        <w:pStyle w:val="ListParagraph"/>
        <w:numPr>
          <w:ilvl w:val="0"/>
          <w:numId w:val="10"/>
        </w:numPr>
        <w:autoSpaceDE w:val="0"/>
        <w:autoSpaceDN w:val="0"/>
        <w:adjustRightInd w:val="0"/>
        <w:spacing w:after="120" w:line="264" w:lineRule="auto"/>
        <w:ind w:left="360"/>
        <w:contextualSpacing w:val="0"/>
        <w:rPr>
          <w:rFonts w:ascii="Times New Roman" w:hAnsi="Times New Roman" w:cs="Times New Roman"/>
          <w:sz w:val="24"/>
          <w:szCs w:val="24"/>
          <w:lang w:val="en-US"/>
        </w:rPr>
      </w:pPr>
      <w:r w:rsidRPr="00AE6482">
        <w:rPr>
          <w:rFonts w:ascii="Times New Roman" w:hAnsi="Times New Roman" w:cs="Times New Roman"/>
          <w:sz w:val="24"/>
          <w:szCs w:val="24"/>
          <w:lang w:val="en-US"/>
        </w:rPr>
        <w:t xml:space="preserve">Woodford, M. </w:t>
      </w:r>
      <w:r>
        <w:rPr>
          <w:rFonts w:ascii="Times New Roman" w:hAnsi="Times New Roman" w:cs="Times New Roman"/>
          <w:sz w:val="24"/>
          <w:szCs w:val="24"/>
          <w:lang w:val="en-US"/>
        </w:rPr>
        <w:t>(</w:t>
      </w:r>
      <w:r w:rsidRPr="00AE6482">
        <w:rPr>
          <w:rFonts w:ascii="Times New Roman" w:hAnsi="Times New Roman" w:cs="Times New Roman"/>
          <w:sz w:val="24"/>
          <w:szCs w:val="24"/>
          <w:lang w:val="en-US"/>
        </w:rPr>
        <w:t>2000</w:t>
      </w:r>
      <w:r>
        <w:rPr>
          <w:rFonts w:ascii="Times New Roman" w:hAnsi="Times New Roman" w:cs="Times New Roman"/>
          <w:sz w:val="24"/>
          <w:szCs w:val="24"/>
          <w:lang w:val="en-US"/>
        </w:rPr>
        <w:t>)</w:t>
      </w:r>
      <w:r w:rsidRPr="00AE6482">
        <w:rPr>
          <w:rFonts w:ascii="Times New Roman" w:hAnsi="Times New Roman" w:cs="Times New Roman"/>
          <w:sz w:val="24"/>
          <w:szCs w:val="24"/>
          <w:lang w:val="en-US"/>
        </w:rPr>
        <w:t>. "</w:t>
      </w:r>
      <w:r w:rsidRPr="00AE6482">
        <w:rPr>
          <w:rFonts w:ascii="Times New Roman" w:hAnsi="Times New Roman" w:cs="Times New Roman"/>
          <w:b/>
          <w:i/>
          <w:sz w:val="24"/>
          <w:szCs w:val="24"/>
          <w:lang w:val="en-US"/>
        </w:rPr>
        <w:t>Monetary Policy in a World without Money</w:t>
      </w:r>
      <w:r w:rsidRPr="00AE6482">
        <w:rPr>
          <w:rFonts w:ascii="Times New Roman" w:hAnsi="Times New Roman" w:cs="Times New Roman"/>
          <w:sz w:val="24"/>
          <w:szCs w:val="24"/>
          <w:lang w:val="en-US"/>
        </w:rPr>
        <w:t>." NBER Working Paper 7853, National Bureau of Economic Research, Cambridge, MA.</w:t>
      </w:r>
    </w:p>
    <w:p w14:paraId="303DF2AC" w14:textId="77777777" w:rsidR="00E219DB" w:rsidRPr="002120C3" w:rsidRDefault="00E219DB" w:rsidP="00C55ACB">
      <w:pPr>
        <w:rPr>
          <w:lang w:eastAsia="ja-JP"/>
        </w:rPr>
      </w:pPr>
    </w:p>
    <w:sectPr w:rsidR="00E219DB" w:rsidRPr="002120C3" w:rsidSect="00685A1D">
      <w:headerReference w:type="default" r:id="rId90"/>
      <w:footerReference w:type="first" r:id="rId91"/>
      <w:pgSz w:w="11907" w:h="16840" w:code="9"/>
      <w:pgMar w:top="1417" w:right="1134" w:bottom="1417"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C73AD" w14:textId="77777777" w:rsidR="00C1789C" w:rsidRDefault="00C1789C">
      <w:r>
        <w:separator/>
      </w:r>
    </w:p>
  </w:endnote>
  <w:endnote w:type="continuationSeparator" w:id="0">
    <w:p w14:paraId="0B5BDB9C" w14:textId="77777777" w:rsidR="00C1789C" w:rsidRDefault="00C1789C">
      <w:r>
        <w:continuationSeparator/>
      </w:r>
    </w:p>
  </w:endnote>
  <w:endnote w:type="continuationNotice" w:id="1">
    <w:p w14:paraId="5B27232B" w14:textId="77777777" w:rsidR="00C1789C" w:rsidRDefault="00C1789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venir Next Medium">
    <w:altName w:val="Calibri"/>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Gothic"/>
    <w:charset w:val="4E"/>
    <w:family w:val="auto"/>
    <w:pitch w:val="variable"/>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Bliss Pro ExtraLight">
    <w:altName w:val="Avenir Book"/>
    <w:panose1 w:val="00000000000000000000"/>
    <w:charset w:val="00"/>
    <w:family w:val="swiss"/>
    <w:notTrueType/>
    <w:pitch w:val="default"/>
    <w:sig w:usb0="00000003" w:usb1="00000000" w:usb2="00000000" w:usb3="00000000" w:csb0="00000001" w:csb1="00000000"/>
  </w:font>
  <w:font w:name="Bliss Pro Medium">
    <w:altName w:val="Arial"/>
    <w:panose1 w:val="00000000000000000000"/>
    <w:charset w:val="00"/>
    <w:family w:val="swiss"/>
    <w:notTrueType/>
    <w:pitch w:val="default"/>
    <w:sig w:usb0="00000003" w:usb1="00000000" w:usb2="00000000" w:usb3="00000000" w:csb0="00000001" w:csb1="00000000"/>
  </w:font>
  <w:font w:name="Bliss Pro Bold">
    <w:altName w:val="Arial"/>
    <w:panose1 w:val="00000000000000000000"/>
    <w:charset w:val="00"/>
    <w:family w:val="swiss"/>
    <w:notTrueType/>
    <w:pitch w:val="default"/>
    <w:sig w:usb0="00000003" w:usb1="00000000" w:usb2="00000000" w:usb3="00000000" w:csb0="00000001" w:csb1="00000000"/>
  </w:font>
  <w:font w:name="Bliss Pro Regular">
    <w:altName w:val="Arial"/>
    <w:panose1 w:val="00000000000000000000"/>
    <w:charset w:val="00"/>
    <w:family w:val="swiss"/>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DINPro-Regular">
    <w:altName w:val="Times New Roman"/>
    <w:panose1 w:val="00000000000000000000"/>
    <w:charset w:val="00"/>
    <w:family w:val="roman"/>
    <w:notTrueType/>
    <w:pitch w:val="default"/>
  </w:font>
  <w:font w:name="HelveticaNeue">
    <w:altName w:val="PMingLiU"/>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mplitude-Ligh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275675"/>
      <w:docPartObj>
        <w:docPartGallery w:val="Page Numbers (Bottom of Page)"/>
        <w:docPartUnique/>
      </w:docPartObj>
    </w:sdtPr>
    <w:sdtEndPr>
      <w:rPr>
        <w:noProof/>
      </w:rPr>
    </w:sdtEndPr>
    <w:sdtContent>
      <w:p w14:paraId="65D6811F" w14:textId="6F8B1812" w:rsidR="00190C9D" w:rsidRDefault="00190C9D">
        <w:pPr>
          <w:pStyle w:val="Footer"/>
          <w:jc w:val="right"/>
        </w:pPr>
        <w:r>
          <w:fldChar w:fldCharType="begin"/>
        </w:r>
        <w:r>
          <w:instrText xml:space="preserve"> PAGE   \* MERGEFORMAT </w:instrText>
        </w:r>
        <w:r>
          <w:fldChar w:fldCharType="separate"/>
        </w:r>
        <w:r w:rsidR="00F546B7">
          <w:rPr>
            <w:noProof/>
          </w:rPr>
          <w:t>5</w:t>
        </w:r>
        <w:r>
          <w:rPr>
            <w:noProof/>
          </w:rPr>
          <w:fldChar w:fldCharType="end"/>
        </w:r>
      </w:p>
    </w:sdtContent>
  </w:sdt>
  <w:p w14:paraId="71247C64" w14:textId="77777777" w:rsidR="00190C9D" w:rsidRDefault="00190C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2F7DA" w14:textId="77777777" w:rsidR="00190C9D" w:rsidRDefault="00190C9D">
    <w:pPr>
      <w:pStyle w:val="Footer"/>
      <w:tabs>
        <w:tab w:val="left" w:pos="5245"/>
      </w:tabs>
      <w:rPr>
        <w:sz w:val="16"/>
      </w:rPr>
    </w:pPr>
    <w:r>
      <w:rPr>
        <w:noProof/>
        <w:sz w:val="16"/>
        <w:lang w:eastAsia="en-GB"/>
      </w:rPr>
      <w:drawing>
        <wp:anchor distT="0" distB="0" distL="114300" distR="114300" simplePos="0" relativeHeight="251662336" behindDoc="0" locked="0" layoutInCell="1" allowOverlap="1" wp14:anchorId="7D46E9D4" wp14:editId="24856AE5">
          <wp:simplePos x="0" y="0"/>
          <wp:positionH relativeFrom="column">
            <wp:posOffset>5182235</wp:posOffset>
          </wp:positionH>
          <wp:positionV relativeFrom="paragraph">
            <wp:posOffset>-137160</wp:posOffset>
          </wp:positionV>
          <wp:extent cx="1504315" cy="634365"/>
          <wp:effectExtent l="0" t="0" r="0" b="0"/>
          <wp:wrapNone/>
          <wp:docPr id="4" name="Picture 4"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723AA" w14:textId="77777777" w:rsidR="00190C9D" w:rsidRPr="00B22DA4" w:rsidRDefault="00190C9D"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B8A115" w14:textId="77777777" w:rsidR="00C1789C" w:rsidRDefault="00C1789C">
      <w:r>
        <w:separator/>
      </w:r>
    </w:p>
  </w:footnote>
  <w:footnote w:type="continuationSeparator" w:id="0">
    <w:p w14:paraId="4725D30F" w14:textId="77777777" w:rsidR="00C1789C" w:rsidRDefault="00C1789C">
      <w:r>
        <w:continuationSeparator/>
      </w:r>
    </w:p>
  </w:footnote>
  <w:footnote w:type="continuationNotice" w:id="1">
    <w:p w14:paraId="493969FF" w14:textId="77777777" w:rsidR="00C1789C" w:rsidRDefault="00C1789C">
      <w:pPr>
        <w:spacing w:before="0"/>
      </w:pPr>
    </w:p>
  </w:footnote>
  <w:footnote w:id="2">
    <w:p w14:paraId="0C5D9117" w14:textId="47745306" w:rsidR="00190C9D" w:rsidRPr="00F8181D" w:rsidRDefault="00190C9D" w:rsidP="003B6FC6">
      <w:pPr>
        <w:pStyle w:val="FootnoteText"/>
        <w:spacing w:after="120"/>
        <w:ind w:left="144" w:hanging="144"/>
        <w:rPr>
          <w:lang w:val="en-US"/>
        </w:rPr>
      </w:pPr>
      <w:r>
        <w:rPr>
          <w:rStyle w:val="FootnoteReference"/>
        </w:rPr>
        <w:footnoteRef/>
      </w:r>
      <w:r>
        <w:t xml:space="preserve"> </w:t>
      </w:r>
      <w:r w:rsidRPr="003B6FC6">
        <w:rPr>
          <w:rFonts w:ascii="Times New Roman" w:hAnsi="Times New Roman" w:cs="Times New Roman"/>
        </w:rPr>
        <w:t xml:space="preserve">Stablecoins are crypto-assets designed to minimize price volatility, usually versus a fiat currency, </w:t>
      </w:r>
      <w:r>
        <w:rPr>
          <w:rFonts w:ascii="Times New Roman" w:hAnsi="Times New Roman" w:cs="Times New Roman"/>
        </w:rPr>
        <w:t>although</w:t>
      </w:r>
      <w:r w:rsidRPr="003B6FC6">
        <w:rPr>
          <w:rFonts w:ascii="Times New Roman" w:hAnsi="Times New Roman" w:cs="Times New Roman"/>
        </w:rPr>
        <w:t xml:space="preserve"> some are pegged to baskets of fiat currencies (e.g., IMF Special Drawing Rights)</w:t>
      </w:r>
      <w:r>
        <w:rPr>
          <w:rFonts w:ascii="Times New Roman" w:hAnsi="Times New Roman" w:cs="Times New Roman"/>
        </w:rPr>
        <w:t>.</w:t>
      </w:r>
      <w:r w:rsidRPr="003B6FC6">
        <w:rPr>
          <w:rFonts w:ascii="Times New Roman" w:hAnsi="Times New Roman" w:cs="Times New Roman"/>
        </w:rPr>
        <w:t xml:space="preserve"> Most stablecoins are collateralized, or backed, by the assets they are pegged to. This is the case with the major USD-pegged coins such as Tether (USDT) and Circle (USDC). Some stablecoins are backed by other crypto-assets. For example, USD-pegged DAI is currently 150% overcollateralized with Ether (ETH) – every $100 million DAI outstanding is backed by $150 of ETH.</w:t>
      </w:r>
      <w:r>
        <w:rPr>
          <w:rFonts w:ascii="Times New Roman" w:hAnsi="Times New Roman" w:cs="Times New Roman"/>
        </w:rPr>
        <w:t xml:space="preserve"> </w:t>
      </w:r>
      <w:r w:rsidR="002B784C">
        <w:rPr>
          <w:rFonts w:ascii="Times New Roman" w:hAnsi="Times New Roman" w:cs="Times New Roman"/>
        </w:rPr>
        <w:t>According to one view, p</w:t>
      </w:r>
      <w:r w:rsidRPr="007F5363">
        <w:rPr>
          <w:rFonts w:ascii="Times New Roman" w:hAnsi="Times New Roman" w:cs="Times New Roman"/>
        </w:rPr>
        <w:t xml:space="preserve">rivate </w:t>
      </w:r>
      <w:r>
        <w:rPr>
          <w:rFonts w:ascii="Times New Roman" w:hAnsi="Times New Roman" w:cs="Times New Roman"/>
        </w:rPr>
        <w:t>stablecoins</w:t>
      </w:r>
      <w:r w:rsidRPr="007F5363">
        <w:rPr>
          <w:rFonts w:ascii="Times New Roman" w:hAnsi="Times New Roman" w:cs="Times New Roman"/>
        </w:rPr>
        <w:t xml:space="preserve"> backed by central bank money </w:t>
      </w:r>
      <w:r>
        <w:rPr>
          <w:rFonts w:ascii="Times New Roman" w:hAnsi="Times New Roman" w:cs="Times New Roman"/>
        </w:rPr>
        <w:t xml:space="preserve">could </w:t>
      </w:r>
      <w:r w:rsidRPr="007F5363">
        <w:rPr>
          <w:rFonts w:ascii="Times New Roman" w:hAnsi="Times New Roman" w:cs="Times New Roman"/>
        </w:rPr>
        <w:t xml:space="preserve">be considered indirect </w:t>
      </w:r>
      <w:r>
        <w:rPr>
          <w:rFonts w:ascii="Times New Roman" w:hAnsi="Times New Roman" w:cs="Times New Roman"/>
        </w:rPr>
        <w:t xml:space="preserve">or “synthetic” </w:t>
      </w:r>
      <w:r w:rsidRPr="007F5363">
        <w:rPr>
          <w:rFonts w:ascii="Times New Roman" w:hAnsi="Times New Roman" w:cs="Times New Roman"/>
        </w:rPr>
        <w:t>CBDC</w:t>
      </w:r>
      <w:r>
        <w:rPr>
          <w:rFonts w:ascii="Times New Roman" w:hAnsi="Times New Roman" w:cs="Times New Roman"/>
        </w:rPr>
        <w:t xml:space="preserve"> (Kumhof and Noone, 2018; Adrian, 2019).</w:t>
      </w:r>
    </w:p>
  </w:footnote>
  <w:footnote w:id="3">
    <w:p w14:paraId="7C93D740" w14:textId="77777777" w:rsidR="00190C9D" w:rsidRPr="006E6463" w:rsidRDefault="00190C9D" w:rsidP="006E6463">
      <w:pPr>
        <w:pStyle w:val="FootnoteText"/>
        <w:spacing w:after="120"/>
        <w:ind w:left="142" w:hanging="142"/>
        <w:jc w:val="both"/>
        <w:rPr>
          <w:rFonts w:ascii="Times New Roman" w:hAnsi="Times New Roman" w:cs="Times New Roman"/>
        </w:rPr>
      </w:pPr>
      <w:r w:rsidRPr="006E6463">
        <w:rPr>
          <w:rStyle w:val="FootnoteReference"/>
          <w:rFonts w:ascii="Times New Roman" w:hAnsi="Times New Roman" w:cs="Times New Roman"/>
        </w:rPr>
        <w:footnoteRef/>
      </w:r>
      <w:r w:rsidRPr="006E6463">
        <w:rPr>
          <w:rFonts w:ascii="Times New Roman" w:hAnsi="Times New Roman" w:cs="Times New Roman"/>
        </w:rPr>
        <w:t xml:space="preserve"> Prevailing practice is that a state designates by legislation a currency of its issuance as legal tender within its territory. However, legal tender has been an elusive concept, and its meaning varies from country to country. Even today, countries sometimes prohibit contracts denominated and payable in non-local currencies within their territories, though such prohibition can be best described as foreign exchange control. There have also been cases where a state gave private bank currencies legal tender status.  Also, some countries decide to adopt a dollarization policy and designate a foreign currency as legal tender either unilaterally or bilaterally and with or without parallel issuance of its own currency. </w:t>
      </w:r>
    </w:p>
  </w:footnote>
  <w:footnote w:id="4">
    <w:p w14:paraId="4EB59F6C" w14:textId="77777777" w:rsidR="00190C9D" w:rsidRPr="00BB009C" w:rsidRDefault="00190C9D" w:rsidP="00C55ACB">
      <w:pPr>
        <w:pStyle w:val="FootnoteText"/>
        <w:ind w:left="180" w:hanging="180"/>
        <w:jc w:val="both"/>
      </w:pPr>
      <w:r>
        <w:rPr>
          <w:rStyle w:val="FootnoteReference"/>
        </w:rPr>
        <w:footnoteRef/>
      </w:r>
      <w:r>
        <w:t xml:space="preserve"> </w:t>
      </w:r>
      <w:r w:rsidRPr="00C55ACB">
        <w:rPr>
          <w:rFonts w:ascii="Times New Roman" w:hAnsi="Times New Roman" w:cs="Times New Roman"/>
        </w:rPr>
        <w:t>Atomic transactions occur completely or not at all with no partial results such as withdrawal of money from an ATM and charges to a credit card.</w:t>
      </w:r>
    </w:p>
  </w:footnote>
  <w:footnote w:id="5">
    <w:p w14:paraId="28B1BEBD" w14:textId="77777777" w:rsidR="00190C9D" w:rsidRPr="006E6463" w:rsidRDefault="00190C9D" w:rsidP="009939B6">
      <w:pPr>
        <w:pStyle w:val="FootnoteText"/>
        <w:spacing w:after="120"/>
        <w:ind w:left="142" w:hanging="142"/>
        <w:jc w:val="both"/>
        <w:rPr>
          <w:rFonts w:ascii="Times New Roman" w:hAnsi="Times New Roman" w:cs="Times New Roman"/>
        </w:rPr>
      </w:pPr>
      <w:r w:rsidRPr="006E6463">
        <w:rPr>
          <w:rStyle w:val="FootnoteReference"/>
          <w:rFonts w:ascii="Times New Roman" w:hAnsi="Times New Roman" w:cs="Times New Roman"/>
        </w:rPr>
        <w:footnoteRef/>
      </w:r>
      <w:r w:rsidRPr="006E6463">
        <w:rPr>
          <w:rFonts w:ascii="Times New Roman" w:hAnsi="Times New Roman" w:cs="Times New Roman"/>
        </w:rPr>
        <w:t xml:space="preserve"> In the case of Senegal’s eCFA e-currency, the only connection to the central bank seems to be that the e-currency complies with the e-money regulations of the Banque Centrale des Etats de l’Afrique de l’Ouest. In Tunisia, the post office has been operating an e-Dinar digital money wallet since 2000, and in 2016 it partnered with Monetas and DigitUs to offer a blockchain-based payments app, but there is no central bank involvement.</w:t>
      </w:r>
    </w:p>
  </w:footnote>
  <w:footnote w:id="6">
    <w:p w14:paraId="45EF1D98" w14:textId="77777777" w:rsidR="00190C9D" w:rsidRPr="00C55ACB" w:rsidRDefault="00190C9D" w:rsidP="009939B6">
      <w:pPr>
        <w:pStyle w:val="FootnoteText"/>
        <w:spacing w:after="120"/>
        <w:ind w:left="142" w:hanging="142"/>
        <w:jc w:val="both"/>
        <w:rPr>
          <w:lang w:val="en-US"/>
        </w:rPr>
      </w:pPr>
      <w:r w:rsidRPr="009939B6">
        <w:rPr>
          <w:rFonts w:ascii="Times New Roman" w:hAnsi="Times New Roman" w:cs="Times New Roman"/>
          <w:vertAlign w:val="superscript"/>
        </w:rPr>
        <w:footnoteRef/>
      </w:r>
      <w:r w:rsidRPr="00C55ACB">
        <w:rPr>
          <w:rFonts w:ascii="Times New Roman" w:hAnsi="Times New Roman" w:cs="Times New Roman"/>
        </w:rPr>
        <w:t xml:space="preserve"> N-tier architectures are a very mature and well-known architectural approach, thus representing lower risk than adopting the new</w:t>
      </w:r>
      <w:r>
        <w:rPr>
          <w:rFonts w:ascii="Times New Roman" w:hAnsi="Times New Roman" w:cs="Times New Roman"/>
        </w:rPr>
        <w:t xml:space="preserve"> </w:t>
      </w:r>
      <w:r w:rsidRPr="00C55ACB">
        <w:rPr>
          <w:rFonts w:ascii="Times New Roman" w:hAnsi="Times New Roman" w:cs="Times New Roman"/>
        </w:rPr>
        <w:t>technologies. They enable separation of concerns, e.g. the ability to scale up transaction processing at the back-end of the system while allowing the user experience to remain untouched. Many of the world’s largest transactional systems, including payment system, are built on the n-tier approach, there are many design patterns and many vendors have technologies that work with n-tier.</w:t>
      </w:r>
    </w:p>
  </w:footnote>
  <w:footnote w:id="7">
    <w:p w14:paraId="0D61C398" w14:textId="7AD91946" w:rsidR="00190C9D" w:rsidRPr="0060119B" w:rsidRDefault="00190C9D" w:rsidP="009939B6">
      <w:pPr>
        <w:pStyle w:val="FootnoteText"/>
        <w:spacing w:after="120"/>
        <w:ind w:left="142" w:hanging="142"/>
        <w:jc w:val="both"/>
        <w:rPr>
          <w:rFonts w:ascii="Times New Roman" w:hAnsi="Times New Roman" w:cs="Times New Roman"/>
          <w:lang w:val="en-US"/>
        </w:rPr>
      </w:pPr>
      <w:r w:rsidRPr="0060119B">
        <w:footnoteRef/>
      </w:r>
      <w:r w:rsidRPr="0060119B">
        <w:rPr>
          <w:rFonts w:ascii="Times New Roman" w:hAnsi="Times New Roman" w:cs="Times New Roman"/>
        </w:rPr>
        <w:t xml:space="preserve"> DLT platforms can be “public” (accessible by anyone) or access could be restricted to a group of users (“consortium) or just one (“private”). Ledger integrity can be managed by a selected group of users (“permissioned”) or by all users (“permissionless”).</w:t>
      </w:r>
    </w:p>
  </w:footnote>
  <w:footnote w:id="8">
    <w:p w14:paraId="014F2E42" w14:textId="172F7E72" w:rsidR="00190C9D" w:rsidRPr="00D241C1" w:rsidRDefault="00190C9D" w:rsidP="009939B6">
      <w:pPr>
        <w:pStyle w:val="FootnoteText"/>
        <w:spacing w:after="120"/>
        <w:rPr>
          <w:rFonts w:ascii="Times New Roman" w:hAnsi="Times New Roman" w:cs="Times New Roman"/>
        </w:rPr>
      </w:pPr>
      <w:r w:rsidRPr="00D241C1">
        <w:rPr>
          <w:rStyle w:val="FootnoteReference"/>
          <w:rFonts w:ascii="Times New Roman" w:hAnsi="Times New Roman" w:cs="Times New Roman"/>
        </w:rPr>
        <w:footnoteRef/>
      </w:r>
      <w:r w:rsidRPr="00D241C1">
        <w:rPr>
          <w:rFonts w:ascii="Times New Roman" w:hAnsi="Times New Roman" w:cs="Times New Roman"/>
        </w:rPr>
        <w:t xml:space="preserve"> There could be tens of thousands of payment messages and batch-file entries per day in a wholesale payment system.</w:t>
      </w:r>
    </w:p>
  </w:footnote>
  <w:footnote w:id="9">
    <w:p w14:paraId="55AE4BE1" w14:textId="77777777" w:rsidR="00190C9D" w:rsidRPr="009939B6" w:rsidRDefault="00190C9D" w:rsidP="009939B6">
      <w:pPr>
        <w:pStyle w:val="FootnoteText"/>
        <w:spacing w:after="120"/>
        <w:rPr>
          <w:rFonts w:ascii="Times New Roman" w:hAnsi="Times New Roman" w:cs="Times New Roman"/>
        </w:rPr>
      </w:pPr>
      <w:r w:rsidRPr="009939B6">
        <w:rPr>
          <w:rStyle w:val="FootnoteReference"/>
          <w:rFonts w:ascii="Times New Roman" w:hAnsi="Times New Roman" w:cs="Times New Roman"/>
        </w:rPr>
        <w:footnoteRef/>
      </w:r>
      <w:r w:rsidRPr="009939B6">
        <w:rPr>
          <w:rFonts w:ascii="Times New Roman" w:hAnsi="Times New Roman" w:cs="Times New Roman"/>
        </w:rPr>
        <w:t xml:space="preserve"> The number of nodes participating in the payment system, and the distance between these nodes.</w:t>
      </w:r>
    </w:p>
  </w:footnote>
  <w:footnote w:id="10">
    <w:p w14:paraId="1AA1CF88" w14:textId="77777777" w:rsidR="00190C9D" w:rsidRPr="0093235C" w:rsidRDefault="00190C9D" w:rsidP="009939B6">
      <w:pPr>
        <w:pStyle w:val="FootnoteText"/>
        <w:spacing w:after="120"/>
        <w:ind w:left="144" w:hanging="144"/>
      </w:pPr>
      <w:r w:rsidRPr="009939B6">
        <w:rPr>
          <w:rStyle w:val="FootnoteReference"/>
          <w:rFonts w:ascii="Times New Roman" w:hAnsi="Times New Roman" w:cs="Times New Roman"/>
        </w:rPr>
        <w:footnoteRef/>
      </w:r>
      <w:r w:rsidRPr="009939B6">
        <w:rPr>
          <w:rFonts w:ascii="Times New Roman" w:hAnsi="Times New Roman" w:cs="Times New Roman"/>
        </w:rPr>
        <w:t xml:space="preserve"> The number of transactions grouped together in a block (linked to the batch size), and the minimum interval needed to create a new block (timeout).</w:t>
      </w:r>
    </w:p>
  </w:footnote>
  <w:footnote w:id="11">
    <w:p w14:paraId="4CA35CB6" w14:textId="77777777" w:rsidR="00190C9D" w:rsidRPr="009939B6" w:rsidRDefault="00190C9D" w:rsidP="009939B6">
      <w:pPr>
        <w:pStyle w:val="FootnoteText"/>
        <w:spacing w:after="120"/>
        <w:ind w:left="144" w:hanging="144"/>
        <w:rPr>
          <w:rFonts w:ascii="Times New Roman" w:hAnsi="Times New Roman" w:cs="Times New Roman"/>
          <w:lang w:val="en-US"/>
        </w:rPr>
      </w:pPr>
      <w:r w:rsidRPr="009939B6">
        <w:rPr>
          <w:rStyle w:val="FootnoteReference"/>
          <w:rFonts w:ascii="Times New Roman" w:hAnsi="Times New Roman" w:cs="Times New Roman"/>
        </w:rPr>
        <w:footnoteRef/>
      </w:r>
      <w:r w:rsidRPr="009939B6">
        <w:rPr>
          <w:rFonts w:ascii="Times New Roman" w:hAnsi="Times New Roman" w:cs="Times New Roman"/>
        </w:rPr>
        <w:t xml:space="preserve"> </w:t>
      </w:r>
      <w:r w:rsidRPr="009939B6">
        <w:rPr>
          <w:rFonts w:ascii="Times New Roman" w:hAnsi="Times New Roman" w:cs="Times New Roman"/>
          <w:lang w:val="en-US"/>
        </w:rPr>
        <w:t>It is assumed that currently for CBDC a permissioned network with a consensus mechanism involving voting by participating nodes are being considered in central bank experiments.</w:t>
      </w:r>
    </w:p>
  </w:footnote>
  <w:footnote w:id="12">
    <w:p w14:paraId="322896D2" w14:textId="1FE7104D" w:rsidR="00190C9D" w:rsidRPr="009939B6" w:rsidRDefault="00190C9D" w:rsidP="009939B6">
      <w:pPr>
        <w:pStyle w:val="FootnoteText"/>
        <w:spacing w:after="120"/>
        <w:ind w:left="144" w:hanging="144"/>
        <w:rPr>
          <w:rFonts w:ascii="Times New Roman" w:hAnsi="Times New Roman" w:cs="Times New Roman"/>
        </w:rPr>
      </w:pPr>
      <w:r w:rsidRPr="009939B6">
        <w:rPr>
          <w:rStyle w:val="FootnoteReference"/>
          <w:rFonts w:ascii="Times New Roman" w:hAnsi="Times New Roman" w:cs="Times New Roman"/>
        </w:rPr>
        <w:footnoteRef/>
      </w:r>
      <w:r w:rsidRPr="009939B6">
        <w:rPr>
          <w:rFonts w:ascii="Times New Roman" w:hAnsi="Times New Roman" w:cs="Times New Roman"/>
        </w:rPr>
        <w:t xml:space="preserve"> </w:t>
      </w:r>
      <w:r>
        <w:rPr>
          <w:rFonts w:ascii="Times New Roman" w:hAnsi="Times New Roman" w:cs="Times New Roman"/>
        </w:rPr>
        <w:t>I</w:t>
      </w:r>
      <w:r w:rsidRPr="009939B6">
        <w:rPr>
          <w:rFonts w:ascii="Times New Roman" w:hAnsi="Times New Roman" w:cs="Times New Roman"/>
        </w:rPr>
        <w:t>ncreasing the number of validating nodes led to an increase in payment execution time. Moreover, the distance between validating nodes has an impact on performance: the time required to process transactions increased with the distance between sets of validating nodes.</w:t>
      </w:r>
    </w:p>
  </w:footnote>
  <w:footnote w:id="13">
    <w:p w14:paraId="5A2ED4EC" w14:textId="77777777" w:rsidR="00190C9D" w:rsidRPr="00C62E85" w:rsidRDefault="00190C9D" w:rsidP="00497C70">
      <w:pPr>
        <w:spacing w:before="0"/>
        <w:rPr>
          <w:sz w:val="20"/>
          <w:lang w:val="en-US"/>
        </w:rPr>
      </w:pPr>
      <w:r w:rsidRPr="00C62E85">
        <w:rPr>
          <w:rStyle w:val="FootnoteReference"/>
          <w:sz w:val="20"/>
        </w:rPr>
        <w:footnoteRef/>
      </w:r>
      <w:r w:rsidRPr="00C62E85">
        <w:rPr>
          <w:sz w:val="20"/>
        </w:rPr>
        <w:t xml:space="preserve"> </w:t>
      </w:r>
      <w:r w:rsidRPr="00C62E85">
        <w:rPr>
          <w:rFonts w:eastAsia="Batang"/>
          <w:sz w:val="20"/>
        </w:rPr>
        <w:t>For further information about HTLC, refer to Joseph Poon and Thaddeus Dryja (January 2016)</w:t>
      </w:r>
    </w:p>
  </w:footnote>
  <w:footnote w:id="14">
    <w:p w14:paraId="623D4264" w14:textId="0EA9CD4B" w:rsidR="00190C9D" w:rsidRPr="00507D71" w:rsidRDefault="00190C9D">
      <w:pPr>
        <w:pStyle w:val="FootnoteText"/>
        <w:rPr>
          <w:lang w:val="en-US"/>
        </w:rPr>
      </w:pPr>
      <w:r>
        <w:rPr>
          <w:rStyle w:val="FootnoteReference"/>
        </w:rPr>
        <w:footnoteRef/>
      </w:r>
      <w:r>
        <w:t xml:space="preserve"> </w:t>
      </w:r>
      <w:r w:rsidRPr="00507D71">
        <w:rPr>
          <w:rFonts w:ascii="Times New Roman" w:hAnsi="Times New Roman" w:cs="Times New Roman"/>
        </w:rPr>
        <w:t>IMF (2018) concludes that the introduction of CBDC is unlikely to significantly affect the main channels of monetary policy transmission under plausible CBDC designs. Even in the scenario where private banks were no longer involved in intermediating payments, having lost the business to CBDC when demand for reserves would disappear, monetary policy has the means to remain effective through adjustments of the interest rate paid on CBDC (Woodford 2000). In fact, even an unremunerated CBDC could increase the efficiency of monetary policy transmission because the speed of transmission of monetary policy into market interest rates would likely increase (Duffie 2019).</w:t>
      </w:r>
    </w:p>
  </w:footnote>
  <w:footnote w:id="15">
    <w:p w14:paraId="51AB4B62" w14:textId="77777777" w:rsidR="00190C9D" w:rsidRPr="00FB736A" w:rsidRDefault="00190C9D" w:rsidP="009939B6">
      <w:pPr>
        <w:pStyle w:val="FootnoteText"/>
        <w:spacing w:after="120"/>
        <w:ind w:left="144" w:hanging="144"/>
        <w:rPr>
          <w:rFonts w:ascii="Times New Roman" w:hAnsi="Times New Roman" w:cs="Times New Roman"/>
        </w:rPr>
      </w:pPr>
      <w:r w:rsidRPr="00FB736A">
        <w:rPr>
          <w:rStyle w:val="FootnoteReference"/>
          <w:rFonts w:ascii="Times New Roman" w:hAnsi="Times New Roman" w:cs="Times New Roman"/>
        </w:rPr>
        <w:footnoteRef/>
      </w:r>
      <w:r w:rsidRPr="00FB736A">
        <w:rPr>
          <w:rFonts w:ascii="Times New Roman" w:hAnsi="Times New Roman" w:cs="Times New Roman"/>
        </w:rPr>
        <w:t xml:space="preserve"> The FATF is an independent inter-governmental body that develops and promotes policies to protect the global financial system against money laundering, terrorist financing and the financing of proliferation of weapons of mass destruction.</w:t>
      </w:r>
    </w:p>
  </w:footnote>
  <w:footnote w:id="16">
    <w:p w14:paraId="3377CCCA" w14:textId="77777777" w:rsidR="00190C9D" w:rsidRPr="00B204B7" w:rsidRDefault="00190C9D" w:rsidP="009939B6">
      <w:pPr>
        <w:pStyle w:val="FootnoteText"/>
        <w:spacing w:after="120"/>
        <w:ind w:left="144" w:hanging="144"/>
        <w:jc w:val="both"/>
        <w:rPr>
          <w:rFonts w:ascii="Times New Roman" w:hAnsi="Times New Roman" w:cs="Times New Roman"/>
        </w:rPr>
      </w:pPr>
      <w:r w:rsidRPr="00B204B7">
        <w:rPr>
          <w:rStyle w:val="FootnoteReference"/>
          <w:rFonts w:ascii="Times New Roman" w:hAnsi="Times New Roman" w:cs="Times New Roman"/>
        </w:rPr>
        <w:footnoteRef/>
      </w:r>
      <w:r w:rsidRPr="00B204B7">
        <w:rPr>
          <w:rFonts w:ascii="Times New Roman" w:hAnsi="Times New Roman" w:cs="Times New Roman"/>
        </w:rPr>
        <w:t xml:space="preserve"> A recurrence of the 1859 </w:t>
      </w:r>
      <w:hyperlink r:id="rId1" w:history="1">
        <w:r w:rsidRPr="00B204B7">
          <w:rPr>
            <w:rStyle w:val="Hyperlink"/>
            <w:rFonts w:ascii="Times New Roman" w:hAnsi="Times New Roman" w:cs="Times New Roman"/>
          </w:rPr>
          <w:t>Carrington Event</w:t>
        </w:r>
      </w:hyperlink>
      <w:r w:rsidRPr="00B204B7">
        <w:rPr>
          <w:rFonts w:ascii="Times New Roman" w:hAnsi="Times New Roman" w:cs="Times New Roman"/>
        </w:rPr>
        <w:t xml:space="preserve"> could knock out communications and power for up to a year, and render any digital money useless.</w:t>
      </w:r>
    </w:p>
  </w:footnote>
  <w:footnote w:id="17">
    <w:p w14:paraId="15F8213A" w14:textId="77777777" w:rsidR="00190C9D" w:rsidRPr="00B204B7" w:rsidRDefault="00190C9D" w:rsidP="009939B6">
      <w:pPr>
        <w:pStyle w:val="FootnoteText"/>
        <w:ind w:left="144" w:hanging="144"/>
        <w:rPr>
          <w:rFonts w:ascii="Times New Roman" w:hAnsi="Times New Roman" w:cs="Times New Roman"/>
        </w:rPr>
      </w:pPr>
      <w:r w:rsidRPr="00B204B7">
        <w:rPr>
          <w:rStyle w:val="FootnoteReference"/>
          <w:rFonts w:ascii="Times New Roman" w:hAnsi="Times New Roman" w:cs="Times New Roman"/>
        </w:rPr>
        <w:footnoteRef/>
      </w:r>
      <w:r w:rsidRPr="00B204B7">
        <w:rPr>
          <w:rFonts w:ascii="Times New Roman" w:hAnsi="Times New Roman" w:cs="Times New Roman"/>
        </w:rPr>
        <w:t xml:space="preserve"> It is worth noting that combining blockchain with smart chip and near-field communication (NFC) technologies, a “smart banknote” could be used just like cash. The smart banknote has a tamper proof chip securing a private key, the balance can be verified by any NFC enabled smartphone, the settlement can be instantaneous, and the anonymity feature is preserved.</w:t>
      </w:r>
    </w:p>
  </w:footnote>
  <w:footnote w:id="18">
    <w:p w14:paraId="6B1F5841" w14:textId="5D961D6E" w:rsidR="00190C9D" w:rsidRPr="00240683" w:rsidRDefault="00190C9D" w:rsidP="009939B6">
      <w:pPr>
        <w:pStyle w:val="FootnoteText"/>
        <w:spacing w:after="120"/>
        <w:ind w:left="144" w:hanging="144"/>
        <w:rPr>
          <w:rFonts w:ascii="Times New Roman" w:hAnsi="Times New Roman" w:cs="Times New Roman"/>
        </w:rPr>
      </w:pPr>
      <w:r>
        <w:rPr>
          <w:rStyle w:val="FootnoteReference"/>
        </w:rPr>
        <w:footnoteRef/>
      </w:r>
      <w:r>
        <w:t xml:space="preserve"> </w:t>
      </w:r>
      <w:r w:rsidRPr="00240683">
        <w:rPr>
          <w:rFonts w:ascii="Times New Roman" w:hAnsi="Times New Roman" w:cs="Times New Roman"/>
        </w:rPr>
        <w:t xml:space="preserve">Policy rates could reach deep into negative territory. In the interim, other measures have been proposed to do so, but with questionable feasibility and without necessarily requiring CBDC. Cash could be barred altogether as argued in </w:t>
      </w:r>
      <w:r w:rsidRPr="00382A1C">
        <w:rPr>
          <w:rFonts w:ascii="Times New Roman" w:hAnsi="Times New Roman" w:cs="Times New Roman"/>
        </w:rPr>
        <w:t>[</w:t>
      </w:r>
      <w:r w:rsidRPr="00C106AC">
        <w:rPr>
          <w:rFonts w:ascii="Times New Roman" w:hAnsi="Times New Roman" w:cs="Times New Roman"/>
        </w:rPr>
        <w:t>Rogoff (2014)]</w:t>
      </w:r>
      <w:r w:rsidRPr="00B31F51">
        <w:rPr>
          <w:rFonts w:ascii="Times New Roman" w:hAnsi="Times New Roman" w:cs="Times New Roman"/>
        </w:rPr>
        <w:t>,</w:t>
      </w:r>
      <w:r w:rsidRPr="00240683">
        <w:rPr>
          <w:rFonts w:ascii="Times New Roman" w:hAnsi="Times New Roman" w:cs="Times New Roman"/>
        </w:rPr>
        <w:t xml:space="preserve"> made costly to hold as suggested in </w:t>
      </w:r>
      <w:r>
        <w:rPr>
          <w:rFonts w:ascii="Times New Roman" w:hAnsi="Times New Roman" w:cs="Times New Roman"/>
        </w:rPr>
        <w:t>[</w:t>
      </w:r>
      <w:r w:rsidRPr="00C106AC">
        <w:rPr>
          <w:rFonts w:ascii="Times New Roman" w:hAnsi="Times New Roman" w:cs="Times New Roman"/>
        </w:rPr>
        <w:t>Bordo and Levin (2017)]</w:t>
      </w:r>
      <w:r w:rsidRPr="00382A1C">
        <w:rPr>
          <w:rFonts w:ascii="Times New Roman" w:hAnsi="Times New Roman" w:cs="Times New Roman"/>
        </w:rPr>
        <w:t>,</w:t>
      </w:r>
      <w:r w:rsidRPr="00240683">
        <w:rPr>
          <w:rFonts w:ascii="Times New Roman" w:hAnsi="Times New Roman" w:cs="Times New Roman"/>
        </w:rPr>
        <w:t xml:space="preserve"> or made to depreciate against CBDC which would become the sole legal tender as in </w:t>
      </w:r>
      <w:r>
        <w:rPr>
          <w:rFonts w:ascii="Times New Roman" w:hAnsi="Times New Roman" w:cs="Times New Roman"/>
        </w:rPr>
        <w:t>[</w:t>
      </w:r>
      <w:r w:rsidRPr="00C106AC">
        <w:rPr>
          <w:rFonts w:ascii="Times New Roman" w:hAnsi="Times New Roman" w:cs="Times New Roman"/>
        </w:rPr>
        <w:t>Agarwal and Kimball (2015)]</w:t>
      </w:r>
      <w:r w:rsidRPr="00382A1C">
        <w:rPr>
          <w:rFonts w:ascii="Times New Roman" w:hAnsi="Times New Roman" w:cs="Times New Roman"/>
        </w:rPr>
        <w:t>.</w:t>
      </w:r>
      <w:r w:rsidRPr="00240683">
        <w:rPr>
          <w:rFonts w:ascii="Times New Roman" w:hAnsi="Times New Roman" w:cs="Times New Roman"/>
        </w:rPr>
        <w:t xml:space="preserve"> Note that if CBDC were not interest bearing, the effective lower bound could bind at even higher rates of interest, as CBDC could be stored more cheaply than cash. CBDC has also been touted as a means to implement helicopter drops by crediting CBDC accounts, or wallets holding CBDC tokens. However, doing so would not necessarily reach all citizens. Moreover, the issue of legitimacy remains: how does the central bank decide how much to transfer to each household given the notable and very explicit redistributional consequences? Finally, helicopter drops would continue to be viewed as a form of monetary financing, thus undermining central bank independence.</w:t>
      </w:r>
    </w:p>
  </w:footnote>
  <w:footnote w:id="19">
    <w:p w14:paraId="2C899992" w14:textId="77777777" w:rsidR="00190C9D" w:rsidRPr="00240683" w:rsidRDefault="00190C9D" w:rsidP="00240683">
      <w:pPr>
        <w:pStyle w:val="FootnoteText"/>
        <w:rPr>
          <w:rFonts w:ascii="Times New Roman" w:hAnsi="Times New Roman" w:cs="Times New Roman"/>
        </w:rPr>
      </w:pPr>
      <w:r w:rsidRPr="00240683">
        <w:rPr>
          <w:rStyle w:val="FootnoteReference"/>
          <w:rFonts w:ascii="Times New Roman" w:hAnsi="Times New Roman" w:cs="Times New Roman"/>
        </w:rPr>
        <w:footnoteRef/>
      </w:r>
      <w:r w:rsidRPr="00240683">
        <w:rPr>
          <w:rFonts w:ascii="Times New Roman" w:hAnsi="Times New Roman" w:cs="Times New Roman"/>
        </w:rPr>
        <w:t xml:space="preserve"> Denial of Service attacks are designed to overload APIs with a massive number of requests until the service stops responding.</w:t>
      </w:r>
    </w:p>
  </w:footnote>
  <w:footnote w:id="20">
    <w:p w14:paraId="4B8DE1A5" w14:textId="0566178D" w:rsidR="00190C9D" w:rsidRPr="00C106AC" w:rsidRDefault="00190C9D">
      <w:pPr>
        <w:pStyle w:val="FootnoteText"/>
        <w:rPr>
          <w:lang w:val="en-US"/>
        </w:rPr>
      </w:pPr>
      <w:r>
        <w:rPr>
          <w:rStyle w:val="FootnoteReference"/>
        </w:rPr>
        <w:footnoteRef/>
      </w:r>
      <w:r w:rsidR="0075543C">
        <w:t xml:space="preserve"> </w:t>
      </w:r>
      <w:hyperlink r:id="rId2" w:history="1">
        <w:r w:rsidR="00C24208" w:rsidRPr="00FB1E8C">
          <w:rPr>
            <w:rStyle w:val="Hyperlink"/>
          </w:rPr>
          <w:t>https://www.itu.int/en/ITU-T/Workshops-and-Seminars/20180718/Documents/Yao%20Qian.pdf</w:t>
        </w:r>
      </w:hyperlink>
      <w:r w:rsidR="00C24208">
        <w:t xml:space="preserve"> </w:t>
      </w:r>
      <w:r>
        <w:t xml:space="preserve"> </w:t>
      </w:r>
      <w:r w:rsidRPr="00C33471">
        <w:t>https://www.itu.int/en/ITU-T/Workshops-and-Seminars/20180718/Documents/Yao%20Qian.pdf</w:t>
      </w:r>
    </w:p>
  </w:footnote>
  <w:footnote w:id="21">
    <w:p w14:paraId="08E48E9B" w14:textId="1BDCE3E1" w:rsidR="00190C9D" w:rsidRPr="00C106AC" w:rsidRDefault="00190C9D">
      <w:pPr>
        <w:pStyle w:val="FootnoteText"/>
        <w:rPr>
          <w:lang w:val="en-US"/>
        </w:rPr>
      </w:pPr>
      <w:r>
        <w:rPr>
          <w:rStyle w:val="FootnoteReference"/>
        </w:rPr>
        <w:footnoteRef/>
      </w:r>
      <w:r w:rsidR="0075543C">
        <w:t xml:space="preserve"> </w:t>
      </w:r>
      <w:hyperlink r:id="rId3" w:history="1">
        <w:r w:rsidR="00C24208" w:rsidRPr="00FB1E8C">
          <w:rPr>
            <w:rStyle w:val="Hyperlink"/>
          </w:rPr>
          <w:t>https://www.resbank.co.za/AboutUs/Departments/FinancialServices/ProcNew/Lists/News%20and%20Publications/Attachments/40/EOI%20MR01-2019-0.pdf</w:t>
        </w:r>
      </w:hyperlink>
      <w:r w:rsidR="00C24208">
        <w:t xml:space="preserve"> </w:t>
      </w:r>
      <w:r>
        <w:t xml:space="preserve"> </w:t>
      </w:r>
      <w:r w:rsidRPr="00A73D15">
        <w:t>https://www.resbank.co.za/AboutUs/Departments/FinancialServices/ProcNew/Lists/News%20and%20Publications/Attachments/40/EOI%20MR01-2019-0.pdf</w:t>
      </w:r>
    </w:p>
  </w:footnote>
  <w:footnote w:id="22">
    <w:p w14:paraId="35D53581" w14:textId="77777777" w:rsidR="00190C9D" w:rsidRPr="00E9795F" w:rsidRDefault="00190C9D">
      <w:pPr>
        <w:pStyle w:val="FootnoteText"/>
        <w:rPr>
          <w:rFonts w:ascii="Times New Roman" w:hAnsi="Times New Roman" w:cs="Times New Roman"/>
          <w:lang w:val="en-US"/>
        </w:rPr>
      </w:pPr>
      <w:r w:rsidRPr="00E9795F">
        <w:rPr>
          <w:rStyle w:val="FootnoteReference"/>
          <w:rFonts w:ascii="Times New Roman" w:hAnsi="Times New Roman" w:cs="Times New Roman"/>
        </w:rPr>
        <w:footnoteRef/>
      </w:r>
      <w:r w:rsidRPr="00E9795F">
        <w:rPr>
          <w:rFonts w:ascii="Times New Roman" w:hAnsi="Times New Roman" w:cs="Times New Roman"/>
        </w:rPr>
        <w:t xml:space="preserve"> ISO 20022 is a global standard for exchanging electronic messages between financial institutions.</w:t>
      </w:r>
    </w:p>
  </w:footnote>
  <w:footnote w:id="23">
    <w:p w14:paraId="49EB1889" w14:textId="2756D8CE" w:rsidR="00190C9D" w:rsidRPr="0060119B" w:rsidRDefault="00190C9D" w:rsidP="009939B6">
      <w:pPr>
        <w:pStyle w:val="FootnoteText"/>
        <w:spacing w:after="120"/>
        <w:ind w:left="144" w:hanging="144"/>
        <w:rPr>
          <w:rFonts w:ascii="Times New Roman" w:hAnsi="Times New Roman" w:cs="Times New Roman"/>
          <w:lang w:val="en-US"/>
        </w:rPr>
      </w:pPr>
      <w:r w:rsidRPr="0060119B">
        <w:rPr>
          <w:rStyle w:val="FootnoteReference"/>
          <w:rFonts w:ascii="Times New Roman" w:hAnsi="Times New Roman" w:cs="Times New Roman"/>
        </w:rPr>
        <w:footnoteRef/>
      </w:r>
      <w:r w:rsidRPr="0060119B">
        <w:rPr>
          <w:rFonts w:ascii="Times New Roman" w:hAnsi="Times New Roman" w:cs="Times New Roman"/>
        </w:rPr>
        <w:t xml:space="preserve"> These are the 11 FIs that were originally made public in 2018:  Barclays, CIBC, Credit Suisse, HSBC, MUFG, State Street, UBS, BNY Mellon, Deutsche Bank, Santander and Nex (CME).</w:t>
      </w:r>
    </w:p>
  </w:footnote>
  <w:footnote w:id="24">
    <w:p w14:paraId="1BBEAC6B" w14:textId="3DA7D60B" w:rsidR="00190C9D" w:rsidRPr="0060119B" w:rsidRDefault="00190C9D" w:rsidP="009939B6">
      <w:pPr>
        <w:pStyle w:val="FootnoteText"/>
        <w:spacing w:after="120"/>
        <w:ind w:left="144" w:hanging="144"/>
        <w:rPr>
          <w:rFonts w:ascii="Times New Roman" w:hAnsi="Times New Roman" w:cs="Times New Roman"/>
          <w:lang w:val="en-US"/>
        </w:rPr>
      </w:pPr>
      <w:r w:rsidRPr="0060119B">
        <w:rPr>
          <w:rStyle w:val="FootnoteReference"/>
          <w:rFonts w:ascii="Times New Roman" w:hAnsi="Times New Roman" w:cs="Times New Roman"/>
        </w:rPr>
        <w:footnoteRef/>
      </w:r>
      <w:r w:rsidRPr="0060119B">
        <w:rPr>
          <w:rFonts w:ascii="Times New Roman" w:hAnsi="Times New Roman" w:cs="Times New Roman"/>
        </w:rPr>
        <w:t xml:space="preserve"> </w:t>
      </w:r>
      <w:hyperlink r:id="rId4" w:history="1">
        <w:r w:rsidRPr="0060119B">
          <w:rPr>
            <w:rStyle w:val="Hyperlink"/>
            <w:rFonts w:ascii="Times New Roman" w:hAnsi="Times New Roman" w:cs="Times New Roman"/>
          </w:rPr>
          <w:t>https://blog.fnality.org/news-views/usc-continues-to-evolve</w:t>
        </w:r>
      </w:hyperlink>
      <w:r>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C1AB9" w14:textId="77777777" w:rsidR="00C1789C" w:rsidRDefault="00C178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2563D" w14:textId="77777777" w:rsidR="00190C9D" w:rsidRDefault="00190C9D">
    <w:pPr>
      <w:pStyle w:val="Header"/>
    </w:pPr>
    <w:r>
      <w:rPr>
        <w:noProof/>
        <w:lang w:eastAsia="en-GB"/>
      </w:rPr>
      <w:drawing>
        <wp:anchor distT="0" distB="0" distL="114300" distR="114300" simplePos="0" relativeHeight="251660288" behindDoc="0" locked="0" layoutInCell="1" allowOverlap="1" wp14:anchorId="733E7A9C" wp14:editId="3EF2A23E">
          <wp:simplePos x="0" y="0"/>
          <wp:positionH relativeFrom="column">
            <wp:posOffset>-762000</wp:posOffset>
          </wp:positionH>
          <wp:positionV relativeFrom="paragraph">
            <wp:posOffset>-492760</wp:posOffset>
          </wp:positionV>
          <wp:extent cx="1569720" cy="10771505"/>
          <wp:effectExtent l="0" t="0" r="0" b="0"/>
          <wp:wrapNone/>
          <wp:docPr id="2"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780BA" w14:textId="77777777" w:rsidR="00190C9D" w:rsidRPr="00DE6DB6" w:rsidRDefault="00190C9D" w:rsidP="00DE6D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FDEDD0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6A575D"/>
    <w:multiLevelType w:val="multilevel"/>
    <w:tmpl w:val="C4CAF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E65384"/>
    <w:multiLevelType w:val="multilevel"/>
    <w:tmpl w:val="68BAF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5C9230C"/>
    <w:multiLevelType w:val="hybridMultilevel"/>
    <w:tmpl w:val="6DFCFA06"/>
    <w:lvl w:ilvl="0" w:tplc="4C2A60EE">
      <w:start w:val="1"/>
      <w:numFmt w:val="bullet"/>
      <w:lvlText w:val=""/>
      <w:lvlJc w:val="left"/>
      <w:pPr>
        <w:tabs>
          <w:tab w:val="num" w:pos="720"/>
        </w:tabs>
        <w:ind w:left="720" w:hanging="360"/>
      </w:pPr>
      <w:rPr>
        <w:rFonts w:ascii="Wingdings" w:hAnsi="Wingdings" w:hint="default"/>
      </w:rPr>
    </w:lvl>
    <w:lvl w:ilvl="1" w:tplc="1B3E97B0" w:tentative="1">
      <w:start w:val="1"/>
      <w:numFmt w:val="bullet"/>
      <w:lvlText w:val=""/>
      <w:lvlJc w:val="left"/>
      <w:pPr>
        <w:tabs>
          <w:tab w:val="num" w:pos="1440"/>
        </w:tabs>
        <w:ind w:left="1440" w:hanging="360"/>
      </w:pPr>
      <w:rPr>
        <w:rFonts w:ascii="Wingdings" w:hAnsi="Wingdings" w:hint="default"/>
      </w:rPr>
    </w:lvl>
    <w:lvl w:ilvl="2" w:tplc="E344612C" w:tentative="1">
      <w:start w:val="1"/>
      <w:numFmt w:val="bullet"/>
      <w:lvlText w:val=""/>
      <w:lvlJc w:val="left"/>
      <w:pPr>
        <w:tabs>
          <w:tab w:val="num" w:pos="2160"/>
        </w:tabs>
        <w:ind w:left="2160" w:hanging="360"/>
      </w:pPr>
      <w:rPr>
        <w:rFonts w:ascii="Wingdings" w:hAnsi="Wingdings" w:hint="default"/>
      </w:rPr>
    </w:lvl>
    <w:lvl w:ilvl="3" w:tplc="45041628" w:tentative="1">
      <w:start w:val="1"/>
      <w:numFmt w:val="bullet"/>
      <w:lvlText w:val=""/>
      <w:lvlJc w:val="left"/>
      <w:pPr>
        <w:tabs>
          <w:tab w:val="num" w:pos="2880"/>
        </w:tabs>
        <w:ind w:left="2880" w:hanging="360"/>
      </w:pPr>
      <w:rPr>
        <w:rFonts w:ascii="Wingdings" w:hAnsi="Wingdings" w:hint="default"/>
      </w:rPr>
    </w:lvl>
    <w:lvl w:ilvl="4" w:tplc="64A2FBD8" w:tentative="1">
      <w:start w:val="1"/>
      <w:numFmt w:val="bullet"/>
      <w:lvlText w:val=""/>
      <w:lvlJc w:val="left"/>
      <w:pPr>
        <w:tabs>
          <w:tab w:val="num" w:pos="3600"/>
        </w:tabs>
        <w:ind w:left="3600" w:hanging="360"/>
      </w:pPr>
      <w:rPr>
        <w:rFonts w:ascii="Wingdings" w:hAnsi="Wingdings" w:hint="default"/>
      </w:rPr>
    </w:lvl>
    <w:lvl w:ilvl="5" w:tplc="38C8DDF6" w:tentative="1">
      <w:start w:val="1"/>
      <w:numFmt w:val="bullet"/>
      <w:lvlText w:val=""/>
      <w:lvlJc w:val="left"/>
      <w:pPr>
        <w:tabs>
          <w:tab w:val="num" w:pos="4320"/>
        </w:tabs>
        <w:ind w:left="4320" w:hanging="360"/>
      </w:pPr>
      <w:rPr>
        <w:rFonts w:ascii="Wingdings" w:hAnsi="Wingdings" w:hint="default"/>
      </w:rPr>
    </w:lvl>
    <w:lvl w:ilvl="6" w:tplc="D2E4EF22" w:tentative="1">
      <w:start w:val="1"/>
      <w:numFmt w:val="bullet"/>
      <w:lvlText w:val=""/>
      <w:lvlJc w:val="left"/>
      <w:pPr>
        <w:tabs>
          <w:tab w:val="num" w:pos="5040"/>
        </w:tabs>
        <w:ind w:left="5040" w:hanging="360"/>
      </w:pPr>
      <w:rPr>
        <w:rFonts w:ascii="Wingdings" w:hAnsi="Wingdings" w:hint="default"/>
      </w:rPr>
    </w:lvl>
    <w:lvl w:ilvl="7" w:tplc="99ACDBF2" w:tentative="1">
      <w:start w:val="1"/>
      <w:numFmt w:val="bullet"/>
      <w:lvlText w:val=""/>
      <w:lvlJc w:val="left"/>
      <w:pPr>
        <w:tabs>
          <w:tab w:val="num" w:pos="5760"/>
        </w:tabs>
        <w:ind w:left="5760" w:hanging="360"/>
      </w:pPr>
      <w:rPr>
        <w:rFonts w:ascii="Wingdings" w:hAnsi="Wingdings" w:hint="default"/>
      </w:rPr>
    </w:lvl>
    <w:lvl w:ilvl="8" w:tplc="51E0570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F00B4F"/>
    <w:multiLevelType w:val="multilevel"/>
    <w:tmpl w:val="1008766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37A6040"/>
    <w:multiLevelType w:val="hybridMultilevel"/>
    <w:tmpl w:val="A7341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270E5A"/>
    <w:multiLevelType w:val="hybridMultilevel"/>
    <w:tmpl w:val="73748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84D50FE"/>
    <w:multiLevelType w:val="multilevel"/>
    <w:tmpl w:val="E8A0C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631301"/>
    <w:multiLevelType w:val="hybridMultilevel"/>
    <w:tmpl w:val="337C6378"/>
    <w:lvl w:ilvl="0" w:tplc="116EFEBE">
      <w:start w:val="1"/>
      <w:numFmt w:val="decimal"/>
      <w:lvlText w:val="%1."/>
      <w:lvlJc w:val="left"/>
      <w:pPr>
        <w:ind w:left="720" w:hanging="360"/>
      </w:pPr>
      <w:rPr>
        <w:rFonts w:ascii="Times New Roman" w:hAnsi="Times New Roman" w:hint="default"/>
        <w:b w:val="0"/>
        <w:i w:val="0"/>
        <w:color w:val="auto"/>
        <w:sz w:val="24"/>
      </w:rPr>
    </w:lvl>
    <w:lvl w:ilvl="1" w:tplc="59E2B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9D70FE"/>
    <w:multiLevelType w:val="hybridMultilevel"/>
    <w:tmpl w:val="13F4FCDE"/>
    <w:lvl w:ilvl="0" w:tplc="6F78BE58">
      <w:start w:val="1"/>
      <w:numFmt w:val="bullet"/>
      <w:pStyle w:val="Enumlev"/>
      <w:lvlText w:val=""/>
      <w:lvlJc w:val="left"/>
      <w:pPr>
        <w:ind w:left="1778"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D7B7763"/>
    <w:multiLevelType w:val="hybridMultilevel"/>
    <w:tmpl w:val="6AB03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2528D0"/>
    <w:multiLevelType w:val="hybridMultilevel"/>
    <w:tmpl w:val="91EEF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735976"/>
    <w:multiLevelType w:val="multilevel"/>
    <w:tmpl w:val="BEBA5B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A38347D"/>
    <w:multiLevelType w:val="multilevel"/>
    <w:tmpl w:val="4590F31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A7E3463"/>
    <w:multiLevelType w:val="multilevel"/>
    <w:tmpl w:val="E7C61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FEF65D1"/>
    <w:multiLevelType w:val="hybridMultilevel"/>
    <w:tmpl w:val="6DE09634"/>
    <w:lvl w:ilvl="0" w:tplc="F2A2F43A">
      <w:start w:val="1"/>
      <w:numFmt w:val="bullet"/>
      <w:pStyle w:val="2Bullet"/>
      <w:lvlText w:val=""/>
      <w:lvlJc w:val="left"/>
      <w:pPr>
        <w:ind w:left="720" w:hanging="360"/>
      </w:pPr>
      <w:rPr>
        <w:rFonts w:ascii="Symbol" w:hAnsi="Symbol" w:hint="default"/>
      </w:rPr>
    </w:lvl>
    <w:lvl w:ilvl="1" w:tplc="A852F83C">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190DBB"/>
    <w:multiLevelType w:val="hybridMultilevel"/>
    <w:tmpl w:val="6AB03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0E2512"/>
    <w:multiLevelType w:val="hybridMultilevel"/>
    <w:tmpl w:val="D7FC7590"/>
    <w:lvl w:ilvl="0" w:tplc="CCAEAD40">
      <w:start w:val="1"/>
      <w:numFmt w:val="lowerLetter"/>
      <w:lvlText w:val="%1)"/>
      <w:lvlJc w:val="left"/>
      <w:pPr>
        <w:ind w:left="360" w:hanging="360"/>
      </w:pPr>
      <w:rPr>
        <w:rFonts w:ascii="Times New Roman" w:hAnsi="Times New Roman" w:hint="default"/>
        <w:b w:val="0"/>
        <w:i w:val="0"/>
        <w:sz w:val="24"/>
      </w:rPr>
    </w:lvl>
    <w:lvl w:ilvl="1" w:tplc="04090019">
      <w:start w:val="1"/>
      <w:numFmt w:val="lowerLetter"/>
      <w:lvlText w:val="%2."/>
      <w:lvlJc w:val="left"/>
      <w:pPr>
        <w:ind w:left="1080" w:hanging="360"/>
      </w:pPr>
    </w:lvl>
    <w:lvl w:ilvl="2" w:tplc="91B07D48">
      <w:start w:val="1"/>
      <w:numFmt w:val="lowerLetter"/>
      <w:lvlText w:val="%3)"/>
      <w:lvlJc w:val="left"/>
      <w:pPr>
        <w:ind w:left="1720" w:hanging="10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6EB66AF"/>
    <w:multiLevelType w:val="hybridMultilevel"/>
    <w:tmpl w:val="048480AA"/>
    <w:lvl w:ilvl="0" w:tplc="9D1A916A">
      <w:start w:val="1"/>
      <w:numFmt w:val="bullet"/>
      <w:lvlText w:val=""/>
      <w:lvlJc w:val="left"/>
      <w:pPr>
        <w:tabs>
          <w:tab w:val="num" w:pos="720"/>
        </w:tabs>
        <w:ind w:left="720" w:hanging="360"/>
      </w:pPr>
      <w:rPr>
        <w:rFonts w:ascii="Wingdings" w:hAnsi="Wingdings" w:hint="default"/>
      </w:rPr>
    </w:lvl>
    <w:lvl w:ilvl="1" w:tplc="F8542F94" w:tentative="1">
      <w:start w:val="1"/>
      <w:numFmt w:val="bullet"/>
      <w:lvlText w:val=""/>
      <w:lvlJc w:val="left"/>
      <w:pPr>
        <w:tabs>
          <w:tab w:val="num" w:pos="1440"/>
        </w:tabs>
        <w:ind w:left="1440" w:hanging="360"/>
      </w:pPr>
      <w:rPr>
        <w:rFonts w:ascii="Wingdings" w:hAnsi="Wingdings" w:hint="default"/>
      </w:rPr>
    </w:lvl>
    <w:lvl w:ilvl="2" w:tplc="A7F4EB3E" w:tentative="1">
      <w:start w:val="1"/>
      <w:numFmt w:val="bullet"/>
      <w:lvlText w:val=""/>
      <w:lvlJc w:val="left"/>
      <w:pPr>
        <w:tabs>
          <w:tab w:val="num" w:pos="2160"/>
        </w:tabs>
        <w:ind w:left="2160" w:hanging="360"/>
      </w:pPr>
      <w:rPr>
        <w:rFonts w:ascii="Wingdings" w:hAnsi="Wingdings" w:hint="default"/>
      </w:rPr>
    </w:lvl>
    <w:lvl w:ilvl="3" w:tplc="2896589C" w:tentative="1">
      <w:start w:val="1"/>
      <w:numFmt w:val="bullet"/>
      <w:lvlText w:val=""/>
      <w:lvlJc w:val="left"/>
      <w:pPr>
        <w:tabs>
          <w:tab w:val="num" w:pos="2880"/>
        </w:tabs>
        <w:ind w:left="2880" w:hanging="360"/>
      </w:pPr>
      <w:rPr>
        <w:rFonts w:ascii="Wingdings" w:hAnsi="Wingdings" w:hint="default"/>
      </w:rPr>
    </w:lvl>
    <w:lvl w:ilvl="4" w:tplc="E10E7648" w:tentative="1">
      <w:start w:val="1"/>
      <w:numFmt w:val="bullet"/>
      <w:lvlText w:val=""/>
      <w:lvlJc w:val="left"/>
      <w:pPr>
        <w:tabs>
          <w:tab w:val="num" w:pos="3600"/>
        </w:tabs>
        <w:ind w:left="3600" w:hanging="360"/>
      </w:pPr>
      <w:rPr>
        <w:rFonts w:ascii="Wingdings" w:hAnsi="Wingdings" w:hint="default"/>
      </w:rPr>
    </w:lvl>
    <w:lvl w:ilvl="5" w:tplc="4B14A622" w:tentative="1">
      <w:start w:val="1"/>
      <w:numFmt w:val="bullet"/>
      <w:lvlText w:val=""/>
      <w:lvlJc w:val="left"/>
      <w:pPr>
        <w:tabs>
          <w:tab w:val="num" w:pos="4320"/>
        </w:tabs>
        <w:ind w:left="4320" w:hanging="360"/>
      </w:pPr>
      <w:rPr>
        <w:rFonts w:ascii="Wingdings" w:hAnsi="Wingdings" w:hint="default"/>
      </w:rPr>
    </w:lvl>
    <w:lvl w:ilvl="6" w:tplc="F12E2D6C" w:tentative="1">
      <w:start w:val="1"/>
      <w:numFmt w:val="bullet"/>
      <w:lvlText w:val=""/>
      <w:lvlJc w:val="left"/>
      <w:pPr>
        <w:tabs>
          <w:tab w:val="num" w:pos="5040"/>
        </w:tabs>
        <w:ind w:left="5040" w:hanging="360"/>
      </w:pPr>
      <w:rPr>
        <w:rFonts w:ascii="Wingdings" w:hAnsi="Wingdings" w:hint="default"/>
      </w:rPr>
    </w:lvl>
    <w:lvl w:ilvl="7" w:tplc="064CE62C" w:tentative="1">
      <w:start w:val="1"/>
      <w:numFmt w:val="bullet"/>
      <w:lvlText w:val=""/>
      <w:lvlJc w:val="left"/>
      <w:pPr>
        <w:tabs>
          <w:tab w:val="num" w:pos="5760"/>
        </w:tabs>
        <w:ind w:left="5760" w:hanging="360"/>
      </w:pPr>
      <w:rPr>
        <w:rFonts w:ascii="Wingdings" w:hAnsi="Wingdings" w:hint="default"/>
      </w:rPr>
    </w:lvl>
    <w:lvl w:ilvl="8" w:tplc="BEA4120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AC4753"/>
    <w:multiLevelType w:val="hybridMultilevel"/>
    <w:tmpl w:val="599058B8"/>
    <w:lvl w:ilvl="0" w:tplc="CCAEAD40">
      <w:start w:val="1"/>
      <w:numFmt w:val="lowerLetter"/>
      <w:lvlText w:val="%1)"/>
      <w:lvlJc w:val="left"/>
      <w:pPr>
        <w:ind w:left="360" w:hanging="360"/>
      </w:pPr>
      <w:rPr>
        <w:rFonts w:ascii="Times New Roman" w:hAnsi="Times New Roman" w:hint="default"/>
        <w:b w:val="0"/>
        <w:i w:val="0"/>
        <w:sz w:val="24"/>
      </w:rPr>
    </w:lvl>
    <w:lvl w:ilvl="1" w:tplc="A3DA562E">
      <w:numFmt w:val="bullet"/>
      <w:lvlText w:val="•"/>
      <w:lvlJc w:val="left"/>
      <w:pPr>
        <w:ind w:left="1570" w:hanging="850"/>
      </w:pPr>
      <w:rPr>
        <w:rFonts w:ascii="Times New Roman" w:eastAsia="Batang" w:hAnsi="Times New Roman"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rPr>
        <w:rFonts w:hint="default"/>
        <w:b w:val="0"/>
        <w:i w:val="0"/>
        <w:sz w:val="24"/>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A2527B1"/>
    <w:multiLevelType w:val="hybridMultilevel"/>
    <w:tmpl w:val="F33CCB92"/>
    <w:lvl w:ilvl="0" w:tplc="B0CAA46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265F1A"/>
    <w:multiLevelType w:val="hybridMultilevel"/>
    <w:tmpl w:val="2868765A"/>
    <w:lvl w:ilvl="0" w:tplc="848E9FF6">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9F2564"/>
    <w:multiLevelType w:val="multilevel"/>
    <w:tmpl w:val="475C2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0797FEC"/>
    <w:multiLevelType w:val="hybridMultilevel"/>
    <w:tmpl w:val="85E8B32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1C3CB6"/>
    <w:multiLevelType w:val="multilevel"/>
    <w:tmpl w:val="4590F31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7A34923"/>
    <w:multiLevelType w:val="hybridMultilevel"/>
    <w:tmpl w:val="11C037B6"/>
    <w:lvl w:ilvl="0" w:tplc="AAECBDE8">
      <w:start w:val="1"/>
      <w:numFmt w:val="bullet"/>
      <w:lvlText w:val=""/>
      <w:lvlJc w:val="left"/>
      <w:pPr>
        <w:tabs>
          <w:tab w:val="num" w:pos="720"/>
        </w:tabs>
        <w:ind w:left="720" w:hanging="360"/>
      </w:pPr>
      <w:rPr>
        <w:rFonts w:ascii="Wingdings" w:hAnsi="Wingdings" w:hint="default"/>
      </w:rPr>
    </w:lvl>
    <w:lvl w:ilvl="1" w:tplc="F0D6E23A" w:tentative="1">
      <w:start w:val="1"/>
      <w:numFmt w:val="bullet"/>
      <w:lvlText w:val=""/>
      <w:lvlJc w:val="left"/>
      <w:pPr>
        <w:tabs>
          <w:tab w:val="num" w:pos="1440"/>
        </w:tabs>
        <w:ind w:left="1440" w:hanging="360"/>
      </w:pPr>
      <w:rPr>
        <w:rFonts w:ascii="Wingdings" w:hAnsi="Wingdings" w:hint="default"/>
      </w:rPr>
    </w:lvl>
    <w:lvl w:ilvl="2" w:tplc="8D569228" w:tentative="1">
      <w:start w:val="1"/>
      <w:numFmt w:val="bullet"/>
      <w:lvlText w:val=""/>
      <w:lvlJc w:val="left"/>
      <w:pPr>
        <w:tabs>
          <w:tab w:val="num" w:pos="2160"/>
        </w:tabs>
        <w:ind w:left="2160" w:hanging="360"/>
      </w:pPr>
      <w:rPr>
        <w:rFonts w:ascii="Wingdings" w:hAnsi="Wingdings" w:hint="default"/>
      </w:rPr>
    </w:lvl>
    <w:lvl w:ilvl="3" w:tplc="7F80F8AA" w:tentative="1">
      <w:start w:val="1"/>
      <w:numFmt w:val="bullet"/>
      <w:lvlText w:val=""/>
      <w:lvlJc w:val="left"/>
      <w:pPr>
        <w:tabs>
          <w:tab w:val="num" w:pos="2880"/>
        </w:tabs>
        <w:ind w:left="2880" w:hanging="360"/>
      </w:pPr>
      <w:rPr>
        <w:rFonts w:ascii="Wingdings" w:hAnsi="Wingdings" w:hint="default"/>
      </w:rPr>
    </w:lvl>
    <w:lvl w:ilvl="4" w:tplc="14FC52A4" w:tentative="1">
      <w:start w:val="1"/>
      <w:numFmt w:val="bullet"/>
      <w:lvlText w:val=""/>
      <w:lvlJc w:val="left"/>
      <w:pPr>
        <w:tabs>
          <w:tab w:val="num" w:pos="3600"/>
        </w:tabs>
        <w:ind w:left="3600" w:hanging="360"/>
      </w:pPr>
      <w:rPr>
        <w:rFonts w:ascii="Wingdings" w:hAnsi="Wingdings" w:hint="default"/>
      </w:rPr>
    </w:lvl>
    <w:lvl w:ilvl="5" w:tplc="CC7AEDB4" w:tentative="1">
      <w:start w:val="1"/>
      <w:numFmt w:val="bullet"/>
      <w:lvlText w:val=""/>
      <w:lvlJc w:val="left"/>
      <w:pPr>
        <w:tabs>
          <w:tab w:val="num" w:pos="4320"/>
        </w:tabs>
        <w:ind w:left="4320" w:hanging="360"/>
      </w:pPr>
      <w:rPr>
        <w:rFonts w:ascii="Wingdings" w:hAnsi="Wingdings" w:hint="default"/>
      </w:rPr>
    </w:lvl>
    <w:lvl w:ilvl="6" w:tplc="D8969C88" w:tentative="1">
      <w:start w:val="1"/>
      <w:numFmt w:val="bullet"/>
      <w:lvlText w:val=""/>
      <w:lvlJc w:val="left"/>
      <w:pPr>
        <w:tabs>
          <w:tab w:val="num" w:pos="5040"/>
        </w:tabs>
        <w:ind w:left="5040" w:hanging="360"/>
      </w:pPr>
      <w:rPr>
        <w:rFonts w:ascii="Wingdings" w:hAnsi="Wingdings" w:hint="default"/>
      </w:rPr>
    </w:lvl>
    <w:lvl w:ilvl="7" w:tplc="733C35E4" w:tentative="1">
      <w:start w:val="1"/>
      <w:numFmt w:val="bullet"/>
      <w:lvlText w:val=""/>
      <w:lvlJc w:val="left"/>
      <w:pPr>
        <w:tabs>
          <w:tab w:val="num" w:pos="5760"/>
        </w:tabs>
        <w:ind w:left="5760" w:hanging="360"/>
      </w:pPr>
      <w:rPr>
        <w:rFonts w:ascii="Wingdings" w:hAnsi="Wingdings" w:hint="default"/>
      </w:rPr>
    </w:lvl>
    <w:lvl w:ilvl="8" w:tplc="D61EEBA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305A3E"/>
    <w:multiLevelType w:val="hybridMultilevel"/>
    <w:tmpl w:val="80C2F214"/>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5B6C199C"/>
    <w:multiLevelType w:val="hybridMultilevel"/>
    <w:tmpl w:val="3C8AECB6"/>
    <w:lvl w:ilvl="0" w:tplc="C81A0C26">
      <w:start w:val="1"/>
      <w:numFmt w:val="bullet"/>
      <w:lvlText w:val=""/>
      <w:lvlJc w:val="left"/>
      <w:pPr>
        <w:tabs>
          <w:tab w:val="num" w:pos="720"/>
        </w:tabs>
        <w:ind w:left="720" w:hanging="360"/>
      </w:pPr>
      <w:rPr>
        <w:rFonts w:ascii="Wingdings" w:hAnsi="Wingdings" w:hint="default"/>
      </w:rPr>
    </w:lvl>
    <w:lvl w:ilvl="1" w:tplc="66624CE8" w:tentative="1">
      <w:start w:val="1"/>
      <w:numFmt w:val="bullet"/>
      <w:lvlText w:val=""/>
      <w:lvlJc w:val="left"/>
      <w:pPr>
        <w:tabs>
          <w:tab w:val="num" w:pos="1440"/>
        </w:tabs>
        <w:ind w:left="1440" w:hanging="360"/>
      </w:pPr>
      <w:rPr>
        <w:rFonts w:ascii="Wingdings" w:hAnsi="Wingdings" w:hint="default"/>
      </w:rPr>
    </w:lvl>
    <w:lvl w:ilvl="2" w:tplc="B6207E68" w:tentative="1">
      <w:start w:val="1"/>
      <w:numFmt w:val="bullet"/>
      <w:lvlText w:val=""/>
      <w:lvlJc w:val="left"/>
      <w:pPr>
        <w:tabs>
          <w:tab w:val="num" w:pos="2160"/>
        </w:tabs>
        <w:ind w:left="2160" w:hanging="360"/>
      </w:pPr>
      <w:rPr>
        <w:rFonts w:ascii="Wingdings" w:hAnsi="Wingdings" w:hint="default"/>
      </w:rPr>
    </w:lvl>
    <w:lvl w:ilvl="3" w:tplc="E940FD36" w:tentative="1">
      <w:start w:val="1"/>
      <w:numFmt w:val="bullet"/>
      <w:lvlText w:val=""/>
      <w:lvlJc w:val="left"/>
      <w:pPr>
        <w:tabs>
          <w:tab w:val="num" w:pos="2880"/>
        </w:tabs>
        <w:ind w:left="2880" w:hanging="360"/>
      </w:pPr>
      <w:rPr>
        <w:rFonts w:ascii="Wingdings" w:hAnsi="Wingdings" w:hint="default"/>
      </w:rPr>
    </w:lvl>
    <w:lvl w:ilvl="4" w:tplc="C174FA64" w:tentative="1">
      <w:start w:val="1"/>
      <w:numFmt w:val="bullet"/>
      <w:lvlText w:val=""/>
      <w:lvlJc w:val="left"/>
      <w:pPr>
        <w:tabs>
          <w:tab w:val="num" w:pos="3600"/>
        </w:tabs>
        <w:ind w:left="3600" w:hanging="360"/>
      </w:pPr>
      <w:rPr>
        <w:rFonts w:ascii="Wingdings" w:hAnsi="Wingdings" w:hint="default"/>
      </w:rPr>
    </w:lvl>
    <w:lvl w:ilvl="5" w:tplc="7DD864E8" w:tentative="1">
      <w:start w:val="1"/>
      <w:numFmt w:val="bullet"/>
      <w:lvlText w:val=""/>
      <w:lvlJc w:val="left"/>
      <w:pPr>
        <w:tabs>
          <w:tab w:val="num" w:pos="4320"/>
        </w:tabs>
        <w:ind w:left="4320" w:hanging="360"/>
      </w:pPr>
      <w:rPr>
        <w:rFonts w:ascii="Wingdings" w:hAnsi="Wingdings" w:hint="default"/>
      </w:rPr>
    </w:lvl>
    <w:lvl w:ilvl="6" w:tplc="7270BA3C" w:tentative="1">
      <w:start w:val="1"/>
      <w:numFmt w:val="bullet"/>
      <w:lvlText w:val=""/>
      <w:lvlJc w:val="left"/>
      <w:pPr>
        <w:tabs>
          <w:tab w:val="num" w:pos="5040"/>
        </w:tabs>
        <w:ind w:left="5040" w:hanging="360"/>
      </w:pPr>
      <w:rPr>
        <w:rFonts w:ascii="Wingdings" w:hAnsi="Wingdings" w:hint="default"/>
      </w:rPr>
    </w:lvl>
    <w:lvl w:ilvl="7" w:tplc="0DCEE0A8" w:tentative="1">
      <w:start w:val="1"/>
      <w:numFmt w:val="bullet"/>
      <w:lvlText w:val=""/>
      <w:lvlJc w:val="left"/>
      <w:pPr>
        <w:tabs>
          <w:tab w:val="num" w:pos="5760"/>
        </w:tabs>
        <w:ind w:left="5760" w:hanging="360"/>
      </w:pPr>
      <w:rPr>
        <w:rFonts w:ascii="Wingdings" w:hAnsi="Wingdings" w:hint="default"/>
      </w:rPr>
    </w:lvl>
    <w:lvl w:ilvl="8" w:tplc="36A6036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BB6008"/>
    <w:multiLevelType w:val="hybridMultilevel"/>
    <w:tmpl w:val="403CABEA"/>
    <w:lvl w:ilvl="0" w:tplc="B4E0A286">
      <w:start w:val="1"/>
      <w:numFmt w:val="bullet"/>
      <w:pStyle w:val="BullletCompressed"/>
      <w:lvlText w:val=""/>
      <w:lvlJc w:val="left"/>
      <w:pPr>
        <w:tabs>
          <w:tab w:val="num" w:pos="851"/>
        </w:tabs>
        <w:ind w:left="851" w:hanging="851"/>
      </w:pPr>
      <w:rPr>
        <w:rFonts w:ascii="Symbol" w:hAnsi="Symbol" w:hint="default"/>
        <w:color w:val="auto"/>
      </w:rPr>
    </w:lvl>
    <w:lvl w:ilvl="1" w:tplc="B602E818">
      <w:start w:val="1"/>
      <w:numFmt w:val="bullet"/>
      <w:pStyle w:val="Bullethyphen"/>
      <w:lvlText w:val="–"/>
      <w:lvlJc w:val="left"/>
      <w:pPr>
        <w:tabs>
          <w:tab w:val="num" w:pos="851"/>
        </w:tabs>
        <w:ind w:left="851" w:hanging="851"/>
      </w:pPr>
      <w:rPr>
        <w:rFonts w:ascii="Arial" w:hAnsi="Aria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A273EE"/>
    <w:multiLevelType w:val="multilevel"/>
    <w:tmpl w:val="A0100A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7A44E35"/>
    <w:multiLevelType w:val="hybridMultilevel"/>
    <w:tmpl w:val="8C9A95F6"/>
    <w:lvl w:ilvl="0" w:tplc="DDCC730C">
      <w:start w:val="1"/>
      <w:numFmt w:val="decimal"/>
      <w:pStyle w:val="ParagraphNumbering"/>
      <w:lvlText w:val="%1."/>
      <w:lvlJc w:val="left"/>
      <w:pPr>
        <w:ind w:left="0" w:firstLine="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9B50537"/>
    <w:multiLevelType w:val="hybridMultilevel"/>
    <w:tmpl w:val="4DBEC35E"/>
    <w:lvl w:ilvl="0" w:tplc="F6663310">
      <w:start w:val="1"/>
      <w:numFmt w:val="bullet"/>
      <w:pStyle w:val="List21"/>
      <w:lvlText w:val="-"/>
      <w:lvlJc w:val="left"/>
      <w:pPr>
        <w:ind w:left="180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BDF1AEE"/>
    <w:multiLevelType w:val="hybridMultilevel"/>
    <w:tmpl w:val="AB964114"/>
    <w:lvl w:ilvl="0" w:tplc="C79A12E2">
      <w:start w:val="1"/>
      <w:numFmt w:val="bullet"/>
      <w:lvlText w:val=""/>
      <w:lvlJc w:val="left"/>
      <w:pPr>
        <w:ind w:left="720" w:hanging="360"/>
      </w:pPr>
      <w:rPr>
        <w:rFonts w:ascii="Symbol" w:hAnsi="Symbol" w:hint="default"/>
      </w:rPr>
    </w:lvl>
    <w:lvl w:ilvl="1" w:tplc="28269FDC">
      <w:start w:val="1"/>
      <w:numFmt w:val="bullet"/>
      <w:pStyle w:val="subbullet"/>
      <w:lvlText w:val="-"/>
      <w:lvlJc w:val="left"/>
      <w:pPr>
        <w:ind w:left="1440" w:hanging="360"/>
      </w:pPr>
      <w:rPr>
        <w:rFonts w:ascii="Avenir Next Medium" w:hAnsi="Avenir Next Medium"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387CC5"/>
    <w:multiLevelType w:val="multilevel"/>
    <w:tmpl w:val="D500E26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D622246"/>
    <w:multiLevelType w:val="hybridMultilevel"/>
    <w:tmpl w:val="45D6ADAC"/>
    <w:lvl w:ilvl="0" w:tplc="42F627EE">
      <w:start w:val="1"/>
      <w:numFmt w:val="upperLetter"/>
      <w:lvlText w:val="%1."/>
      <w:lvlJc w:val="left"/>
      <w:pPr>
        <w:ind w:left="720" w:hanging="360"/>
      </w:pPr>
      <w:rPr>
        <w:rFonts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013ABE"/>
    <w:multiLevelType w:val="multilevel"/>
    <w:tmpl w:val="B694CBD4"/>
    <w:lvl w:ilvl="0">
      <w:start w:val="1"/>
      <w:numFmt w:val="decimal"/>
      <w:pStyle w:val="Heading1"/>
      <w:lvlText w:val="%1"/>
      <w:lvlJc w:val="left"/>
      <w:pPr>
        <w:tabs>
          <w:tab w:val="num" w:pos="432"/>
        </w:tabs>
        <w:ind w:left="432" w:hanging="432"/>
      </w:pPr>
      <w:rPr>
        <w:rFonts w:hint="default"/>
        <w:b/>
      </w:rPr>
    </w:lvl>
    <w:lvl w:ilvl="1">
      <w:start w:val="1"/>
      <w:numFmt w:val="decimal"/>
      <w:pStyle w:val="Heading2"/>
      <w:lvlText w:val="%1.%2"/>
      <w:lvlJc w:val="left"/>
      <w:pPr>
        <w:tabs>
          <w:tab w:val="num" w:pos="3978"/>
        </w:tabs>
        <w:ind w:left="3978" w:hanging="576"/>
      </w:pPr>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i w:val="0"/>
        <w:iCs/>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15:restartNumberingAfterBreak="0">
    <w:nsid w:val="708D2948"/>
    <w:multiLevelType w:val="hybridMultilevel"/>
    <w:tmpl w:val="7DD6DC8C"/>
    <w:lvl w:ilvl="0" w:tplc="745438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B6556B"/>
    <w:multiLevelType w:val="multilevel"/>
    <w:tmpl w:val="88023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1465A21"/>
    <w:multiLevelType w:val="hybridMultilevel"/>
    <w:tmpl w:val="BBB8058C"/>
    <w:lvl w:ilvl="0" w:tplc="5046FC68">
      <w:start w:val="1"/>
      <w:numFmt w:val="lowerLetter"/>
      <w:lvlText w:val="%1)"/>
      <w:lvlJc w:val="left"/>
      <w:pPr>
        <w:ind w:left="36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7D33D2"/>
    <w:multiLevelType w:val="hybridMultilevel"/>
    <w:tmpl w:val="5C98C574"/>
    <w:lvl w:ilvl="0" w:tplc="B0CAA46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F028DA"/>
    <w:multiLevelType w:val="hybridMultilevel"/>
    <w:tmpl w:val="B554F5B8"/>
    <w:lvl w:ilvl="0" w:tplc="43FC6FBA">
      <w:start w:val="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9"/>
  </w:num>
  <w:num w:numId="3">
    <w:abstractNumId w:val="32"/>
  </w:num>
  <w:num w:numId="4">
    <w:abstractNumId w:val="15"/>
  </w:num>
  <w:num w:numId="5">
    <w:abstractNumId w:val="28"/>
  </w:num>
  <w:num w:numId="6">
    <w:abstractNumId w:val="30"/>
  </w:num>
  <w:num w:numId="7">
    <w:abstractNumId w:val="33"/>
  </w:num>
  <w:num w:numId="8">
    <w:abstractNumId w:val="31"/>
  </w:num>
  <w:num w:numId="9">
    <w:abstractNumId w:val="5"/>
  </w:num>
  <w:num w:numId="10">
    <w:abstractNumId w:val="8"/>
  </w:num>
  <w:num w:numId="11">
    <w:abstractNumId w:val="17"/>
  </w:num>
  <w:num w:numId="12">
    <w:abstractNumId w:val="19"/>
  </w:num>
  <w:num w:numId="13">
    <w:abstractNumId w:val="40"/>
  </w:num>
  <w:num w:numId="14">
    <w:abstractNumId w:val="38"/>
  </w:num>
  <w:num w:numId="15">
    <w:abstractNumId w:val="6"/>
  </w:num>
  <w:num w:numId="16">
    <w:abstractNumId w:val="26"/>
  </w:num>
  <w:num w:numId="17">
    <w:abstractNumId w:val="39"/>
  </w:num>
  <w:num w:numId="18">
    <w:abstractNumId w:val="20"/>
  </w:num>
  <w:num w:numId="19">
    <w:abstractNumId w:val="11"/>
  </w:num>
  <w:num w:numId="20">
    <w:abstractNumId w:val="4"/>
  </w:num>
  <w:num w:numId="21">
    <w:abstractNumId w:val="10"/>
  </w:num>
  <w:num w:numId="22">
    <w:abstractNumId w:val="13"/>
  </w:num>
  <w:num w:numId="23">
    <w:abstractNumId w:val="21"/>
  </w:num>
  <w:num w:numId="24">
    <w:abstractNumId w:val="25"/>
  </w:num>
  <w:num w:numId="25">
    <w:abstractNumId w:val="18"/>
  </w:num>
  <w:num w:numId="26">
    <w:abstractNumId w:val="27"/>
  </w:num>
  <w:num w:numId="27">
    <w:abstractNumId w:val="3"/>
  </w:num>
  <w:num w:numId="28">
    <w:abstractNumId w:val="0"/>
  </w:num>
  <w:num w:numId="29">
    <w:abstractNumId w:val="22"/>
  </w:num>
  <w:num w:numId="30">
    <w:abstractNumId w:val="7"/>
  </w:num>
  <w:num w:numId="31">
    <w:abstractNumId w:val="1"/>
  </w:num>
  <w:num w:numId="32">
    <w:abstractNumId w:val="2"/>
  </w:num>
  <w:num w:numId="33">
    <w:abstractNumId w:val="14"/>
  </w:num>
  <w:num w:numId="34">
    <w:abstractNumId w:val="37"/>
  </w:num>
  <w:num w:numId="35">
    <w:abstractNumId w:val="12"/>
  </w:num>
  <w:num w:numId="36">
    <w:abstractNumId w:val="29"/>
  </w:num>
  <w:num w:numId="37">
    <w:abstractNumId w:val="36"/>
  </w:num>
  <w:num w:numId="38">
    <w:abstractNumId w:val="24"/>
  </w:num>
  <w:num w:numId="39">
    <w:abstractNumId w:val="16"/>
  </w:num>
  <w:num w:numId="40">
    <w:abstractNumId w:val="35"/>
  </w:num>
  <w:num w:numId="41">
    <w:abstractNumId w:val="35"/>
  </w:num>
  <w:num w:numId="42">
    <w:abstractNumId w:val="35"/>
  </w:num>
  <w:num w:numId="43">
    <w:abstractNumId w:val="35"/>
  </w:num>
  <w:num w:numId="44">
    <w:abstractNumId w:val="35"/>
  </w:num>
  <w:num w:numId="45">
    <w:abstractNumId w:val="35"/>
  </w:num>
  <w:num w:numId="46">
    <w:abstractNumId w:val="23"/>
  </w:num>
  <w:num w:numId="47">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noPunctuationKerning/>
  <w:characterSpacingControl w:val="doNotCompress"/>
  <w:hdrShapeDefaults>
    <o:shapedefaults v:ext="edit" spidmax="18433">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CB"/>
    <w:rsid w:val="000015A1"/>
    <w:rsid w:val="00001A72"/>
    <w:rsid w:val="00003CAA"/>
    <w:rsid w:val="00004356"/>
    <w:rsid w:val="00004A38"/>
    <w:rsid w:val="000060C8"/>
    <w:rsid w:val="00006EB0"/>
    <w:rsid w:val="00006FD8"/>
    <w:rsid w:val="00010919"/>
    <w:rsid w:val="0001560A"/>
    <w:rsid w:val="000230A4"/>
    <w:rsid w:val="00023463"/>
    <w:rsid w:val="00030A5F"/>
    <w:rsid w:val="0003282B"/>
    <w:rsid w:val="0003701D"/>
    <w:rsid w:val="00041CEE"/>
    <w:rsid w:val="000467C7"/>
    <w:rsid w:val="00047956"/>
    <w:rsid w:val="00051DF1"/>
    <w:rsid w:val="00052833"/>
    <w:rsid w:val="00053924"/>
    <w:rsid w:val="00054492"/>
    <w:rsid w:val="000548B5"/>
    <w:rsid w:val="0006148B"/>
    <w:rsid w:val="00062962"/>
    <w:rsid w:val="000630B1"/>
    <w:rsid w:val="00067382"/>
    <w:rsid w:val="000722F4"/>
    <w:rsid w:val="00072607"/>
    <w:rsid w:val="00072B0D"/>
    <w:rsid w:val="00072EDB"/>
    <w:rsid w:val="0007308D"/>
    <w:rsid w:val="00083B25"/>
    <w:rsid w:val="00087100"/>
    <w:rsid w:val="00087C44"/>
    <w:rsid w:val="000943CC"/>
    <w:rsid w:val="000A12FE"/>
    <w:rsid w:val="000A1898"/>
    <w:rsid w:val="000A3E15"/>
    <w:rsid w:val="000A7A0B"/>
    <w:rsid w:val="000B0310"/>
    <w:rsid w:val="000B327F"/>
    <w:rsid w:val="000B48B5"/>
    <w:rsid w:val="000C1A31"/>
    <w:rsid w:val="000C1F5E"/>
    <w:rsid w:val="000D1144"/>
    <w:rsid w:val="000D1F78"/>
    <w:rsid w:val="000D3A0A"/>
    <w:rsid w:val="000E055F"/>
    <w:rsid w:val="000E17B9"/>
    <w:rsid w:val="000E19A4"/>
    <w:rsid w:val="000E7622"/>
    <w:rsid w:val="000F52BC"/>
    <w:rsid w:val="000F76A7"/>
    <w:rsid w:val="001010EC"/>
    <w:rsid w:val="00105262"/>
    <w:rsid w:val="00107CCF"/>
    <w:rsid w:val="0011156E"/>
    <w:rsid w:val="00114D59"/>
    <w:rsid w:val="00117FD9"/>
    <w:rsid w:val="00123B07"/>
    <w:rsid w:val="0012413B"/>
    <w:rsid w:val="00125179"/>
    <w:rsid w:val="00127CDE"/>
    <w:rsid w:val="00130A31"/>
    <w:rsid w:val="00133E4A"/>
    <w:rsid w:val="0013762D"/>
    <w:rsid w:val="00146A98"/>
    <w:rsid w:val="00152C27"/>
    <w:rsid w:val="00152C5D"/>
    <w:rsid w:val="00155B12"/>
    <w:rsid w:val="00172417"/>
    <w:rsid w:val="00177625"/>
    <w:rsid w:val="00177F7A"/>
    <w:rsid w:val="00182389"/>
    <w:rsid w:val="001866DC"/>
    <w:rsid w:val="00190A2B"/>
    <w:rsid w:val="00190C9D"/>
    <w:rsid w:val="001920A7"/>
    <w:rsid w:val="00194961"/>
    <w:rsid w:val="00194D55"/>
    <w:rsid w:val="00196DB3"/>
    <w:rsid w:val="00197154"/>
    <w:rsid w:val="001B4A81"/>
    <w:rsid w:val="001B5B71"/>
    <w:rsid w:val="001B624D"/>
    <w:rsid w:val="001B646A"/>
    <w:rsid w:val="001C1902"/>
    <w:rsid w:val="001D2011"/>
    <w:rsid w:val="001E0A1C"/>
    <w:rsid w:val="001F1652"/>
    <w:rsid w:val="001F277E"/>
    <w:rsid w:val="001F3D22"/>
    <w:rsid w:val="001F7B51"/>
    <w:rsid w:val="002024C8"/>
    <w:rsid w:val="00210FBF"/>
    <w:rsid w:val="002120C3"/>
    <w:rsid w:val="00213700"/>
    <w:rsid w:val="00214B7B"/>
    <w:rsid w:val="00216074"/>
    <w:rsid w:val="00217A0F"/>
    <w:rsid w:val="00223588"/>
    <w:rsid w:val="00223A12"/>
    <w:rsid w:val="002240A7"/>
    <w:rsid w:val="002262C8"/>
    <w:rsid w:val="00226DDA"/>
    <w:rsid w:val="0023057F"/>
    <w:rsid w:val="002378FD"/>
    <w:rsid w:val="00240683"/>
    <w:rsid w:val="0024085E"/>
    <w:rsid w:val="0024245E"/>
    <w:rsid w:val="00245297"/>
    <w:rsid w:val="00245AA0"/>
    <w:rsid w:val="00246D2E"/>
    <w:rsid w:val="00246D9C"/>
    <w:rsid w:val="00247A7F"/>
    <w:rsid w:val="002506D1"/>
    <w:rsid w:val="00252651"/>
    <w:rsid w:val="00275501"/>
    <w:rsid w:val="00275F4B"/>
    <w:rsid w:val="002803A8"/>
    <w:rsid w:val="0029018E"/>
    <w:rsid w:val="00291042"/>
    <w:rsid w:val="0029185B"/>
    <w:rsid w:val="00293ACE"/>
    <w:rsid w:val="00296BCA"/>
    <w:rsid w:val="002A1F9A"/>
    <w:rsid w:val="002A45A6"/>
    <w:rsid w:val="002A46F6"/>
    <w:rsid w:val="002A612B"/>
    <w:rsid w:val="002B0E11"/>
    <w:rsid w:val="002B239A"/>
    <w:rsid w:val="002B2BCB"/>
    <w:rsid w:val="002B5FFA"/>
    <w:rsid w:val="002B784C"/>
    <w:rsid w:val="002C1A6F"/>
    <w:rsid w:val="002C3A93"/>
    <w:rsid w:val="002C67BB"/>
    <w:rsid w:val="002C7D91"/>
    <w:rsid w:val="002D21EB"/>
    <w:rsid w:val="002D41EB"/>
    <w:rsid w:val="002E5911"/>
    <w:rsid w:val="002F7448"/>
    <w:rsid w:val="0030222D"/>
    <w:rsid w:val="00304611"/>
    <w:rsid w:val="00305EBB"/>
    <w:rsid w:val="00306249"/>
    <w:rsid w:val="003065C4"/>
    <w:rsid w:val="003076FB"/>
    <w:rsid w:val="003139B0"/>
    <w:rsid w:val="00320A35"/>
    <w:rsid w:val="00320C88"/>
    <w:rsid w:val="00322792"/>
    <w:rsid w:val="003233ED"/>
    <w:rsid w:val="003252D5"/>
    <w:rsid w:val="00327667"/>
    <w:rsid w:val="00327FAC"/>
    <w:rsid w:val="00334ABE"/>
    <w:rsid w:val="00336221"/>
    <w:rsid w:val="00336BC4"/>
    <w:rsid w:val="00340B8F"/>
    <w:rsid w:val="0034502D"/>
    <w:rsid w:val="00346881"/>
    <w:rsid w:val="00346BBC"/>
    <w:rsid w:val="0035115B"/>
    <w:rsid w:val="00353374"/>
    <w:rsid w:val="00355736"/>
    <w:rsid w:val="00360EE9"/>
    <w:rsid w:val="00361424"/>
    <w:rsid w:val="00362E34"/>
    <w:rsid w:val="0036479A"/>
    <w:rsid w:val="00373046"/>
    <w:rsid w:val="00373D83"/>
    <w:rsid w:val="0038038B"/>
    <w:rsid w:val="00382A1C"/>
    <w:rsid w:val="003859FC"/>
    <w:rsid w:val="00390101"/>
    <w:rsid w:val="0039348B"/>
    <w:rsid w:val="0039759F"/>
    <w:rsid w:val="00397A02"/>
    <w:rsid w:val="003A1875"/>
    <w:rsid w:val="003A28E0"/>
    <w:rsid w:val="003A4716"/>
    <w:rsid w:val="003A7053"/>
    <w:rsid w:val="003B155A"/>
    <w:rsid w:val="003B4C08"/>
    <w:rsid w:val="003B5C40"/>
    <w:rsid w:val="003B6111"/>
    <w:rsid w:val="003B6C53"/>
    <w:rsid w:val="003B6FC6"/>
    <w:rsid w:val="003D18FB"/>
    <w:rsid w:val="003D2C94"/>
    <w:rsid w:val="003D38E4"/>
    <w:rsid w:val="003D6ABF"/>
    <w:rsid w:val="003E1CC9"/>
    <w:rsid w:val="003E2131"/>
    <w:rsid w:val="003E2ABB"/>
    <w:rsid w:val="003E4AF9"/>
    <w:rsid w:val="003E4CC1"/>
    <w:rsid w:val="003E5F59"/>
    <w:rsid w:val="003F03EC"/>
    <w:rsid w:val="003F73D7"/>
    <w:rsid w:val="0040365C"/>
    <w:rsid w:val="0040627C"/>
    <w:rsid w:val="004076C3"/>
    <w:rsid w:val="00412492"/>
    <w:rsid w:val="004153E2"/>
    <w:rsid w:val="00421B73"/>
    <w:rsid w:val="00421D11"/>
    <w:rsid w:val="0042705D"/>
    <w:rsid w:val="00433F2A"/>
    <w:rsid w:val="004345FE"/>
    <w:rsid w:val="00441575"/>
    <w:rsid w:val="00444944"/>
    <w:rsid w:val="0044568E"/>
    <w:rsid w:val="004474AD"/>
    <w:rsid w:val="004559EB"/>
    <w:rsid w:val="00463311"/>
    <w:rsid w:val="00467172"/>
    <w:rsid w:val="00467B14"/>
    <w:rsid w:val="00471296"/>
    <w:rsid w:val="004713FA"/>
    <w:rsid w:val="0047185B"/>
    <w:rsid w:val="00471A66"/>
    <w:rsid w:val="004728DC"/>
    <w:rsid w:val="00486143"/>
    <w:rsid w:val="004875F8"/>
    <w:rsid w:val="00492BA3"/>
    <w:rsid w:val="004938E3"/>
    <w:rsid w:val="00495B26"/>
    <w:rsid w:val="004970D6"/>
    <w:rsid w:val="00497C70"/>
    <w:rsid w:val="004A1181"/>
    <w:rsid w:val="004A33B3"/>
    <w:rsid w:val="004A4D58"/>
    <w:rsid w:val="004A597D"/>
    <w:rsid w:val="004B03B0"/>
    <w:rsid w:val="004B39E2"/>
    <w:rsid w:val="004B6F8B"/>
    <w:rsid w:val="004C062A"/>
    <w:rsid w:val="004C06AB"/>
    <w:rsid w:val="004C46CD"/>
    <w:rsid w:val="004D45DB"/>
    <w:rsid w:val="004D4BBF"/>
    <w:rsid w:val="004D6471"/>
    <w:rsid w:val="004E391E"/>
    <w:rsid w:val="004E4A9A"/>
    <w:rsid w:val="004E623C"/>
    <w:rsid w:val="004F2261"/>
    <w:rsid w:val="004F32D4"/>
    <w:rsid w:val="004F500E"/>
    <w:rsid w:val="004F70FE"/>
    <w:rsid w:val="00500944"/>
    <w:rsid w:val="00501210"/>
    <w:rsid w:val="00501B49"/>
    <w:rsid w:val="00501EB0"/>
    <w:rsid w:val="00504768"/>
    <w:rsid w:val="00504CCA"/>
    <w:rsid w:val="00506992"/>
    <w:rsid w:val="00507D71"/>
    <w:rsid w:val="00511C0B"/>
    <w:rsid w:val="00511E40"/>
    <w:rsid w:val="00513629"/>
    <w:rsid w:val="005157BE"/>
    <w:rsid w:val="00522191"/>
    <w:rsid w:val="00531743"/>
    <w:rsid w:val="005322F1"/>
    <w:rsid w:val="005355B2"/>
    <w:rsid w:val="0053609E"/>
    <w:rsid w:val="00536728"/>
    <w:rsid w:val="005409CF"/>
    <w:rsid w:val="005415F4"/>
    <w:rsid w:val="00542DF8"/>
    <w:rsid w:val="005440B4"/>
    <w:rsid w:val="005503C5"/>
    <w:rsid w:val="0055465A"/>
    <w:rsid w:val="00560DBB"/>
    <w:rsid w:val="00563954"/>
    <w:rsid w:val="005736AA"/>
    <w:rsid w:val="00580A1A"/>
    <w:rsid w:val="00581096"/>
    <w:rsid w:val="00587DD5"/>
    <w:rsid w:val="0059339F"/>
    <w:rsid w:val="00596056"/>
    <w:rsid w:val="00597935"/>
    <w:rsid w:val="005A043A"/>
    <w:rsid w:val="005A230E"/>
    <w:rsid w:val="005A3CCD"/>
    <w:rsid w:val="005A4F9A"/>
    <w:rsid w:val="005A6D14"/>
    <w:rsid w:val="005B100E"/>
    <w:rsid w:val="005B269C"/>
    <w:rsid w:val="005B2862"/>
    <w:rsid w:val="005B6FEB"/>
    <w:rsid w:val="005C6C8F"/>
    <w:rsid w:val="005C6FFE"/>
    <w:rsid w:val="005C712C"/>
    <w:rsid w:val="005D1469"/>
    <w:rsid w:val="005D49C0"/>
    <w:rsid w:val="005D4E3F"/>
    <w:rsid w:val="005D70E4"/>
    <w:rsid w:val="005E3850"/>
    <w:rsid w:val="005F0D47"/>
    <w:rsid w:val="005F7466"/>
    <w:rsid w:val="0060119B"/>
    <w:rsid w:val="00601438"/>
    <w:rsid w:val="00601FE4"/>
    <w:rsid w:val="0060241A"/>
    <w:rsid w:val="00612C60"/>
    <w:rsid w:val="00614441"/>
    <w:rsid w:val="00616CA6"/>
    <w:rsid w:val="00623023"/>
    <w:rsid w:val="00626301"/>
    <w:rsid w:val="006306A9"/>
    <w:rsid w:val="00633928"/>
    <w:rsid w:val="00635CF7"/>
    <w:rsid w:val="00636650"/>
    <w:rsid w:val="00636F86"/>
    <w:rsid w:val="006434F4"/>
    <w:rsid w:val="0064792C"/>
    <w:rsid w:val="0065099C"/>
    <w:rsid w:val="00664327"/>
    <w:rsid w:val="006649BC"/>
    <w:rsid w:val="006656E3"/>
    <w:rsid w:val="00665E46"/>
    <w:rsid w:val="00670366"/>
    <w:rsid w:val="006727AE"/>
    <w:rsid w:val="00675621"/>
    <w:rsid w:val="0068461B"/>
    <w:rsid w:val="00685A1D"/>
    <w:rsid w:val="006913B8"/>
    <w:rsid w:val="006928DF"/>
    <w:rsid w:val="006935CA"/>
    <w:rsid w:val="006944BA"/>
    <w:rsid w:val="00694BB0"/>
    <w:rsid w:val="00696242"/>
    <w:rsid w:val="00696548"/>
    <w:rsid w:val="006A5232"/>
    <w:rsid w:val="006B7CC1"/>
    <w:rsid w:val="006C16C7"/>
    <w:rsid w:val="006D19CF"/>
    <w:rsid w:val="006D3C92"/>
    <w:rsid w:val="006E6463"/>
    <w:rsid w:val="006F0B6F"/>
    <w:rsid w:val="006F208A"/>
    <w:rsid w:val="00701906"/>
    <w:rsid w:val="007166FE"/>
    <w:rsid w:val="00720D6F"/>
    <w:rsid w:val="00723C06"/>
    <w:rsid w:val="00727ADE"/>
    <w:rsid w:val="00732A80"/>
    <w:rsid w:val="00733524"/>
    <w:rsid w:val="00737170"/>
    <w:rsid w:val="0074074E"/>
    <w:rsid w:val="007422B6"/>
    <w:rsid w:val="00742F32"/>
    <w:rsid w:val="00745C18"/>
    <w:rsid w:val="0075251F"/>
    <w:rsid w:val="00753936"/>
    <w:rsid w:val="0075543C"/>
    <w:rsid w:val="00755BC2"/>
    <w:rsid w:val="0077060B"/>
    <w:rsid w:val="00770741"/>
    <w:rsid w:val="0077075C"/>
    <w:rsid w:val="00773119"/>
    <w:rsid w:val="00773C39"/>
    <w:rsid w:val="00776D00"/>
    <w:rsid w:val="00785779"/>
    <w:rsid w:val="0078601C"/>
    <w:rsid w:val="0078796F"/>
    <w:rsid w:val="007A1533"/>
    <w:rsid w:val="007A3E73"/>
    <w:rsid w:val="007B2609"/>
    <w:rsid w:val="007C0476"/>
    <w:rsid w:val="007C2653"/>
    <w:rsid w:val="007C68CB"/>
    <w:rsid w:val="007D3C14"/>
    <w:rsid w:val="007D7E85"/>
    <w:rsid w:val="007E1AC8"/>
    <w:rsid w:val="007E22A7"/>
    <w:rsid w:val="007E282D"/>
    <w:rsid w:val="007E3962"/>
    <w:rsid w:val="007F3528"/>
    <w:rsid w:val="007F417E"/>
    <w:rsid w:val="007F43E2"/>
    <w:rsid w:val="007F5363"/>
    <w:rsid w:val="0080610B"/>
    <w:rsid w:val="00814189"/>
    <w:rsid w:val="008151E2"/>
    <w:rsid w:val="00816F35"/>
    <w:rsid w:val="0082035B"/>
    <w:rsid w:val="00821C6D"/>
    <w:rsid w:val="00826717"/>
    <w:rsid w:val="0083023F"/>
    <w:rsid w:val="00832708"/>
    <w:rsid w:val="00832A99"/>
    <w:rsid w:val="00832AC3"/>
    <w:rsid w:val="00833204"/>
    <w:rsid w:val="00833C4C"/>
    <w:rsid w:val="0083796A"/>
    <w:rsid w:val="0084023B"/>
    <w:rsid w:val="008436B1"/>
    <w:rsid w:val="00843B24"/>
    <w:rsid w:val="00844F16"/>
    <w:rsid w:val="008459E4"/>
    <w:rsid w:val="00847018"/>
    <w:rsid w:val="008503EC"/>
    <w:rsid w:val="00860CF7"/>
    <w:rsid w:val="0086216B"/>
    <w:rsid w:val="00865026"/>
    <w:rsid w:val="00874EA6"/>
    <w:rsid w:val="00876EAD"/>
    <w:rsid w:val="008815BD"/>
    <w:rsid w:val="00883A7E"/>
    <w:rsid w:val="00891DA7"/>
    <w:rsid w:val="00892C4E"/>
    <w:rsid w:val="0089446F"/>
    <w:rsid w:val="008A0906"/>
    <w:rsid w:val="008A15C4"/>
    <w:rsid w:val="008A3BB8"/>
    <w:rsid w:val="008A693C"/>
    <w:rsid w:val="008A760E"/>
    <w:rsid w:val="008B001E"/>
    <w:rsid w:val="008B18C3"/>
    <w:rsid w:val="008B3E4F"/>
    <w:rsid w:val="008B5218"/>
    <w:rsid w:val="008B6B50"/>
    <w:rsid w:val="008B7CC8"/>
    <w:rsid w:val="008C2F1C"/>
    <w:rsid w:val="008D0C4C"/>
    <w:rsid w:val="008D24BE"/>
    <w:rsid w:val="008D2A77"/>
    <w:rsid w:val="008D3F6E"/>
    <w:rsid w:val="008E44BA"/>
    <w:rsid w:val="008E617C"/>
    <w:rsid w:val="008E6D55"/>
    <w:rsid w:val="008F146E"/>
    <w:rsid w:val="008F225A"/>
    <w:rsid w:val="008F24B0"/>
    <w:rsid w:val="008F253A"/>
    <w:rsid w:val="008F3DF5"/>
    <w:rsid w:val="009006EC"/>
    <w:rsid w:val="00902596"/>
    <w:rsid w:val="00907B6B"/>
    <w:rsid w:val="00911869"/>
    <w:rsid w:val="0091529C"/>
    <w:rsid w:val="00915987"/>
    <w:rsid w:val="009164F4"/>
    <w:rsid w:val="00916B16"/>
    <w:rsid w:val="00917B35"/>
    <w:rsid w:val="00920A27"/>
    <w:rsid w:val="009233F2"/>
    <w:rsid w:val="00925A2E"/>
    <w:rsid w:val="0093235C"/>
    <w:rsid w:val="0093267B"/>
    <w:rsid w:val="00934AC9"/>
    <w:rsid w:val="00934EC6"/>
    <w:rsid w:val="00936EDC"/>
    <w:rsid w:val="00944A51"/>
    <w:rsid w:val="009466E3"/>
    <w:rsid w:val="0095330F"/>
    <w:rsid w:val="00955E1D"/>
    <w:rsid w:val="00956C34"/>
    <w:rsid w:val="00960647"/>
    <w:rsid w:val="00962424"/>
    <w:rsid w:val="00962725"/>
    <w:rsid w:val="009635CB"/>
    <w:rsid w:val="00964E09"/>
    <w:rsid w:val="009669A1"/>
    <w:rsid w:val="00967BF3"/>
    <w:rsid w:val="00981C2C"/>
    <w:rsid w:val="00984246"/>
    <w:rsid w:val="009939B6"/>
    <w:rsid w:val="009A4898"/>
    <w:rsid w:val="009A4F98"/>
    <w:rsid w:val="009B5E02"/>
    <w:rsid w:val="009B7F65"/>
    <w:rsid w:val="009C01D1"/>
    <w:rsid w:val="009C46D8"/>
    <w:rsid w:val="009C7777"/>
    <w:rsid w:val="009D26EB"/>
    <w:rsid w:val="009D63CA"/>
    <w:rsid w:val="009E0E25"/>
    <w:rsid w:val="009F3F58"/>
    <w:rsid w:val="009F5F51"/>
    <w:rsid w:val="009F7D31"/>
    <w:rsid w:val="00A01C5E"/>
    <w:rsid w:val="00A03481"/>
    <w:rsid w:val="00A04EE7"/>
    <w:rsid w:val="00A122AC"/>
    <w:rsid w:val="00A1256C"/>
    <w:rsid w:val="00A17774"/>
    <w:rsid w:val="00A24280"/>
    <w:rsid w:val="00A243D2"/>
    <w:rsid w:val="00A30CD3"/>
    <w:rsid w:val="00A31997"/>
    <w:rsid w:val="00A36E26"/>
    <w:rsid w:val="00A53BD6"/>
    <w:rsid w:val="00A55E4F"/>
    <w:rsid w:val="00A55FFB"/>
    <w:rsid w:val="00A60CC2"/>
    <w:rsid w:val="00A622BD"/>
    <w:rsid w:val="00A62C23"/>
    <w:rsid w:val="00A729B2"/>
    <w:rsid w:val="00A73D15"/>
    <w:rsid w:val="00A7792D"/>
    <w:rsid w:val="00A86074"/>
    <w:rsid w:val="00A874B3"/>
    <w:rsid w:val="00A90B48"/>
    <w:rsid w:val="00A928A0"/>
    <w:rsid w:val="00A93788"/>
    <w:rsid w:val="00A93B35"/>
    <w:rsid w:val="00A9576B"/>
    <w:rsid w:val="00A9721B"/>
    <w:rsid w:val="00A97AAA"/>
    <w:rsid w:val="00AA4884"/>
    <w:rsid w:val="00AB0D31"/>
    <w:rsid w:val="00AB4755"/>
    <w:rsid w:val="00AB69E8"/>
    <w:rsid w:val="00AD431A"/>
    <w:rsid w:val="00AD4710"/>
    <w:rsid w:val="00AE19F0"/>
    <w:rsid w:val="00AE6482"/>
    <w:rsid w:val="00AF0764"/>
    <w:rsid w:val="00AF332E"/>
    <w:rsid w:val="00AF35CF"/>
    <w:rsid w:val="00AF3A7B"/>
    <w:rsid w:val="00AF405D"/>
    <w:rsid w:val="00AF5D5D"/>
    <w:rsid w:val="00AF734F"/>
    <w:rsid w:val="00B050CA"/>
    <w:rsid w:val="00B074F9"/>
    <w:rsid w:val="00B0776D"/>
    <w:rsid w:val="00B13A0D"/>
    <w:rsid w:val="00B204B7"/>
    <w:rsid w:val="00B20DA5"/>
    <w:rsid w:val="00B2275F"/>
    <w:rsid w:val="00B22DA4"/>
    <w:rsid w:val="00B31F51"/>
    <w:rsid w:val="00B33670"/>
    <w:rsid w:val="00B41438"/>
    <w:rsid w:val="00B41443"/>
    <w:rsid w:val="00B42735"/>
    <w:rsid w:val="00B440E4"/>
    <w:rsid w:val="00B462C3"/>
    <w:rsid w:val="00B47DBB"/>
    <w:rsid w:val="00B51CCD"/>
    <w:rsid w:val="00B560AD"/>
    <w:rsid w:val="00B60653"/>
    <w:rsid w:val="00B6296C"/>
    <w:rsid w:val="00B639E4"/>
    <w:rsid w:val="00B65A0C"/>
    <w:rsid w:val="00B72591"/>
    <w:rsid w:val="00B847E7"/>
    <w:rsid w:val="00B87323"/>
    <w:rsid w:val="00B90715"/>
    <w:rsid w:val="00B93849"/>
    <w:rsid w:val="00BA4B79"/>
    <w:rsid w:val="00BA4D80"/>
    <w:rsid w:val="00BB009C"/>
    <w:rsid w:val="00BB202D"/>
    <w:rsid w:val="00BB720A"/>
    <w:rsid w:val="00BB7441"/>
    <w:rsid w:val="00BC1E2E"/>
    <w:rsid w:val="00BC5856"/>
    <w:rsid w:val="00BD6371"/>
    <w:rsid w:val="00BD7A78"/>
    <w:rsid w:val="00BE1E82"/>
    <w:rsid w:val="00BE289F"/>
    <w:rsid w:val="00BE2F82"/>
    <w:rsid w:val="00BE3396"/>
    <w:rsid w:val="00BE382A"/>
    <w:rsid w:val="00BE5953"/>
    <w:rsid w:val="00BE6D15"/>
    <w:rsid w:val="00BF191B"/>
    <w:rsid w:val="00BF4BB2"/>
    <w:rsid w:val="00BF5DD7"/>
    <w:rsid w:val="00BF6782"/>
    <w:rsid w:val="00BF6C94"/>
    <w:rsid w:val="00BF7BEC"/>
    <w:rsid w:val="00C029A8"/>
    <w:rsid w:val="00C03B6E"/>
    <w:rsid w:val="00C06057"/>
    <w:rsid w:val="00C0650C"/>
    <w:rsid w:val="00C066A8"/>
    <w:rsid w:val="00C1062C"/>
    <w:rsid w:val="00C106AC"/>
    <w:rsid w:val="00C10CA5"/>
    <w:rsid w:val="00C11191"/>
    <w:rsid w:val="00C13988"/>
    <w:rsid w:val="00C1789C"/>
    <w:rsid w:val="00C21D18"/>
    <w:rsid w:val="00C24208"/>
    <w:rsid w:val="00C249BF"/>
    <w:rsid w:val="00C25D1C"/>
    <w:rsid w:val="00C26047"/>
    <w:rsid w:val="00C26533"/>
    <w:rsid w:val="00C33471"/>
    <w:rsid w:val="00C35B0F"/>
    <w:rsid w:val="00C36A73"/>
    <w:rsid w:val="00C37DF4"/>
    <w:rsid w:val="00C42501"/>
    <w:rsid w:val="00C42AC1"/>
    <w:rsid w:val="00C53CA5"/>
    <w:rsid w:val="00C5515C"/>
    <w:rsid w:val="00C557A9"/>
    <w:rsid w:val="00C55ACB"/>
    <w:rsid w:val="00C61551"/>
    <w:rsid w:val="00C7079A"/>
    <w:rsid w:val="00C729EE"/>
    <w:rsid w:val="00C77660"/>
    <w:rsid w:val="00C77CFB"/>
    <w:rsid w:val="00C80C5B"/>
    <w:rsid w:val="00C8520A"/>
    <w:rsid w:val="00C871C2"/>
    <w:rsid w:val="00C932B1"/>
    <w:rsid w:val="00CA1E43"/>
    <w:rsid w:val="00CA3F8B"/>
    <w:rsid w:val="00CA6A4B"/>
    <w:rsid w:val="00CA707D"/>
    <w:rsid w:val="00CA7EB6"/>
    <w:rsid w:val="00CC3E5E"/>
    <w:rsid w:val="00CC7437"/>
    <w:rsid w:val="00CD41DE"/>
    <w:rsid w:val="00CD4C8F"/>
    <w:rsid w:val="00CD5968"/>
    <w:rsid w:val="00CD603C"/>
    <w:rsid w:val="00CD779B"/>
    <w:rsid w:val="00CE00FC"/>
    <w:rsid w:val="00CE0F10"/>
    <w:rsid w:val="00CE189D"/>
    <w:rsid w:val="00CE26D0"/>
    <w:rsid w:val="00CE5DD9"/>
    <w:rsid w:val="00CE743F"/>
    <w:rsid w:val="00CF28E8"/>
    <w:rsid w:val="00CF39CD"/>
    <w:rsid w:val="00D0115F"/>
    <w:rsid w:val="00D01829"/>
    <w:rsid w:val="00D02757"/>
    <w:rsid w:val="00D05560"/>
    <w:rsid w:val="00D07D97"/>
    <w:rsid w:val="00D07EB2"/>
    <w:rsid w:val="00D13E0E"/>
    <w:rsid w:val="00D21F1F"/>
    <w:rsid w:val="00D241C1"/>
    <w:rsid w:val="00D2749C"/>
    <w:rsid w:val="00D375F0"/>
    <w:rsid w:val="00D37E7D"/>
    <w:rsid w:val="00D41738"/>
    <w:rsid w:val="00D454AD"/>
    <w:rsid w:val="00D46926"/>
    <w:rsid w:val="00D509D0"/>
    <w:rsid w:val="00D53622"/>
    <w:rsid w:val="00D63BF8"/>
    <w:rsid w:val="00D66A18"/>
    <w:rsid w:val="00D66F61"/>
    <w:rsid w:val="00D71F15"/>
    <w:rsid w:val="00D8104A"/>
    <w:rsid w:val="00D8555E"/>
    <w:rsid w:val="00D9069A"/>
    <w:rsid w:val="00D911B7"/>
    <w:rsid w:val="00D92911"/>
    <w:rsid w:val="00D963F6"/>
    <w:rsid w:val="00D9676A"/>
    <w:rsid w:val="00DA2400"/>
    <w:rsid w:val="00DA433F"/>
    <w:rsid w:val="00DA7365"/>
    <w:rsid w:val="00DB0EFE"/>
    <w:rsid w:val="00DB2D95"/>
    <w:rsid w:val="00DB48C7"/>
    <w:rsid w:val="00DC16F1"/>
    <w:rsid w:val="00DD1A19"/>
    <w:rsid w:val="00DD50E2"/>
    <w:rsid w:val="00DD5F0A"/>
    <w:rsid w:val="00DD71F4"/>
    <w:rsid w:val="00DE5DB1"/>
    <w:rsid w:val="00DE6DB6"/>
    <w:rsid w:val="00DF1DE5"/>
    <w:rsid w:val="00DF3574"/>
    <w:rsid w:val="00DF41E8"/>
    <w:rsid w:val="00DF62E5"/>
    <w:rsid w:val="00DF680F"/>
    <w:rsid w:val="00E013BB"/>
    <w:rsid w:val="00E02690"/>
    <w:rsid w:val="00E052C7"/>
    <w:rsid w:val="00E17111"/>
    <w:rsid w:val="00E20185"/>
    <w:rsid w:val="00E219DB"/>
    <w:rsid w:val="00E21BA6"/>
    <w:rsid w:val="00E23162"/>
    <w:rsid w:val="00E273D8"/>
    <w:rsid w:val="00E27A8C"/>
    <w:rsid w:val="00E4196D"/>
    <w:rsid w:val="00E41D57"/>
    <w:rsid w:val="00E46AC6"/>
    <w:rsid w:val="00E54C26"/>
    <w:rsid w:val="00E567CA"/>
    <w:rsid w:val="00E56A41"/>
    <w:rsid w:val="00E63295"/>
    <w:rsid w:val="00E65DC8"/>
    <w:rsid w:val="00E67D58"/>
    <w:rsid w:val="00E700CF"/>
    <w:rsid w:val="00E70E88"/>
    <w:rsid w:val="00E777C9"/>
    <w:rsid w:val="00E9411E"/>
    <w:rsid w:val="00E9795F"/>
    <w:rsid w:val="00EA241C"/>
    <w:rsid w:val="00EA48C6"/>
    <w:rsid w:val="00EA71E9"/>
    <w:rsid w:val="00EA7E27"/>
    <w:rsid w:val="00EA7F42"/>
    <w:rsid w:val="00EB13C6"/>
    <w:rsid w:val="00EB6E5B"/>
    <w:rsid w:val="00EC0914"/>
    <w:rsid w:val="00EC14C5"/>
    <w:rsid w:val="00EC4279"/>
    <w:rsid w:val="00EC5497"/>
    <w:rsid w:val="00EC6530"/>
    <w:rsid w:val="00ED1295"/>
    <w:rsid w:val="00ED3642"/>
    <w:rsid w:val="00EE044E"/>
    <w:rsid w:val="00EE39E6"/>
    <w:rsid w:val="00EF289D"/>
    <w:rsid w:val="00EF4107"/>
    <w:rsid w:val="00EF7AB8"/>
    <w:rsid w:val="00F014D0"/>
    <w:rsid w:val="00F040F0"/>
    <w:rsid w:val="00F05ED5"/>
    <w:rsid w:val="00F07D06"/>
    <w:rsid w:val="00F12B8C"/>
    <w:rsid w:val="00F14A92"/>
    <w:rsid w:val="00F151C1"/>
    <w:rsid w:val="00F15AEF"/>
    <w:rsid w:val="00F24A7D"/>
    <w:rsid w:val="00F2620E"/>
    <w:rsid w:val="00F30088"/>
    <w:rsid w:val="00F33F93"/>
    <w:rsid w:val="00F40F2A"/>
    <w:rsid w:val="00F44100"/>
    <w:rsid w:val="00F546B7"/>
    <w:rsid w:val="00F55A03"/>
    <w:rsid w:val="00F6217D"/>
    <w:rsid w:val="00F62345"/>
    <w:rsid w:val="00F63025"/>
    <w:rsid w:val="00F646E3"/>
    <w:rsid w:val="00F701CD"/>
    <w:rsid w:val="00F74F33"/>
    <w:rsid w:val="00F8023A"/>
    <w:rsid w:val="00F8181D"/>
    <w:rsid w:val="00F82938"/>
    <w:rsid w:val="00F87042"/>
    <w:rsid w:val="00F872CB"/>
    <w:rsid w:val="00F90285"/>
    <w:rsid w:val="00F94E2B"/>
    <w:rsid w:val="00FA017E"/>
    <w:rsid w:val="00FA01C6"/>
    <w:rsid w:val="00FA0911"/>
    <w:rsid w:val="00FB2BBC"/>
    <w:rsid w:val="00FB6709"/>
    <w:rsid w:val="00FB6AF5"/>
    <w:rsid w:val="00FB7067"/>
    <w:rsid w:val="00FB736A"/>
    <w:rsid w:val="00FC0BEC"/>
    <w:rsid w:val="00FC1669"/>
    <w:rsid w:val="00FC2A1E"/>
    <w:rsid w:val="00FC331F"/>
    <w:rsid w:val="00FC51E5"/>
    <w:rsid w:val="00FC5484"/>
    <w:rsid w:val="00FD181F"/>
    <w:rsid w:val="00FD2899"/>
    <w:rsid w:val="00FD7800"/>
    <w:rsid w:val="00FE4387"/>
    <w:rsid w:val="00FE447A"/>
    <w:rsid w:val="00FE73BE"/>
    <w:rsid w:val="00FE7DCA"/>
    <w:rsid w:val="00FF0C25"/>
    <w:rsid w:val="00FF5700"/>
    <w:rsid w:val="00FF6FAD"/>
    <w:rsid w:val="00FF7C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v:textbox inset="5.85pt,.7pt,5.85pt,.7pt"/>
    </o:shapedefaults>
    <o:shapelayout v:ext="edit">
      <o:idmap v:ext="edit" data="1"/>
    </o:shapelayout>
  </w:shapeDefaults>
  <w:decimalSymbol w:val="."/>
  <w:listSeparator w:val=","/>
  <w14:docId w14:val="46B78C3D"/>
  <w15:docId w15:val="{42B01C9D-C8A2-4F31-88C2-745A3BBBD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21B"/>
    <w:pPr>
      <w:spacing w:before="120"/>
    </w:pPr>
    <w:rPr>
      <w:sz w:val="24"/>
      <w:lang w:val="en-GB"/>
    </w:rPr>
  </w:style>
  <w:style w:type="paragraph" w:styleId="Heading1">
    <w:name w:val="heading 1"/>
    <w:basedOn w:val="Normal"/>
    <w:next w:val="Normal"/>
    <w:link w:val="Heading1Char"/>
    <w:uiPriority w:val="9"/>
    <w:qFormat/>
    <w:rsid w:val="00F14A92"/>
    <w:pPr>
      <w:keepNext/>
      <w:numPr>
        <w:numId w:val="1"/>
      </w:numPr>
      <w:spacing w:before="240" w:after="60"/>
      <w:outlineLvl w:val="0"/>
    </w:pPr>
    <w:rPr>
      <w:rFonts w:cs="Arial"/>
      <w:b/>
      <w:bCs/>
      <w:kern w:val="32"/>
      <w:szCs w:val="32"/>
      <w:lang w:eastAsia="ja-JP"/>
    </w:rPr>
  </w:style>
  <w:style w:type="paragraph" w:styleId="Heading2">
    <w:name w:val="heading 2"/>
    <w:aliases w:val="Heading 2 Char1,Heading 2 Char Char"/>
    <w:basedOn w:val="Normal"/>
    <w:next w:val="Normal"/>
    <w:link w:val="Heading2Char"/>
    <w:uiPriority w:val="9"/>
    <w:qFormat/>
    <w:rsid w:val="002803A8"/>
    <w:pPr>
      <w:keepNext/>
      <w:numPr>
        <w:ilvl w:val="1"/>
        <w:numId w:val="1"/>
      </w:numPr>
      <w:spacing w:before="240" w:after="60"/>
      <w:outlineLvl w:val="1"/>
    </w:pPr>
    <w:rPr>
      <w:rFonts w:cs="Arial"/>
      <w:b/>
      <w:bCs/>
      <w:iCs/>
      <w:szCs w:val="28"/>
      <w:lang w:eastAsia="ja-JP"/>
    </w:rPr>
  </w:style>
  <w:style w:type="paragraph" w:styleId="Heading3">
    <w:name w:val="heading 3"/>
    <w:basedOn w:val="Normal"/>
    <w:next w:val="Normal"/>
    <w:link w:val="Heading3Char"/>
    <w:qFormat/>
    <w:rsid w:val="00F14A92"/>
    <w:pPr>
      <w:keepNext/>
      <w:numPr>
        <w:ilvl w:val="2"/>
        <w:numId w:val="1"/>
      </w:numPr>
      <w:spacing w:before="240" w:after="60"/>
      <w:outlineLvl w:val="2"/>
    </w:pPr>
    <w:rPr>
      <w:rFonts w:cs="Arial"/>
      <w:b/>
      <w:bCs/>
      <w:szCs w:val="26"/>
      <w:lang w:eastAsia="ja-JP"/>
    </w:rPr>
  </w:style>
  <w:style w:type="paragraph" w:styleId="Heading4">
    <w:name w:val="heading 4"/>
    <w:basedOn w:val="Normal"/>
    <w:next w:val="Normal"/>
    <w:link w:val="Heading4Char"/>
    <w:qFormat/>
    <w:rsid w:val="00F14A92"/>
    <w:pPr>
      <w:keepNext/>
      <w:numPr>
        <w:ilvl w:val="3"/>
        <w:numId w:val="1"/>
      </w:numPr>
      <w:spacing w:before="240" w:after="60"/>
      <w:outlineLvl w:val="3"/>
    </w:pPr>
    <w:rPr>
      <w:b/>
      <w:bCs/>
      <w:szCs w:val="28"/>
      <w:lang w:eastAsia="ja-JP"/>
    </w:rPr>
  </w:style>
  <w:style w:type="paragraph" w:styleId="Heading5">
    <w:name w:val="heading 5"/>
    <w:basedOn w:val="Normal"/>
    <w:next w:val="Normal"/>
    <w:link w:val="Heading5Char"/>
    <w:qFormat/>
    <w:rsid w:val="00F14A92"/>
    <w:pPr>
      <w:numPr>
        <w:ilvl w:val="4"/>
        <w:numId w:val="1"/>
      </w:numPr>
      <w:spacing w:before="240" w:after="60"/>
      <w:outlineLvl w:val="4"/>
    </w:pPr>
    <w:rPr>
      <w:b/>
      <w:bCs/>
      <w:i/>
      <w:iCs/>
      <w:szCs w:val="26"/>
      <w:lang w:eastAsia="ja-JP"/>
    </w:rPr>
  </w:style>
  <w:style w:type="paragraph" w:styleId="Heading6">
    <w:name w:val="heading 6"/>
    <w:basedOn w:val="Normal"/>
    <w:next w:val="Normal"/>
    <w:link w:val="Heading6Char"/>
    <w:qFormat/>
    <w:rsid w:val="00F14A92"/>
    <w:pPr>
      <w:numPr>
        <w:ilvl w:val="5"/>
        <w:numId w:val="1"/>
      </w:numPr>
      <w:spacing w:before="240" w:after="60"/>
      <w:outlineLvl w:val="5"/>
    </w:pPr>
    <w:rPr>
      <w:b/>
      <w:bCs/>
      <w:szCs w:val="22"/>
      <w:lang w:eastAsia="ja-JP"/>
    </w:rPr>
  </w:style>
  <w:style w:type="paragraph" w:styleId="Heading7">
    <w:name w:val="heading 7"/>
    <w:basedOn w:val="Normal"/>
    <w:next w:val="Normal"/>
    <w:link w:val="Heading7Char"/>
    <w:uiPriority w:val="9"/>
    <w:qFormat/>
    <w:rsid w:val="00F14A92"/>
    <w:pPr>
      <w:numPr>
        <w:ilvl w:val="6"/>
        <w:numId w:val="1"/>
      </w:numPr>
      <w:spacing w:before="240" w:after="60"/>
      <w:outlineLvl w:val="6"/>
    </w:pPr>
    <w:rPr>
      <w:szCs w:val="24"/>
      <w:lang w:eastAsia="ja-JP"/>
    </w:rPr>
  </w:style>
  <w:style w:type="paragraph" w:styleId="Heading8">
    <w:name w:val="heading 8"/>
    <w:basedOn w:val="Normal"/>
    <w:next w:val="Normal"/>
    <w:link w:val="Heading8Char"/>
    <w:uiPriority w:val="9"/>
    <w:qFormat/>
    <w:rsid w:val="00F14A92"/>
    <w:pPr>
      <w:numPr>
        <w:ilvl w:val="7"/>
        <w:numId w:val="1"/>
      </w:numPr>
      <w:spacing w:before="240" w:after="60"/>
      <w:outlineLvl w:val="7"/>
    </w:pPr>
    <w:rPr>
      <w:i/>
      <w:iCs/>
      <w:szCs w:val="24"/>
      <w:lang w:eastAsia="ja-JP"/>
    </w:rPr>
  </w:style>
  <w:style w:type="paragraph" w:styleId="Heading9">
    <w:name w:val="heading 9"/>
    <w:basedOn w:val="Normal"/>
    <w:next w:val="Normal"/>
    <w:link w:val="Heading9Char"/>
    <w:uiPriority w:val="9"/>
    <w:qFormat/>
    <w:rsid w:val="00F14A92"/>
    <w:pPr>
      <w:numPr>
        <w:ilvl w:val="8"/>
        <w:numId w:val="1"/>
      </w:numPr>
      <w:spacing w:before="240" w:after="60"/>
      <w:outlineLvl w:val="8"/>
    </w:pPr>
    <w:rPr>
      <w:rFonts w:cs="Arial"/>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4E391E"/>
    <w:pPr>
      <w:spacing w:after="120"/>
    </w:pPr>
    <w:rPr>
      <w:rFonts w:ascii="Times New Roman Bold" w:hAnsi="Times New Roman Bold" w:cs="Times New Roman Bold"/>
      <w:b/>
      <w:bCs/>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uiPriority w:val="99"/>
    <w:rsid w:val="00A0117B"/>
    <w:rPr>
      <w:color w:val="0000FF"/>
      <w:u w:val="single"/>
    </w:rPr>
  </w:style>
  <w:style w:type="paragraph" w:styleId="CommentText">
    <w:name w:val="annotation text"/>
    <w:basedOn w:val="Normal"/>
    <w:link w:val="CommentTextChar"/>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eastAsia="en-US"/>
    </w:rPr>
  </w:style>
  <w:style w:type="character" w:styleId="CommentReference">
    <w:name w:val="annotation reference"/>
    <w:semiHidden/>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eastAsia="en-US"/>
    </w:rPr>
  </w:style>
  <w:style w:type="paragraph" w:styleId="TOC4">
    <w:name w:val="toc 4"/>
    <w:basedOn w:val="Normal"/>
    <w:next w:val="Normal"/>
    <w:autoRedefine/>
    <w:uiPriority w:val="39"/>
    <w:rsid w:val="00166D09"/>
    <w:pPr>
      <w:spacing w:before="0"/>
      <w:ind w:left="720"/>
    </w:pPr>
    <w:rPr>
      <w:sz w:val="18"/>
      <w:szCs w:val="21"/>
    </w:rPr>
  </w:style>
  <w:style w:type="paragraph" w:styleId="TOC5">
    <w:name w:val="toc 5"/>
    <w:basedOn w:val="Normal"/>
    <w:next w:val="Normal"/>
    <w:autoRedefine/>
    <w:uiPriority w:val="39"/>
    <w:rsid w:val="00166D09"/>
    <w:pPr>
      <w:spacing w:before="0"/>
      <w:ind w:left="960"/>
    </w:pPr>
    <w:rPr>
      <w:sz w:val="18"/>
      <w:szCs w:val="21"/>
    </w:rPr>
  </w:style>
  <w:style w:type="paragraph" w:styleId="TOC6">
    <w:name w:val="toc 6"/>
    <w:basedOn w:val="Normal"/>
    <w:next w:val="Normal"/>
    <w:autoRedefine/>
    <w:uiPriority w:val="39"/>
    <w:rsid w:val="00166D09"/>
    <w:pPr>
      <w:spacing w:before="0"/>
      <w:ind w:left="1200"/>
    </w:pPr>
    <w:rPr>
      <w:sz w:val="18"/>
      <w:szCs w:val="21"/>
    </w:rPr>
  </w:style>
  <w:style w:type="paragraph" w:styleId="TOC7">
    <w:name w:val="toc 7"/>
    <w:basedOn w:val="Normal"/>
    <w:next w:val="Normal"/>
    <w:autoRedefine/>
    <w:uiPriority w:val="39"/>
    <w:rsid w:val="00166D09"/>
    <w:pPr>
      <w:spacing w:before="0"/>
      <w:ind w:left="1440"/>
    </w:pPr>
    <w:rPr>
      <w:sz w:val="18"/>
      <w:szCs w:val="21"/>
    </w:rPr>
  </w:style>
  <w:style w:type="paragraph" w:styleId="TOC8">
    <w:name w:val="toc 8"/>
    <w:basedOn w:val="Normal"/>
    <w:next w:val="Normal"/>
    <w:autoRedefine/>
    <w:uiPriority w:val="39"/>
    <w:rsid w:val="00166D09"/>
    <w:pPr>
      <w:spacing w:before="0"/>
      <w:ind w:left="1680"/>
    </w:pPr>
    <w:rPr>
      <w:sz w:val="18"/>
      <w:szCs w:val="21"/>
    </w:rPr>
  </w:style>
  <w:style w:type="paragraph" w:styleId="TOC9">
    <w:name w:val="toc 9"/>
    <w:basedOn w:val="Normal"/>
    <w:next w:val="Normal"/>
    <w:autoRedefine/>
    <w:uiPriority w:val="39"/>
    <w:rsid w:val="00166D09"/>
    <w:pPr>
      <w:spacing w:before="0"/>
      <w:ind w:left="1920"/>
    </w:pPr>
    <w:rPr>
      <w:sz w:val="18"/>
      <w:szCs w:val="21"/>
    </w:rPr>
  </w:style>
  <w:style w:type="paragraph" w:customStyle="1" w:styleId="BoxesNotitle">
    <w:name w:val="Boxes_No &amp; title"/>
    <w:basedOn w:val="Normal"/>
    <w:next w:val="Normal"/>
    <w:qFormat/>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eastAsia="en-US"/>
    </w:rPr>
  </w:style>
  <w:style w:type="paragraph" w:styleId="BalloonText">
    <w:name w:val="Balloon Text"/>
    <w:basedOn w:val="Normal"/>
    <w:link w:val="BalloonTextChar"/>
    <w:uiPriority w:val="99"/>
    <w:semiHidden/>
    <w:rsid w:val="00FE7DA8"/>
    <w:rPr>
      <w:rFonts w:ascii="ヒラギノ角ゴ Pro W3" w:eastAsia="ヒラギノ角ゴ Pro W3"/>
      <w:sz w:val="18"/>
      <w:szCs w:val="18"/>
    </w:rPr>
  </w:style>
  <w:style w:type="paragraph" w:styleId="CommentSubject">
    <w:name w:val="annotation subject"/>
    <w:basedOn w:val="CommentText"/>
    <w:next w:val="CommentText"/>
    <w:link w:val="CommentSubjectChar"/>
    <w:uiPriority w:val="99"/>
    <w:rsid w:val="00003CAA"/>
    <w:rPr>
      <w:rFonts w:eastAsia="MS Mincho"/>
      <w:b/>
      <w:bCs/>
      <w:lang w:eastAsia="zh-CN"/>
    </w:rPr>
  </w:style>
  <w:style w:type="paragraph" w:customStyle="1" w:styleId="TableNotitle">
    <w:name w:val="Table_No &amp; title"/>
    <w:basedOn w:val="Normal"/>
    <w:next w:val="Normal"/>
    <w:qFormat/>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eastAsia="en-US"/>
    </w:rPr>
  </w:style>
  <w:style w:type="paragraph" w:customStyle="1" w:styleId="Headingb">
    <w:name w:val="Heading_b"/>
    <w:basedOn w:val="Normal"/>
    <w:next w:val="Normal"/>
    <w:qFormat/>
    <w:rsid w:val="00F14A92"/>
    <w:pPr>
      <w:keepNext/>
      <w:tabs>
        <w:tab w:val="left" w:pos="794"/>
        <w:tab w:val="left" w:pos="1191"/>
        <w:tab w:val="left" w:pos="1588"/>
        <w:tab w:val="left" w:pos="1985"/>
      </w:tabs>
      <w:overflowPunct w:val="0"/>
      <w:autoSpaceDE w:val="0"/>
      <w:autoSpaceDN w:val="0"/>
      <w:adjustRightInd w:val="0"/>
      <w:spacing w:before="160"/>
      <w:textAlignment w:val="baseline"/>
    </w:pPr>
    <w:rPr>
      <w:b/>
      <w:lang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eastAsia="en-US"/>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i/>
      <w:lang w:eastAsia="ja-JP"/>
    </w:rPr>
  </w:style>
  <w:style w:type="paragraph" w:customStyle="1" w:styleId="Headingib">
    <w:name w:val="Heading_ib"/>
    <w:basedOn w:val="Headingi"/>
    <w:qFormat/>
    <w:rsid w:val="00F14A92"/>
    <w:rPr>
      <w:b/>
      <w:bCs/>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eastAsia="en-US"/>
    </w:rPr>
  </w:style>
  <w:style w:type="paragraph" w:customStyle="1" w:styleId="Tabletext">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eastAsia="en-US"/>
    </w:rPr>
  </w:style>
  <w:style w:type="paragraph" w:styleId="List2">
    <w:name w:val="List 2"/>
    <w:basedOn w:val="Normal"/>
    <w:uiPriority w:val="99"/>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eastAsia="en-US"/>
    </w:rPr>
  </w:style>
  <w:style w:type="paragraph" w:styleId="Caption">
    <w:name w:val="caption"/>
    <w:basedOn w:val="Normal"/>
    <w:next w:val="Normal"/>
    <w:link w:val="CaptionChar"/>
    <w:uiPriority w:val="35"/>
    <w:qFormat/>
    <w:rsid w:val="0060241A"/>
    <w:pPr>
      <w:spacing w:after="120"/>
      <w:jc w:val="center"/>
    </w:pPr>
    <w:rPr>
      <w:rFonts w:eastAsia="Times New Roman"/>
      <w:b/>
      <w:bCs/>
      <w:szCs w:val="24"/>
      <w:lang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eastAsia="en-US"/>
    </w:rPr>
  </w:style>
  <w:style w:type="paragraph" w:styleId="TOCHeading">
    <w:name w:val="TOC Heading"/>
    <w:basedOn w:val="Heading1"/>
    <w:next w:val="Normal"/>
    <w:uiPriority w:val="39"/>
    <w:unhideWhenUsed/>
    <w:qFormat/>
    <w:rsid w:val="0060241A"/>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Heading1Char">
    <w:name w:val="Heading 1 Char"/>
    <w:link w:val="Heading1"/>
    <w:uiPriority w:val="9"/>
    <w:rsid w:val="009635CB"/>
    <w:rPr>
      <w:rFonts w:cs="Arial"/>
      <w:b/>
      <w:bCs/>
      <w:kern w:val="32"/>
      <w:sz w:val="24"/>
      <w:szCs w:val="32"/>
      <w:lang w:val="en-GB" w:eastAsia="ja-JP"/>
    </w:rPr>
  </w:style>
  <w:style w:type="paragraph" w:styleId="Revision">
    <w:name w:val="Revision"/>
    <w:hidden/>
    <w:uiPriority w:val="99"/>
    <w:semiHidden/>
    <w:rsid w:val="009635CB"/>
    <w:rPr>
      <w:sz w:val="24"/>
    </w:rPr>
  </w:style>
  <w:style w:type="character" w:styleId="Emphasis">
    <w:name w:val="Emphasis"/>
    <w:uiPriority w:val="20"/>
    <w:qFormat/>
    <w:rsid w:val="009635CB"/>
    <w:rPr>
      <w:i/>
      <w:iCs/>
    </w:rPr>
  </w:style>
  <w:style w:type="character" w:styleId="Strong">
    <w:name w:val="Strong"/>
    <w:uiPriority w:val="22"/>
    <w:qFormat/>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styleId="ListParagraph">
    <w:name w:val="List Paragraph"/>
    <w:aliases w:val="NUMBERED PARAGRAPH,List Paragraph 1,List Paragraph (numbered (a)),Use Case List Paragraph,References,ReferencesCxSpLast,lp1"/>
    <w:basedOn w:val="Normal"/>
    <w:link w:val="ListParagraphChar"/>
    <w:uiPriority w:val="34"/>
    <w:qFormat/>
    <w:rsid w:val="00C8520A"/>
    <w:pPr>
      <w:spacing w:before="0" w:after="200" w:line="276" w:lineRule="auto"/>
      <w:ind w:left="720"/>
      <w:contextualSpacing/>
      <w:jc w:val="both"/>
    </w:pPr>
    <w:rPr>
      <w:rFonts w:ascii="Calibri" w:hAnsi="Calibri" w:cs="Arial"/>
      <w:sz w:val="22"/>
      <w:szCs w:val="22"/>
    </w:rPr>
  </w:style>
  <w:style w:type="character" w:customStyle="1" w:styleId="ListParagraphChar">
    <w:name w:val="List Paragraph Char"/>
    <w:aliases w:val="NUMBERED PARAGRAPH Char,List Paragraph 1 Char,List Paragraph (numbered (a)) Char,Use Case List Paragraph Char,References Char,ReferencesCxSpLast Char,lp1 Char"/>
    <w:link w:val="ListParagraph"/>
    <w:uiPriority w:val="34"/>
    <w:rsid w:val="00C8520A"/>
    <w:rPr>
      <w:rFonts w:ascii="Calibri" w:hAnsi="Calibri" w:cs="Arial"/>
      <w:sz w:val="22"/>
      <w:szCs w:val="22"/>
    </w:rPr>
  </w:style>
  <w:style w:type="paragraph" w:styleId="BodyText">
    <w:name w:val="Body Text"/>
    <w:basedOn w:val="Normal"/>
    <w:link w:val="BodyTextChar"/>
    <w:uiPriority w:val="99"/>
    <w:unhideWhenUsed/>
    <w:qFormat/>
    <w:rsid w:val="00C8520A"/>
    <w:pPr>
      <w:spacing w:before="0" w:after="120" w:line="288" w:lineRule="auto"/>
    </w:pPr>
    <w:rPr>
      <w:rFonts w:asciiTheme="minorHAnsi" w:eastAsiaTheme="minorEastAsia" w:hAnsiTheme="minorHAnsi" w:cstheme="minorBidi"/>
      <w:sz w:val="20"/>
      <w:lang w:eastAsia="en-ZA"/>
    </w:rPr>
  </w:style>
  <w:style w:type="character" w:customStyle="1" w:styleId="BodyTextChar">
    <w:name w:val="Body Text Char"/>
    <w:basedOn w:val="DefaultParagraphFont"/>
    <w:link w:val="BodyText"/>
    <w:uiPriority w:val="99"/>
    <w:rsid w:val="00C8520A"/>
    <w:rPr>
      <w:rFonts w:asciiTheme="minorHAnsi" w:eastAsiaTheme="minorEastAsia" w:hAnsiTheme="minorHAnsi" w:cstheme="minorBidi"/>
      <w:lang w:eastAsia="en-ZA"/>
    </w:rPr>
  </w:style>
  <w:style w:type="paragraph" w:customStyle="1" w:styleId="Enumlev">
    <w:name w:val="Enumlev`"/>
    <w:basedOn w:val="ListParagraph"/>
    <w:qFormat/>
    <w:rsid w:val="00C8520A"/>
    <w:pPr>
      <w:numPr>
        <w:numId w:val="2"/>
      </w:numPr>
      <w:spacing w:before="120" w:after="120" w:line="288" w:lineRule="auto"/>
      <w:contextualSpacing w:val="0"/>
      <w:jc w:val="left"/>
    </w:pPr>
    <w:rPr>
      <w:b/>
      <w:color w:val="C0504D" w:themeColor="accent2"/>
    </w:rPr>
  </w:style>
  <w:style w:type="paragraph" w:customStyle="1" w:styleId="Enumlev1">
    <w:name w:val="Enumlev1"/>
    <w:basedOn w:val="Enumlev"/>
    <w:qFormat/>
    <w:rsid w:val="00C8520A"/>
    <w:pPr>
      <w:numPr>
        <w:numId w:val="0"/>
      </w:numPr>
    </w:pPr>
  </w:style>
  <w:style w:type="paragraph" w:customStyle="1" w:styleId="enumlev10">
    <w:name w:val="enumlev1"/>
    <w:basedOn w:val="Normal"/>
    <w:rsid w:val="00C8520A"/>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lang w:eastAsia="en-US"/>
    </w:rPr>
  </w:style>
  <w:style w:type="paragraph" w:customStyle="1" w:styleId="subbullet">
    <w:name w:val="subbullet"/>
    <w:basedOn w:val="Normal"/>
    <w:qFormat/>
    <w:rsid w:val="00C8520A"/>
    <w:pPr>
      <w:numPr>
        <w:ilvl w:val="1"/>
        <w:numId w:val="3"/>
      </w:numPr>
      <w:tabs>
        <w:tab w:val="num" w:pos="360"/>
      </w:tabs>
      <w:spacing w:before="0" w:after="60"/>
      <w:ind w:left="1620" w:hanging="270"/>
    </w:pPr>
    <w:rPr>
      <w:rFonts w:asciiTheme="minorHAnsi" w:eastAsiaTheme="minorEastAsia" w:hAnsiTheme="minorHAnsi" w:cstheme="minorBidi"/>
      <w:sz w:val="20"/>
      <w:lang w:eastAsia="en-US"/>
    </w:rPr>
  </w:style>
  <w:style w:type="paragraph" w:customStyle="1" w:styleId="Enumlev2">
    <w:name w:val="Enumlev2"/>
    <w:basedOn w:val="subbullet"/>
    <w:qFormat/>
    <w:rsid w:val="00C8520A"/>
    <w:pPr>
      <w:numPr>
        <w:ilvl w:val="0"/>
        <w:numId w:val="0"/>
      </w:numPr>
      <w:tabs>
        <w:tab w:val="left" w:pos="1620"/>
      </w:tabs>
      <w:spacing w:before="120" w:after="120" w:line="288" w:lineRule="auto"/>
    </w:pPr>
  </w:style>
  <w:style w:type="paragraph" w:customStyle="1" w:styleId="enumlev20">
    <w:name w:val="enumlev2"/>
    <w:basedOn w:val="enumlev10"/>
    <w:rsid w:val="00C8520A"/>
    <w:pPr>
      <w:ind w:left="1191" w:hanging="397"/>
    </w:pPr>
  </w:style>
  <w:style w:type="paragraph" w:customStyle="1" w:styleId="Note">
    <w:name w:val="Note"/>
    <w:basedOn w:val="Normal"/>
    <w:qFormat/>
    <w:rsid w:val="00C8520A"/>
    <w:pPr>
      <w:shd w:val="clear" w:color="auto" w:fill="E6E6E6"/>
      <w:ind w:left="720"/>
    </w:pPr>
    <w:rPr>
      <w:i/>
    </w:rPr>
  </w:style>
  <w:style w:type="paragraph" w:styleId="FootnoteText">
    <w:name w:val="footnote text"/>
    <w:aliases w:val="single space,FOOTNOTES,fn,ADB,WB-Fuﬂnotentext,Footnote,Fuﬂnote,footnote text,WB-Fußnotentext,Fußnote,ALTS FOOTNOTE,Footnote Text Char2 Char,Footnote Text Char1 Char Char,Footnote Text Char2 Char Char Char,ft,stile 1,f,Testo_note"/>
    <w:basedOn w:val="Normal"/>
    <w:link w:val="FootnoteTextChar"/>
    <w:uiPriority w:val="99"/>
    <w:unhideWhenUsed/>
    <w:qFormat/>
    <w:rsid w:val="001866DC"/>
    <w:pPr>
      <w:spacing w:before="0"/>
    </w:pPr>
    <w:rPr>
      <w:rFonts w:asciiTheme="minorHAnsi" w:eastAsiaTheme="minorEastAsia" w:hAnsiTheme="minorHAnsi" w:cstheme="minorBidi"/>
      <w:sz w:val="18"/>
      <w:szCs w:val="24"/>
      <w:lang w:eastAsia="en-US"/>
    </w:rPr>
  </w:style>
  <w:style w:type="character" w:customStyle="1" w:styleId="FootnoteTextChar">
    <w:name w:val="Footnote Text Char"/>
    <w:aliases w:val="single space Char1,FOOTNOTES Char1,fn Char1,ADB Char1,WB-Fuﬂnotentext Char1,Footnote Char1,Fuﬂnote Char1,footnote text Char1,WB-Fußnotentext Char1,Fußnote Char1,ALTS FOOTNOTE Char1,Footnote Text Char2 Char Char1,ft Char1,stile 1 Char"/>
    <w:basedOn w:val="DefaultParagraphFont"/>
    <w:link w:val="FootnoteText"/>
    <w:uiPriority w:val="99"/>
    <w:rsid w:val="001866DC"/>
    <w:rPr>
      <w:rFonts w:asciiTheme="minorHAnsi" w:eastAsiaTheme="minorEastAsia" w:hAnsiTheme="minorHAnsi" w:cstheme="minorBidi"/>
      <w:sz w:val="18"/>
      <w:szCs w:val="24"/>
      <w:lang w:eastAsia="en-US"/>
    </w:rPr>
  </w:style>
  <w:style w:type="character" w:styleId="FootnoteReference">
    <w:name w:val="footnote reference"/>
    <w:aliases w:val="Char Char,ftref,BVI fnr,16 Point,Superscript 6 Point,Ref,de nota al pie,fr,Used by Word for Help footnote symbols,Car Car Char Car Char Car Car Char Car Char Char,SUPERS,BVI f,Car Car Char Car Char Car Car Char Car Char Cha,number,R"/>
    <w:basedOn w:val="DefaultParagraphFont"/>
    <w:uiPriority w:val="99"/>
    <w:unhideWhenUsed/>
    <w:qFormat/>
    <w:rsid w:val="001866DC"/>
    <w:rPr>
      <w:vertAlign w:val="superscript"/>
    </w:rPr>
  </w:style>
  <w:style w:type="paragraph" w:customStyle="1" w:styleId="bullet">
    <w:name w:val="bullet"/>
    <w:basedOn w:val="ListParagraph"/>
    <w:qFormat/>
    <w:rsid w:val="007F3528"/>
    <w:pPr>
      <w:spacing w:after="60" w:line="240" w:lineRule="auto"/>
      <w:ind w:left="360" w:hanging="360"/>
      <w:contextualSpacing w:val="0"/>
      <w:jc w:val="left"/>
    </w:pPr>
    <w:rPr>
      <w:rFonts w:asciiTheme="minorHAnsi" w:eastAsiaTheme="minorEastAsia" w:hAnsiTheme="minorHAnsi" w:cstheme="minorBidi"/>
      <w:sz w:val="20"/>
      <w:szCs w:val="20"/>
      <w:lang w:eastAsia="en-US"/>
    </w:rPr>
  </w:style>
  <w:style w:type="paragraph" w:customStyle="1" w:styleId="2Bullet">
    <w:name w:val="2Bullet"/>
    <w:basedOn w:val="bullet"/>
    <w:qFormat/>
    <w:rsid w:val="007F3528"/>
    <w:pPr>
      <w:numPr>
        <w:numId w:val="4"/>
      </w:numPr>
      <w:tabs>
        <w:tab w:val="left" w:pos="1260"/>
      </w:tabs>
      <w:spacing w:before="120" w:after="120" w:line="288" w:lineRule="auto"/>
      <w:ind w:left="1260"/>
    </w:pPr>
  </w:style>
  <w:style w:type="paragraph" w:customStyle="1" w:styleId="Headingb0">
    <w:name w:val="Heading b"/>
    <w:basedOn w:val="Normal"/>
    <w:qFormat/>
    <w:rsid w:val="00004356"/>
    <w:pPr>
      <w:tabs>
        <w:tab w:val="num" w:pos="1440"/>
      </w:tabs>
      <w:spacing w:after="120" w:line="360" w:lineRule="auto"/>
      <w:jc w:val="both"/>
    </w:pPr>
    <w:rPr>
      <w:rFonts w:asciiTheme="minorHAnsi" w:hAnsiTheme="minorHAnsi" w:cs="Arial"/>
      <w:szCs w:val="24"/>
    </w:rPr>
  </w:style>
  <w:style w:type="character" w:customStyle="1" w:styleId="FootnoteTextChar1">
    <w:name w:val="Footnote Text Char1"/>
    <w:aliases w:val="Footnote Text Char Char,single space Char,FOOTNOTES Char,fn Char,ADB Char,WB-Fuﬂnotentext Char,Footnote Char,Fuﬂnote Char,footnote text Char,WB-Fußnotentext Char,Fußnote Char,ALTS FOOTNOTE Char,Footnote Text Char2 Char Char,ft Char"/>
    <w:basedOn w:val="DefaultParagraphFont"/>
    <w:uiPriority w:val="99"/>
    <w:rsid w:val="00004356"/>
    <w:rPr>
      <w:rFonts w:ascii="Arial" w:hAnsi="Arial"/>
      <w:sz w:val="18"/>
      <w:lang w:val="en-GB"/>
    </w:rPr>
  </w:style>
  <w:style w:type="character" w:customStyle="1" w:styleId="CaptionChar">
    <w:name w:val="Caption Char"/>
    <w:link w:val="Caption"/>
    <w:rsid w:val="00004356"/>
    <w:rPr>
      <w:rFonts w:eastAsia="Times New Roman"/>
      <w:b/>
      <w:bCs/>
      <w:sz w:val="24"/>
      <w:szCs w:val="24"/>
      <w:lang w:val="en-GB" w:eastAsia="en-US"/>
    </w:rPr>
  </w:style>
  <w:style w:type="paragraph" w:customStyle="1" w:styleId="Body">
    <w:name w:val="Body"/>
    <w:basedOn w:val="BodyTextIndent"/>
    <w:link w:val="BodyChar"/>
    <w:rsid w:val="00D375F0"/>
    <w:pPr>
      <w:widowControl w:val="0"/>
      <w:suppressAutoHyphens/>
      <w:spacing w:before="0" w:after="0"/>
      <w:ind w:left="0" w:firstLine="720"/>
      <w:jc w:val="both"/>
    </w:pPr>
    <w:rPr>
      <w:rFonts w:eastAsia="Times New Roman"/>
      <w:spacing w:val="-3"/>
      <w:lang w:val="es-ES" w:eastAsia="es-ES"/>
    </w:rPr>
  </w:style>
  <w:style w:type="character" w:customStyle="1" w:styleId="BodyChar">
    <w:name w:val="Body Char"/>
    <w:basedOn w:val="DefaultParagraphFont"/>
    <w:link w:val="Body"/>
    <w:locked/>
    <w:rsid w:val="00D375F0"/>
    <w:rPr>
      <w:rFonts w:eastAsia="Times New Roman"/>
      <w:spacing w:val="-3"/>
      <w:sz w:val="24"/>
      <w:lang w:val="es-ES" w:eastAsia="es-ES"/>
    </w:rPr>
  </w:style>
  <w:style w:type="paragraph" w:styleId="BodyTextIndent">
    <w:name w:val="Body Text Indent"/>
    <w:basedOn w:val="Normal"/>
    <w:link w:val="BodyTextIndentChar"/>
    <w:semiHidden/>
    <w:unhideWhenUsed/>
    <w:rsid w:val="00D375F0"/>
    <w:pPr>
      <w:spacing w:after="120"/>
      <w:ind w:left="283"/>
    </w:pPr>
  </w:style>
  <w:style w:type="character" w:customStyle="1" w:styleId="BodyTextIndentChar">
    <w:name w:val="Body Text Indent Char"/>
    <w:basedOn w:val="DefaultParagraphFont"/>
    <w:link w:val="BodyTextIndent"/>
    <w:semiHidden/>
    <w:rsid w:val="00D375F0"/>
    <w:rPr>
      <w:sz w:val="24"/>
    </w:rPr>
  </w:style>
  <w:style w:type="paragraph" w:customStyle="1" w:styleId="Bullethyphen">
    <w:name w:val="Bullet hyphen"/>
    <w:basedOn w:val="Normal"/>
    <w:rsid w:val="00D375F0"/>
    <w:pPr>
      <w:numPr>
        <w:ilvl w:val="1"/>
        <w:numId w:val="5"/>
      </w:numPr>
      <w:spacing w:before="0" w:after="120"/>
      <w:jc w:val="both"/>
    </w:pPr>
    <w:rPr>
      <w:rFonts w:ascii="Arial" w:hAnsi="Arial"/>
      <w:sz w:val="22"/>
      <w:lang w:eastAsia="en-US"/>
    </w:rPr>
  </w:style>
  <w:style w:type="character" w:customStyle="1" w:styleId="HyperlinkBIS">
    <w:name w:val="HyperlinkBIS"/>
    <w:basedOn w:val="DefaultParagraphFont"/>
    <w:uiPriority w:val="1"/>
    <w:qFormat/>
    <w:rsid w:val="00D375F0"/>
    <w:rPr>
      <w:rFonts w:cs="Segoe UI"/>
      <w:u w:val="single" w:color="B3B3B3"/>
      <w:bdr w:val="none" w:sz="0" w:space="0" w:color="auto"/>
    </w:rPr>
  </w:style>
  <w:style w:type="paragraph" w:customStyle="1" w:styleId="Reftext">
    <w:name w:val="Ref_text"/>
    <w:basedOn w:val="Normal"/>
    <w:rsid w:val="00D375F0"/>
    <w:pPr>
      <w:tabs>
        <w:tab w:val="left" w:pos="794"/>
        <w:tab w:val="left" w:pos="1191"/>
        <w:tab w:val="left" w:pos="1588"/>
        <w:tab w:val="left" w:pos="1985"/>
      </w:tabs>
      <w:overflowPunct w:val="0"/>
      <w:autoSpaceDE w:val="0"/>
      <w:autoSpaceDN w:val="0"/>
      <w:adjustRightInd w:val="0"/>
      <w:ind w:left="794" w:hanging="794"/>
      <w:textAlignment w:val="baseline"/>
    </w:pPr>
    <w:rPr>
      <w:rFonts w:eastAsia="Times New Roman"/>
      <w:lang w:eastAsia="en-US"/>
    </w:rPr>
  </w:style>
  <w:style w:type="character" w:customStyle="1" w:styleId="CommentSubjectChar">
    <w:name w:val="Comment Subject Char"/>
    <w:link w:val="CommentSubject"/>
    <w:uiPriority w:val="99"/>
    <w:rsid w:val="00916B16"/>
    <w:rPr>
      <w:b/>
      <w:bCs/>
    </w:rPr>
  </w:style>
  <w:style w:type="paragraph" w:customStyle="1" w:styleId="ParagraphNumbering">
    <w:name w:val="Paragraph Numbering"/>
    <w:basedOn w:val="Normal"/>
    <w:link w:val="ParagraphNumberingCarattere1"/>
    <w:qFormat/>
    <w:rsid w:val="000E17B9"/>
    <w:pPr>
      <w:numPr>
        <w:numId w:val="6"/>
      </w:numPr>
      <w:spacing w:after="120" w:line="264" w:lineRule="auto"/>
      <w:jc w:val="both"/>
    </w:pPr>
    <w:rPr>
      <w:rFonts w:eastAsia="Calibri"/>
      <w:szCs w:val="24"/>
      <w:lang w:eastAsia="en-US"/>
    </w:rPr>
  </w:style>
  <w:style w:type="character" w:customStyle="1" w:styleId="ParagraphNumberingCarattere1">
    <w:name w:val="Paragraph Numbering Carattere1"/>
    <w:basedOn w:val="DefaultParagraphFont"/>
    <w:link w:val="ParagraphNumbering"/>
    <w:rsid w:val="000E17B9"/>
    <w:rPr>
      <w:rFonts w:eastAsia="Calibri"/>
      <w:sz w:val="24"/>
      <w:szCs w:val="24"/>
      <w:lang w:val="en-GB" w:eastAsia="en-US"/>
    </w:rPr>
  </w:style>
  <w:style w:type="paragraph" w:customStyle="1" w:styleId="FigureNotitle">
    <w:name w:val="Figure_No &amp; title"/>
    <w:basedOn w:val="Normal"/>
    <w:next w:val="Normal"/>
    <w:qFormat/>
    <w:rsid w:val="0039348B"/>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eastAsia="en-US"/>
    </w:rPr>
  </w:style>
  <w:style w:type="character" w:customStyle="1" w:styleId="FooterChar">
    <w:name w:val="Footer Char"/>
    <w:basedOn w:val="DefaultParagraphFont"/>
    <w:link w:val="Footer"/>
    <w:uiPriority w:val="99"/>
    <w:rsid w:val="0065099C"/>
    <w:rPr>
      <w:sz w:val="24"/>
    </w:rPr>
  </w:style>
  <w:style w:type="paragraph" w:styleId="Title">
    <w:name w:val="Title"/>
    <w:basedOn w:val="Normal"/>
    <w:next w:val="Normal"/>
    <w:link w:val="TitleChar"/>
    <w:qFormat/>
    <w:rsid w:val="00A9721B"/>
    <w:pPr>
      <w:spacing w:after="240" w:line="1120" w:lineRule="exact"/>
      <w:contextualSpacing/>
    </w:pPr>
    <w:rPr>
      <w:rFonts w:ascii="Cambria" w:eastAsia="MS Gothic" w:hAnsi="Cambria"/>
      <w:color w:val="88BBEE"/>
      <w:kern w:val="28"/>
      <w:sz w:val="72"/>
      <w:szCs w:val="60"/>
      <w:lang w:eastAsia="en-US"/>
    </w:rPr>
  </w:style>
  <w:style w:type="character" w:customStyle="1" w:styleId="TitleChar">
    <w:name w:val="Title Char"/>
    <w:basedOn w:val="DefaultParagraphFont"/>
    <w:link w:val="Title"/>
    <w:uiPriority w:val="10"/>
    <w:rsid w:val="00A9721B"/>
    <w:rPr>
      <w:rFonts w:ascii="Cambria" w:eastAsia="MS Gothic" w:hAnsi="Cambria"/>
      <w:color w:val="88BBEE"/>
      <w:kern w:val="28"/>
      <w:sz w:val="72"/>
      <w:szCs w:val="60"/>
      <w:lang w:eastAsia="en-US"/>
    </w:rPr>
  </w:style>
  <w:style w:type="character" w:customStyle="1" w:styleId="Heading2Char">
    <w:name w:val="Heading 2 Char"/>
    <w:aliases w:val="Heading 2 Char1 Char,Heading 2 Char Char Char"/>
    <w:link w:val="Heading2"/>
    <w:uiPriority w:val="9"/>
    <w:rsid w:val="002803A8"/>
    <w:rPr>
      <w:rFonts w:cs="Arial"/>
      <w:b/>
      <w:bCs/>
      <w:iCs/>
      <w:sz w:val="24"/>
      <w:szCs w:val="28"/>
      <w:lang w:val="en-GB" w:eastAsia="ja-JP"/>
    </w:rPr>
  </w:style>
  <w:style w:type="character" w:customStyle="1" w:styleId="Heading3Char">
    <w:name w:val="Heading 3 Char"/>
    <w:link w:val="Heading3"/>
    <w:rsid w:val="00A9721B"/>
    <w:rPr>
      <w:rFonts w:cs="Arial"/>
      <w:b/>
      <w:bCs/>
      <w:sz w:val="24"/>
      <w:szCs w:val="26"/>
      <w:lang w:val="en-GB" w:eastAsia="ja-JP"/>
    </w:rPr>
  </w:style>
  <w:style w:type="character" w:customStyle="1" w:styleId="Heading4Char">
    <w:name w:val="Heading 4 Char"/>
    <w:link w:val="Heading4"/>
    <w:rsid w:val="00A9721B"/>
    <w:rPr>
      <w:b/>
      <w:bCs/>
      <w:sz w:val="24"/>
      <w:szCs w:val="28"/>
      <w:lang w:val="en-GB" w:eastAsia="ja-JP"/>
    </w:rPr>
  </w:style>
  <w:style w:type="character" w:customStyle="1" w:styleId="Heading5Char">
    <w:name w:val="Heading 5 Char"/>
    <w:link w:val="Heading5"/>
    <w:rsid w:val="00A9721B"/>
    <w:rPr>
      <w:b/>
      <w:bCs/>
      <w:i/>
      <w:iCs/>
      <w:sz w:val="24"/>
      <w:szCs w:val="26"/>
      <w:lang w:val="en-GB" w:eastAsia="ja-JP"/>
    </w:rPr>
  </w:style>
  <w:style w:type="character" w:customStyle="1" w:styleId="Heading6Char">
    <w:name w:val="Heading 6 Char"/>
    <w:link w:val="Heading6"/>
    <w:rsid w:val="00A9721B"/>
    <w:rPr>
      <w:b/>
      <w:bCs/>
      <w:sz w:val="24"/>
      <w:szCs w:val="22"/>
      <w:lang w:val="en-GB" w:eastAsia="ja-JP"/>
    </w:rPr>
  </w:style>
  <w:style w:type="character" w:customStyle="1" w:styleId="Heading7Char">
    <w:name w:val="Heading 7 Char"/>
    <w:link w:val="Heading7"/>
    <w:uiPriority w:val="9"/>
    <w:rsid w:val="00A9721B"/>
    <w:rPr>
      <w:sz w:val="24"/>
      <w:szCs w:val="24"/>
      <w:lang w:val="en-GB" w:eastAsia="ja-JP"/>
    </w:rPr>
  </w:style>
  <w:style w:type="character" w:customStyle="1" w:styleId="Heading8Char">
    <w:name w:val="Heading 8 Char"/>
    <w:link w:val="Heading8"/>
    <w:uiPriority w:val="9"/>
    <w:rsid w:val="00A9721B"/>
    <w:rPr>
      <w:i/>
      <w:iCs/>
      <w:sz w:val="24"/>
      <w:szCs w:val="24"/>
      <w:lang w:val="en-GB" w:eastAsia="ja-JP"/>
    </w:rPr>
  </w:style>
  <w:style w:type="character" w:customStyle="1" w:styleId="Heading9Char">
    <w:name w:val="Heading 9 Char"/>
    <w:link w:val="Heading9"/>
    <w:uiPriority w:val="9"/>
    <w:rsid w:val="00A9721B"/>
    <w:rPr>
      <w:rFonts w:cs="Arial"/>
      <w:sz w:val="24"/>
      <w:szCs w:val="22"/>
      <w:lang w:val="en-GB" w:eastAsia="ja-JP"/>
    </w:rPr>
  </w:style>
  <w:style w:type="numbering" w:styleId="111111">
    <w:name w:val="Outline List 2"/>
    <w:basedOn w:val="NoList"/>
    <w:uiPriority w:val="99"/>
    <w:semiHidden/>
    <w:unhideWhenUsed/>
    <w:rsid w:val="00A9721B"/>
    <w:pPr>
      <w:numPr>
        <w:numId w:val="7"/>
      </w:numPr>
    </w:pPr>
  </w:style>
  <w:style w:type="paragraph" w:customStyle="1" w:styleId="Style1">
    <w:name w:val="Style1"/>
    <w:basedOn w:val="Heading4"/>
    <w:rsid w:val="00A9721B"/>
    <w:pPr>
      <w:keepNext w:val="0"/>
      <w:numPr>
        <w:ilvl w:val="0"/>
        <w:numId w:val="0"/>
      </w:numPr>
      <w:spacing w:before="120" w:after="120" w:line="288" w:lineRule="auto"/>
      <w:contextualSpacing/>
    </w:pPr>
    <w:rPr>
      <w:rFonts w:ascii="Arial" w:hAnsi="Arial"/>
      <w:b w:val="0"/>
      <w:bCs w:val="0"/>
      <w:sz w:val="22"/>
      <w:szCs w:val="24"/>
      <w:lang w:val="en-US" w:eastAsia="en-US"/>
    </w:rPr>
  </w:style>
  <w:style w:type="character" w:styleId="SubtleEmphasis">
    <w:name w:val="Subtle Emphasis"/>
    <w:uiPriority w:val="19"/>
    <w:rsid w:val="00A9721B"/>
    <w:rPr>
      <w:i/>
      <w:iCs/>
      <w:color w:val="808080"/>
    </w:rPr>
  </w:style>
  <w:style w:type="paragraph" w:styleId="Subtitle">
    <w:name w:val="Subtitle"/>
    <w:basedOn w:val="Normal"/>
    <w:next w:val="Normal"/>
    <w:link w:val="SubtitleChar"/>
    <w:rsid w:val="00A9721B"/>
    <w:pPr>
      <w:numPr>
        <w:ilvl w:val="1"/>
      </w:numPr>
      <w:spacing w:after="120" w:line="288" w:lineRule="auto"/>
      <w:ind w:left="720"/>
      <w:contextualSpacing/>
    </w:pPr>
    <w:rPr>
      <w:rFonts w:ascii="Trebuchet MS" w:eastAsia="MS Gothic" w:hAnsi="Trebuchet MS"/>
      <w:i/>
      <w:iCs/>
      <w:color w:val="4F81BD"/>
      <w:spacing w:val="15"/>
      <w:sz w:val="20"/>
      <w:szCs w:val="24"/>
      <w:lang w:eastAsia="en-US"/>
    </w:rPr>
  </w:style>
  <w:style w:type="character" w:customStyle="1" w:styleId="SubtitleChar">
    <w:name w:val="Subtitle Char"/>
    <w:basedOn w:val="DefaultParagraphFont"/>
    <w:link w:val="Subtitle"/>
    <w:uiPriority w:val="11"/>
    <w:rsid w:val="00A9721B"/>
    <w:rPr>
      <w:rFonts w:ascii="Trebuchet MS" w:eastAsia="MS Gothic" w:hAnsi="Trebuchet MS"/>
      <w:i/>
      <w:iCs/>
      <w:color w:val="4F81BD"/>
      <w:spacing w:val="15"/>
      <w:szCs w:val="24"/>
      <w:lang w:eastAsia="en-US"/>
    </w:rPr>
  </w:style>
  <w:style w:type="character" w:styleId="BookTitle">
    <w:name w:val="Book Title"/>
    <w:uiPriority w:val="33"/>
    <w:rsid w:val="00A9721B"/>
    <w:rPr>
      <w:b/>
      <w:bCs/>
      <w:smallCaps/>
      <w:spacing w:val="5"/>
    </w:rPr>
  </w:style>
  <w:style w:type="character" w:customStyle="1" w:styleId="BalloonTextChar">
    <w:name w:val="Balloon Text Char"/>
    <w:link w:val="BalloonText"/>
    <w:uiPriority w:val="99"/>
    <w:semiHidden/>
    <w:rsid w:val="00A9721B"/>
    <w:rPr>
      <w:rFonts w:ascii="ヒラギノ角ゴ Pro W3" w:eastAsia="ヒラギノ角ゴ Pro W3"/>
      <w:sz w:val="18"/>
      <w:szCs w:val="18"/>
    </w:rPr>
  </w:style>
  <w:style w:type="character" w:customStyle="1" w:styleId="HeaderChar">
    <w:name w:val="Header Char"/>
    <w:link w:val="Header"/>
    <w:uiPriority w:val="99"/>
    <w:rsid w:val="00A9721B"/>
    <w:rPr>
      <w:sz w:val="24"/>
    </w:rPr>
  </w:style>
  <w:style w:type="paragraph" w:customStyle="1" w:styleId="List21">
    <w:name w:val="List 21"/>
    <w:basedOn w:val="ListParagraph"/>
    <w:next w:val="List2"/>
    <w:qFormat/>
    <w:rsid w:val="00A9721B"/>
    <w:pPr>
      <w:numPr>
        <w:numId w:val="8"/>
      </w:numPr>
      <w:spacing w:before="120" w:after="120" w:line="288" w:lineRule="auto"/>
      <w:contextualSpacing w:val="0"/>
      <w:jc w:val="left"/>
    </w:pPr>
    <w:rPr>
      <w:rFonts w:ascii="Trebuchet MS" w:hAnsi="Trebuchet MS" w:cs="Times New Roman"/>
      <w:sz w:val="20"/>
      <w:szCs w:val="24"/>
      <w:lang w:eastAsia="en-US"/>
    </w:rPr>
  </w:style>
  <w:style w:type="paragraph" w:styleId="NormalWeb">
    <w:name w:val="Normal (Web)"/>
    <w:basedOn w:val="Normal"/>
    <w:uiPriority w:val="99"/>
    <w:unhideWhenUsed/>
    <w:rsid w:val="00A9721B"/>
    <w:pPr>
      <w:spacing w:before="100" w:beforeAutospacing="1" w:after="100" w:afterAutospacing="1" w:line="288" w:lineRule="auto"/>
      <w:contextualSpacing/>
    </w:pPr>
    <w:rPr>
      <w:rFonts w:ascii="Times" w:hAnsi="Times"/>
      <w:sz w:val="20"/>
      <w:szCs w:val="24"/>
      <w:lang w:eastAsia="en-US"/>
    </w:rPr>
  </w:style>
  <w:style w:type="paragraph" w:customStyle="1" w:styleId="tablecontent">
    <w:name w:val="table content"/>
    <w:basedOn w:val="Normal"/>
    <w:qFormat/>
    <w:rsid w:val="00A9721B"/>
    <w:pPr>
      <w:spacing w:line="288" w:lineRule="auto"/>
      <w:contextualSpacing/>
    </w:pPr>
    <w:rPr>
      <w:rFonts w:ascii="Trebuchet MS" w:eastAsia="Times New Roman" w:hAnsi="Trebuchet MS"/>
      <w:sz w:val="18"/>
      <w:szCs w:val="18"/>
      <w:lang w:eastAsia="en-US"/>
    </w:rPr>
  </w:style>
  <w:style w:type="character" w:customStyle="1" w:styleId="CommentTextChar">
    <w:name w:val="Comment Text Char"/>
    <w:basedOn w:val="DefaultParagraphFont"/>
    <w:link w:val="CommentText"/>
    <w:rsid w:val="00A9721B"/>
    <w:rPr>
      <w:rFonts w:eastAsia="Times New Roman"/>
      <w:lang w:eastAsia="en-US"/>
    </w:rPr>
  </w:style>
  <w:style w:type="character" w:customStyle="1" w:styleId="apple-converted-space">
    <w:name w:val="apple-converted-space"/>
    <w:basedOn w:val="DefaultParagraphFont"/>
    <w:rsid w:val="00A9721B"/>
  </w:style>
  <w:style w:type="character" w:styleId="IntenseReference">
    <w:name w:val="Intense Reference"/>
    <w:uiPriority w:val="32"/>
    <w:rsid w:val="00A9721B"/>
    <w:rPr>
      <w:b/>
      <w:bCs/>
      <w:smallCaps/>
      <w:color w:val="C0504D"/>
      <w:spacing w:val="5"/>
      <w:u w:val="single"/>
    </w:rPr>
  </w:style>
  <w:style w:type="character" w:styleId="SubtleReference">
    <w:name w:val="Subtle Reference"/>
    <w:uiPriority w:val="31"/>
    <w:rsid w:val="00A9721B"/>
    <w:rPr>
      <w:smallCaps/>
      <w:color w:val="C0504D"/>
      <w:u w:val="single"/>
    </w:rPr>
  </w:style>
  <w:style w:type="character" w:styleId="IntenseEmphasis">
    <w:name w:val="Intense Emphasis"/>
    <w:uiPriority w:val="21"/>
    <w:rsid w:val="00A9721B"/>
    <w:rPr>
      <w:b/>
      <w:bCs/>
      <w:i/>
      <w:iCs/>
      <w:color w:val="4F81BD"/>
    </w:rPr>
  </w:style>
  <w:style w:type="character" w:customStyle="1" w:styleId="A10">
    <w:name w:val="A10"/>
    <w:uiPriority w:val="99"/>
    <w:rsid w:val="00A9721B"/>
    <w:rPr>
      <w:rFonts w:cs="Bliss Pro ExtraLight"/>
      <w:color w:val="000000"/>
      <w:sz w:val="30"/>
      <w:szCs w:val="30"/>
    </w:rPr>
  </w:style>
  <w:style w:type="character" w:customStyle="1" w:styleId="A11">
    <w:name w:val="A11"/>
    <w:uiPriority w:val="99"/>
    <w:rsid w:val="00A9721B"/>
    <w:rPr>
      <w:rFonts w:ascii="Bliss Pro Medium" w:hAnsi="Bliss Pro Medium" w:cs="Bliss Pro Medium"/>
      <w:color w:val="000000"/>
      <w:sz w:val="34"/>
      <w:szCs w:val="34"/>
    </w:rPr>
  </w:style>
  <w:style w:type="character" w:customStyle="1" w:styleId="A12">
    <w:name w:val="A12"/>
    <w:uiPriority w:val="99"/>
    <w:rsid w:val="00A9721B"/>
    <w:rPr>
      <w:rFonts w:ascii="Bliss Pro Bold" w:hAnsi="Bliss Pro Bold" w:cs="Bliss Pro Bold"/>
      <w:b/>
      <w:bCs/>
      <w:color w:val="000000"/>
      <w:sz w:val="32"/>
      <w:szCs w:val="32"/>
    </w:rPr>
  </w:style>
  <w:style w:type="character" w:customStyle="1" w:styleId="A13">
    <w:name w:val="A13"/>
    <w:uiPriority w:val="99"/>
    <w:rsid w:val="00A9721B"/>
    <w:rPr>
      <w:rFonts w:ascii="Bliss Pro Regular" w:hAnsi="Bliss Pro Regular" w:cs="Bliss Pro Regular"/>
      <w:color w:val="000000"/>
      <w:sz w:val="26"/>
      <w:szCs w:val="26"/>
    </w:rPr>
  </w:style>
  <w:style w:type="table" w:styleId="LightList-Accent1">
    <w:name w:val="Light List Accent 1"/>
    <w:basedOn w:val="TableNormal"/>
    <w:uiPriority w:val="61"/>
    <w:rsid w:val="00A9721B"/>
    <w:rPr>
      <w:rFonts w:ascii="Cambria" w:hAnsi="Cambria"/>
      <w:sz w:val="24"/>
      <w:szCs w:val="24"/>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2">
    <w:name w:val="Colorful List Accent 2"/>
    <w:basedOn w:val="TableNormal"/>
    <w:uiPriority w:val="72"/>
    <w:rsid w:val="00A9721B"/>
    <w:rPr>
      <w:rFonts w:ascii="Cambria" w:hAnsi="Cambria"/>
      <w:color w:val="000000"/>
      <w:sz w:val="24"/>
      <w:szCs w:val="24"/>
      <w:lang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gi">
    <w:name w:val="gi"/>
    <w:rsid w:val="00A9721B"/>
  </w:style>
  <w:style w:type="paragraph" w:customStyle="1" w:styleId="TableText0">
    <w:name w:val="Table Text"/>
    <w:basedOn w:val="Heading2"/>
    <w:qFormat/>
    <w:rsid w:val="00A9721B"/>
    <w:pPr>
      <w:keepNext w:val="0"/>
      <w:numPr>
        <w:ilvl w:val="0"/>
        <w:numId w:val="0"/>
      </w:numPr>
      <w:spacing w:before="0" w:after="0"/>
      <w:ind w:left="14"/>
    </w:pPr>
    <w:rPr>
      <w:rFonts w:asciiTheme="minorHAnsi" w:hAnsiTheme="minorHAnsi" w:cs="Times New Roman"/>
      <w:b w:val="0"/>
      <w:bCs w:val="0"/>
      <w:iCs w:val="0"/>
      <w:sz w:val="16"/>
      <w:szCs w:val="36"/>
      <w:lang w:val="en-US" w:eastAsia="en-US"/>
    </w:rPr>
  </w:style>
  <w:style w:type="paragraph" w:customStyle="1" w:styleId="BullletCompressed">
    <w:name w:val="Bulllet Compressed"/>
    <w:basedOn w:val="bullet"/>
    <w:qFormat/>
    <w:rsid w:val="00A9721B"/>
    <w:pPr>
      <w:numPr>
        <w:numId w:val="5"/>
      </w:numPr>
      <w:spacing w:after="0" w:line="288" w:lineRule="auto"/>
    </w:pPr>
    <w:rPr>
      <w:rFonts w:eastAsia="MS Mincho" w:cs="Times New Roman"/>
      <w:szCs w:val="24"/>
    </w:rPr>
  </w:style>
  <w:style w:type="paragraph" w:styleId="DocumentMap">
    <w:name w:val="Document Map"/>
    <w:basedOn w:val="Normal"/>
    <w:link w:val="DocumentMapChar"/>
    <w:uiPriority w:val="99"/>
    <w:semiHidden/>
    <w:unhideWhenUsed/>
    <w:rsid w:val="00A9721B"/>
    <w:pPr>
      <w:spacing w:before="0"/>
      <w:contextualSpacing/>
    </w:pPr>
    <w:rPr>
      <w:rFonts w:ascii="Lucida Grande" w:hAnsi="Lucida Grande" w:cs="Lucida Grande"/>
      <w:szCs w:val="24"/>
      <w:lang w:eastAsia="en-US"/>
    </w:rPr>
  </w:style>
  <w:style w:type="character" w:customStyle="1" w:styleId="DocumentMapChar">
    <w:name w:val="Document Map Char"/>
    <w:basedOn w:val="DefaultParagraphFont"/>
    <w:link w:val="DocumentMap"/>
    <w:uiPriority w:val="99"/>
    <w:semiHidden/>
    <w:rsid w:val="00A9721B"/>
    <w:rPr>
      <w:rFonts w:ascii="Lucida Grande" w:hAnsi="Lucida Grande" w:cs="Lucida Grande"/>
      <w:sz w:val="24"/>
      <w:szCs w:val="24"/>
      <w:lang w:eastAsia="en-US"/>
    </w:rPr>
  </w:style>
  <w:style w:type="table" w:styleId="MediumShading1-Accent1">
    <w:name w:val="Medium Shading 1 Accent 1"/>
    <w:basedOn w:val="TableNormal"/>
    <w:uiPriority w:val="63"/>
    <w:rsid w:val="00A9721B"/>
    <w:rPr>
      <w:rFonts w:ascii="Cambria" w:hAnsi="Cambria"/>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dnoteText">
    <w:name w:val="endnote text"/>
    <w:basedOn w:val="Normal"/>
    <w:link w:val="EndnoteTextChar"/>
    <w:uiPriority w:val="99"/>
    <w:semiHidden/>
    <w:unhideWhenUsed/>
    <w:rsid w:val="00A9721B"/>
    <w:pPr>
      <w:spacing w:before="0"/>
      <w:contextualSpacing/>
    </w:pPr>
    <w:rPr>
      <w:rFonts w:ascii="Trebuchet MS" w:hAnsi="Trebuchet MS"/>
      <w:sz w:val="20"/>
      <w:lang w:eastAsia="en-US"/>
    </w:rPr>
  </w:style>
  <w:style w:type="character" w:customStyle="1" w:styleId="EndnoteTextChar">
    <w:name w:val="Endnote Text Char"/>
    <w:basedOn w:val="DefaultParagraphFont"/>
    <w:link w:val="EndnoteText"/>
    <w:uiPriority w:val="99"/>
    <w:semiHidden/>
    <w:rsid w:val="00A9721B"/>
    <w:rPr>
      <w:rFonts w:ascii="Trebuchet MS" w:hAnsi="Trebuchet MS"/>
      <w:lang w:eastAsia="en-US"/>
    </w:rPr>
  </w:style>
  <w:style w:type="character" w:styleId="EndnoteReference">
    <w:name w:val="endnote reference"/>
    <w:basedOn w:val="DefaultParagraphFont"/>
    <w:uiPriority w:val="99"/>
    <w:semiHidden/>
    <w:unhideWhenUsed/>
    <w:rsid w:val="00A9721B"/>
    <w:rPr>
      <w:vertAlign w:val="superscript"/>
    </w:rPr>
  </w:style>
  <w:style w:type="paragraph" w:customStyle="1" w:styleId="TableNoTitle0">
    <w:name w:val="Table_NoTitle"/>
    <w:basedOn w:val="Normal"/>
    <w:next w:val="Tablehead"/>
    <w:rsid w:val="004E391E"/>
    <w:pPr>
      <w:keepNext/>
      <w:keepLines/>
      <w:tabs>
        <w:tab w:val="left" w:pos="794"/>
        <w:tab w:val="left" w:pos="1191"/>
        <w:tab w:val="left" w:pos="1588"/>
        <w:tab w:val="left" w:pos="1985"/>
      </w:tabs>
      <w:overflowPunct w:val="0"/>
      <w:autoSpaceDE w:val="0"/>
      <w:autoSpaceDN w:val="0"/>
      <w:adjustRightInd w:val="0"/>
      <w:spacing w:before="360" w:after="120"/>
      <w:jc w:val="center"/>
    </w:pPr>
    <w:rPr>
      <w:rFonts w:ascii="Cambria" w:eastAsia="Times New Roman" w:hAnsi="Cambria"/>
      <w:b/>
      <w:lang w:eastAsia="en-US"/>
    </w:rPr>
  </w:style>
  <w:style w:type="paragraph" w:customStyle="1" w:styleId="Default">
    <w:name w:val="Default"/>
    <w:rsid w:val="00891DA7"/>
    <w:pPr>
      <w:autoSpaceDE w:val="0"/>
      <w:autoSpaceDN w:val="0"/>
      <w:adjustRightInd w:val="0"/>
    </w:pPr>
    <w:rPr>
      <w:color w:val="000000"/>
      <w:sz w:val="24"/>
      <w:szCs w:val="24"/>
    </w:rPr>
  </w:style>
  <w:style w:type="table" w:customStyle="1" w:styleId="TableGrid31">
    <w:name w:val="Table Grid31"/>
    <w:basedOn w:val="TableNormal"/>
    <w:next w:val="TableGrid"/>
    <w:uiPriority w:val="39"/>
    <w:rsid w:val="006E646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97C70"/>
    <w:rPr>
      <w:rFonts w:ascii="DINPro-Regular" w:hAnsi="DINPro-Regular" w:hint="default"/>
      <w:b w:val="0"/>
      <w:bCs w:val="0"/>
      <w:i w:val="0"/>
      <w:iCs w:val="0"/>
      <w:color w:val="231F20"/>
      <w:sz w:val="20"/>
      <w:szCs w:val="20"/>
    </w:rPr>
  </w:style>
  <w:style w:type="character" w:customStyle="1" w:styleId="fontstyle21">
    <w:name w:val="fontstyle21"/>
    <w:basedOn w:val="DefaultParagraphFont"/>
    <w:rsid w:val="00497C70"/>
    <w:rPr>
      <w:rFonts w:ascii="HelveticaNeue" w:hAnsi="HelveticaNeue" w:hint="default"/>
      <w:b w:val="0"/>
      <w:bCs w:val="0"/>
      <w:i w:val="0"/>
      <w:iCs w:val="0"/>
      <w:color w:val="000002"/>
      <w:sz w:val="18"/>
      <w:szCs w:val="18"/>
    </w:rPr>
  </w:style>
  <w:style w:type="table" w:customStyle="1" w:styleId="ListTable4-Accent51">
    <w:name w:val="List Table 4 - Accent 51"/>
    <w:basedOn w:val="TableNormal"/>
    <w:uiPriority w:val="49"/>
    <w:rsid w:val="0012517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FigureTitle">
    <w:name w:val="Figure Title"/>
    <w:basedOn w:val="Normal"/>
    <w:next w:val="BodyText"/>
    <w:rsid w:val="003A1875"/>
    <w:pPr>
      <w:keepLines/>
      <w:spacing w:after="180"/>
      <w:jc w:val="center"/>
    </w:pPr>
    <w:rPr>
      <w:rFonts w:eastAsia="Times New Roman"/>
      <w:b/>
      <w:sz w:val="22"/>
      <w:lang w:val="en-US" w:eastAsia="en-US"/>
    </w:rPr>
  </w:style>
  <w:style w:type="character" w:customStyle="1" w:styleId="UnresolvedMention1">
    <w:name w:val="Unresolved Mention1"/>
    <w:basedOn w:val="DefaultParagraphFont"/>
    <w:uiPriority w:val="99"/>
    <w:semiHidden/>
    <w:unhideWhenUsed/>
    <w:rsid w:val="006928DF"/>
    <w:rPr>
      <w:color w:val="605E5C"/>
      <w:shd w:val="clear" w:color="auto" w:fill="E1DFDD"/>
    </w:rPr>
  </w:style>
  <w:style w:type="paragraph" w:styleId="ListBullet">
    <w:name w:val="List Bullet"/>
    <w:basedOn w:val="Normal"/>
    <w:unhideWhenUsed/>
    <w:rsid w:val="00DA433F"/>
    <w:pPr>
      <w:numPr>
        <w:numId w:val="28"/>
      </w:numPr>
      <w:contextualSpacing/>
    </w:pPr>
  </w:style>
  <w:style w:type="character" w:customStyle="1" w:styleId="UnresolvedMention2">
    <w:name w:val="Unresolved Mention2"/>
    <w:basedOn w:val="DefaultParagraphFont"/>
    <w:uiPriority w:val="99"/>
    <w:semiHidden/>
    <w:unhideWhenUsed/>
    <w:rsid w:val="008A1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4456308">
      <w:bodyDiv w:val="1"/>
      <w:marLeft w:val="0"/>
      <w:marRight w:val="0"/>
      <w:marTop w:val="0"/>
      <w:marBottom w:val="0"/>
      <w:divBdr>
        <w:top w:val="none" w:sz="0" w:space="0" w:color="auto"/>
        <w:left w:val="none" w:sz="0" w:space="0" w:color="auto"/>
        <w:bottom w:val="none" w:sz="0" w:space="0" w:color="auto"/>
        <w:right w:val="none" w:sz="0" w:space="0" w:color="auto"/>
      </w:divBdr>
    </w:div>
    <w:div w:id="2043893436">
      <w:bodyDiv w:val="1"/>
      <w:marLeft w:val="0"/>
      <w:marRight w:val="0"/>
      <w:marTop w:val="0"/>
      <w:marBottom w:val="0"/>
      <w:divBdr>
        <w:top w:val="none" w:sz="0" w:space="0" w:color="auto"/>
        <w:left w:val="none" w:sz="0" w:space="0" w:color="auto"/>
        <w:bottom w:val="none" w:sz="0" w:space="0" w:color="auto"/>
        <w:right w:val="none" w:sz="0" w:space="0" w:color="auto"/>
      </w:divBdr>
    </w:div>
    <w:div w:id="211997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rba.gov.au/speeches/2018/sp-so-2018-06-26.html" TargetMode="External"/><Relationship Id="rId26" Type="http://schemas.openxmlformats.org/officeDocument/2006/relationships/hyperlink" Target="https://www.rbnz.govt.nz/-/media/ReserveBank/Files/Publications/Bulletins/2018/2018apr81-03.pdf" TargetMode="External"/><Relationship Id="rId39" Type="http://schemas.openxmlformats.org/officeDocument/2006/relationships/hyperlink" Target="https://bitcoinexchangeguide.com/central-bank-of-russia-says-cbdcs-can-minimize-costs-but-privacy-is-a-concern/" TargetMode="External"/><Relationship Id="rId21" Type="http://schemas.openxmlformats.org/officeDocument/2006/relationships/hyperlink" Target="https://www.centralbankbahamas.com/news.php?cmd=view&amp;id=16540" TargetMode="External"/><Relationship Id="rId34" Type="http://schemas.openxmlformats.org/officeDocument/2006/relationships/hyperlink" Target="https://me-confidential.com/15872-palestine-projects-to-issue-digital-currency-to-circumvent-israels-control.html" TargetMode="External"/><Relationship Id="rId42" Type="http://schemas.openxmlformats.org/officeDocument/2006/relationships/hyperlink" Target="http://www.europarl.europa.eu/cmsdata/149902/KIEL_FINAL%20publication.pdf" TargetMode="External"/><Relationship Id="rId47" Type="http://schemas.openxmlformats.org/officeDocument/2006/relationships/hyperlink" Target="https://www.cb.is/publications/publications/publication/2018/10/15/Special-publication-no.-12-Rafkrona-Interim-report/" TargetMode="External"/><Relationship Id="rId50" Type="http://schemas.openxmlformats.org/officeDocument/2006/relationships/hyperlink" Target="https://www.asiatimes.com/2019/04/opinion/tunisia-pioneering-implementation-of-digital-blockchain-for-cashless-economy/" TargetMode="External"/><Relationship Id="rId55" Type="http://schemas.openxmlformats.org/officeDocument/2006/relationships/hyperlink" Target="https://www.boi.org.il/en/NewsAndPublications/PressReleases/Pages/6-11-18.aspx" TargetMode="External"/><Relationship Id="rId63" Type="http://schemas.openxmlformats.org/officeDocument/2006/relationships/image" Target="media/image5.png"/><Relationship Id="rId68" Type="http://schemas.openxmlformats.org/officeDocument/2006/relationships/image" Target="media/image10.gif"/><Relationship Id="rId76" Type="http://schemas.openxmlformats.org/officeDocument/2006/relationships/hyperlink" Target="https://www.riksbank.se/en-gb/payments--cash/e-krona/" TargetMode="External"/><Relationship Id="rId84" Type="http://schemas.openxmlformats.org/officeDocument/2006/relationships/hyperlink" Target="https://www.imf.org/external/index.htm" TargetMode="External"/><Relationship Id="rId89" Type="http://schemas.openxmlformats.org/officeDocument/2006/relationships/hyperlink" Target="https://www.eccb-centralbank.org/news/view/eccb-to-issue-worldas-first-blockchain-based-digital-currency" TargetMode="External"/><Relationship Id="rId7" Type="http://schemas.openxmlformats.org/officeDocument/2006/relationships/settings" Target="settings.xml"/><Relationship Id="rId71" Type="http://schemas.openxmlformats.org/officeDocument/2006/relationships/hyperlink" Target="https://www.ecurrency.net"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sbfgdfc@itu.int" TargetMode="External"/><Relationship Id="rId29" Type="http://schemas.openxmlformats.org/officeDocument/2006/relationships/hyperlink" Target="https://www.coindesk.com/pboc-filings-reveal-big-picture-for-planned-digital-currency/" TargetMode="External"/><Relationship Id="rId11" Type="http://schemas.openxmlformats.org/officeDocument/2006/relationships/header" Target="header1.xml"/><Relationship Id="rId24" Type="http://schemas.openxmlformats.org/officeDocument/2006/relationships/hyperlink" Target="https://www.ccn.com/ukrainian-central-bank-completes-national-digital-currency" TargetMode="External"/><Relationship Id="rId32" Type="http://schemas.openxmlformats.org/officeDocument/2006/relationships/hyperlink" Target="https://www.dawn.com/news/1473310/state-bank-eyes-issuance-of-digital-currency-by-2025" TargetMode="External"/><Relationship Id="rId37" Type="http://schemas.openxmlformats.org/officeDocument/2006/relationships/hyperlink" Target="https://www.bce.fin.ec/index.php/boletines-de-prensa-archivo/item/769-produbanco-grupo-prom%C3%A9rica-suscribe-acuerdo-para-sumar-1197-puntos-de-servicio-financiero-al-sistema-de-dinero-electr%C3%B3nico" TargetMode="External"/><Relationship Id="rId40" Type="http://schemas.openxmlformats.org/officeDocument/2006/relationships/hyperlink" Target="https://cointelegraph.com/news/egypts-central-bank-conducting-feasibility-studies-around-digital-currency-issuance" TargetMode="External"/><Relationship Id="rId45" Type="http://schemas.openxmlformats.org/officeDocument/2006/relationships/hyperlink" Target="https://www.info.gov.hk/gia/general/201805/30/P2018053000387.htm" TargetMode="External"/><Relationship Id="rId53" Type="http://schemas.openxmlformats.org/officeDocument/2006/relationships/hyperlink" Target="https://bitcoinexchangeguide.com/central-bank-of-iran-cbi-finalizes-cryptocurrency-development-of-rial-pegged-national-token" TargetMode="External"/><Relationship Id="rId58" Type="http://schemas.openxmlformats.org/officeDocument/2006/relationships/hyperlink" Target="https://www.centralbanking.com/central-banks/monetary-policy/operating-framework/3604776/bank-of-jamaicas-wynter-on-the-path-to-inflation-targeting" TargetMode="External"/><Relationship Id="rId66" Type="http://schemas.openxmlformats.org/officeDocument/2006/relationships/image" Target="media/image8.gif"/><Relationship Id="rId74" Type="http://schemas.openxmlformats.org/officeDocument/2006/relationships/hyperlink" Target="https://www.linkedin.com/in/tkudrycki/" TargetMode="External"/><Relationship Id="rId79" Type="http://schemas.openxmlformats.org/officeDocument/2006/relationships/hyperlink" Target="https://www.ecurrency.net" TargetMode="External"/><Relationship Id="rId87" Type="http://schemas.openxmlformats.org/officeDocument/2006/relationships/hyperlink" Target="http://www.bitt.com" TargetMode="External"/><Relationship Id="rId5" Type="http://schemas.openxmlformats.org/officeDocument/2006/relationships/numbering" Target="numbering.xml"/><Relationship Id="rId61" Type="http://schemas.openxmlformats.org/officeDocument/2006/relationships/image" Target="media/image3.png"/><Relationship Id="rId82" Type="http://schemas.openxmlformats.org/officeDocument/2006/relationships/hyperlink" Target="mailto:jkiff@imf.org" TargetMode="External"/><Relationship Id="rId90" Type="http://schemas.openxmlformats.org/officeDocument/2006/relationships/header" Target="header3.xml"/><Relationship Id="rId19" Type="http://schemas.openxmlformats.org/officeDocument/2006/relationships/hyperlink" Target="https://www.ccn.com/bank-of-korea-hints-at-issuing-a-central-bank-digital-currency" TargetMode="External"/><Relationship Id="rId14" Type="http://schemas.openxmlformats.org/officeDocument/2006/relationships/footer" Target="footer2.xml"/><Relationship Id="rId22" Type="http://schemas.openxmlformats.org/officeDocument/2006/relationships/hyperlink" Target="https://www.unlock-bc.com/news/2018-11-29/lebanons-central-bank-to-implement-blockchain-technology" TargetMode="External"/><Relationship Id="rId27" Type="http://schemas.openxmlformats.org/officeDocument/2006/relationships/hyperlink" Target="https://www.rbnz.govt.nz/news/2018/06/reserve-bank-digital-currency-too-early-to-say" TargetMode="External"/><Relationship Id="rId30" Type="http://schemas.openxmlformats.org/officeDocument/2006/relationships/hyperlink" Target="https://static.norges-bank.no/contentassets/166efadb3d73419c8c50f9471be26402/nbpapers-1-2018-centralbankdigitalcurrencies.pdf" TargetMode="External"/><Relationship Id="rId35" Type="http://schemas.openxmlformats.org/officeDocument/2006/relationships/hyperlink" Target="https://eccb-centralbank.org/news/view/expression-of-interest-blockchain-technical-adviser" TargetMode="External"/><Relationship Id="rId43" Type="http://schemas.openxmlformats.org/officeDocument/2006/relationships/hyperlink" Target="https://www.bis.org/review/r180518a.htm" TargetMode="External"/><Relationship Id="rId48" Type="http://schemas.openxmlformats.org/officeDocument/2006/relationships/hyperlink" Target="https://www.central-bank.org.tt/sites/default/files/latest-news/Central%20Bank%20of%20Trinidad%20and%20Tobago%20Statement%20on%20Financial%20Technology%20and%20Virtual%20Currencies_0.pdf" TargetMode="External"/><Relationship Id="rId56" Type="http://schemas.openxmlformats.org/officeDocument/2006/relationships/hyperlink" Target="https://www.boi.org.il/en/NewsAndPublications/PressReleases/Pages/6-11-18.aspx" TargetMode="External"/><Relationship Id="rId64" Type="http://schemas.openxmlformats.org/officeDocument/2006/relationships/image" Target="media/image6.png"/><Relationship Id="rId69" Type="http://schemas.openxmlformats.org/officeDocument/2006/relationships/image" Target="media/image11.png"/><Relationship Id="rId77"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hyperlink" Target="https://www.coinwire.com/bank-indonesia-plans-trial-of-the-digital-rupiah" TargetMode="External"/><Relationship Id="rId72" Type="http://schemas.openxmlformats.org/officeDocument/2006/relationships/hyperlink" Target="https://www.riksbank.se/en-gb/payments--cash/e-krona/" TargetMode="External"/><Relationship Id="rId80" Type="http://schemas.openxmlformats.org/officeDocument/2006/relationships/hyperlink" Target="https://www.riksbank.se/en-gb/payments--cash/e-krona/" TargetMode="External"/><Relationship Id="rId85" Type="http://schemas.openxmlformats.org/officeDocument/2006/relationships/image" Target="media/image16.emf"/><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rba.gov.au/speeches/2017/sp-gov-2017-12-13.html" TargetMode="External"/><Relationship Id="rId25" Type="http://schemas.openxmlformats.org/officeDocument/2006/relationships/hyperlink" Target="https://www.bankofcanada.ca/research/digital-currencies-and-fintech/fintech-research" TargetMode="External"/><Relationship Id="rId33" Type="http://schemas.openxmlformats.org/officeDocument/2006/relationships/hyperlink" Target="http://www.nationalbanken.dk/en/publications/Pages/2017/12/Central-bank-digital-currency-in-Denmark.aspx" TargetMode="External"/><Relationship Id="rId38" Type="http://schemas.openxmlformats.org/officeDocument/2006/relationships/hyperlink" Target="https://www.bce.fin.ec/index.php/boletines-de-prensa-archivo/item/1040-a-la-ciudadan%C3%ADa" TargetMode="External"/><Relationship Id="rId46" Type="http://schemas.openxmlformats.org/officeDocument/2006/relationships/hyperlink" Target="https://www.reuters.com/article/swiss-efranc/switzerland-seeks-study-of-state-backed-e-franc-cryptocurrency-idUSL5N1SO3BU" TargetMode="External"/><Relationship Id="rId59" Type="http://schemas.openxmlformats.org/officeDocument/2006/relationships/hyperlink" Target="http://www.bcu.gub.uy/Comunicaciones/Paginas/Billete_Digital_Piloto.aspx" TargetMode="External"/><Relationship Id="rId67" Type="http://schemas.openxmlformats.org/officeDocument/2006/relationships/image" Target="media/image9.gif"/><Relationship Id="rId20" Type="http://schemas.openxmlformats.org/officeDocument/2006/relationships/hyperlink" Target="https://cointelegraph.com/news/s-koreas-central-bank-says-it-wont-issue-a-digital-currency-in-near-future" TargetMode="External"/><Relationship Id="rId41" Type="http://schemas.openxmlformats.org/officeDocument/2006/relationships/hyperlink" Target="https://www.resbank.co.za/Publications/Detail-Item-View/Pages/Publications.aspx?sarbweb=9f333ff2-bf64-4708-a361-076bd6802ff4&amp;sarblist=fdf9dae8-3990-44d4-b89a-c87649f22461&amp;sarbitem=40" TargetMode="External"/><Relationship Id="rId54" Type="http://schemas.openxmlformats.org/officeDocument/2006/relationships/hyperlink" Target="https://cointelegraph.com/news/dubai-government-backed-digital-currency-will-get-its-own-payment-system" TargetMode="External"/><Relationship Id="rId62" Type="http://schemas.openxmlformats.org/officeDocument/2006/relationships/image" Target="media/image4.png"/><Relationship Id="rId70" Type="http://schemas.openxmlformats.org/officeDocument/2006/relationships/image" Target="media/image12.emf"/><Relationship Id="rId75" Type="http://schemas.openxmlformats.org/officeDocument/2006/relationships/hyperlink" Target="https://www.ecurrency.net" TargetMode="External"/><Relationship Id="rId83" Type="http://schemas.openxmlformats.org/officeDocument/2006/relationships/hyperlink" Target="https://www.linkedin.com/in/kiffmeister/" TargetMode="External"/><Relationship Id="rId88" Type="http://schemas.openxmlformats.org/officeDocument/2006/relationships/image" Target="media/image17.png"/><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nc-sa/4.0/" TargetMode="External"/><Relationship Id="rId23" Type="http://schemas.openxmlformats.org/officeDocument/2006/relationships/hyperlink" Target="http://www.newsofbahrain.com/bahrain/42742.html" TargetMode="External"/><Relationship Id="rId28" Type="http://schemas.openxmlformats.org/officeDocument/2006/relationships/hyperlink" Target="http://www.yicai.com/news/5395409.html" TargetMode="External"/><Relationship Id="rId36" Type="http://schemas.openxmlformats.org/officeDocument/2006/relationships/hyperlink" Target="https://bitpinas.com/news/philippines-central-bank-studying-possibility-issuing-digital-currency/" TargetMode="External"/><Relationship Id="rId49" Type="http://schemas.openxmlformats.org/officeDocument/2006/relationships/hyperlink" Target="https://rbidocs.rbi.org.in/rdocs/PressRelease/PDFs/PR264270719E5CB28249D7BCE07C5B3196C904.PDF" TargetMode="External"/><Relationship Id="rId57" Type="http://schemas.openxmlformats.org/officeDocument/2006/relationships/hyperlink" Target="https://www.centralbanking.com/central-banks/currency/digital-currencies/3957116/boe-keeping-open-mind-on-central-bank-digital-currency-carney" TargetMode="External"/><Relationship Id="rId10" Type="http://schemas.openxmlformats.org/officeDocument/2006/relationships/endnotes" Target="endnotes.xml"/><Relationship Id="rId31" Type="http://schemas.openxmlformats.org/officeDocument/2006/relationships/hyperlink" Target="http://www.centralbank.cw/uploads/files/2018-033%20MOU%20CBCS%20Bitt%20Inc-Eng.pdf" TargetMode="External"/><Relationship Id="rId44" Type="http://schemas.openxmlformats.org/officeDocument/2006/relationships/hyperlink" Target="https://www.riksbank.se/en-gb/financial-stability/payments/e-krona" TargetMode="External"/><Relationship Id="rId52" Type="http://schemas.openxmlformats.org/officeDocument/2006/relationships/hyperlink" Target="https://www.ccn.com/ukrainian-central-bank-completes-national-digital-currency" TargetMode="External"/><Relationship Id="rId60" Type="http://schemas.openxmlformats.org/officeDocument/2006/relationships/hyperlink" Target="https://www.suerf.org/docx/l_d1c38a09acc34845c6be3a127a5aacaf_16719_suerf.pdf" TargetMode="External"/><Relationship Id="rId65" Type="http://schemas.openxmlformats.org/officeDocument/2006/relationships/image" Target="media/image7.png"/><Relationship Id="rId73" Type="http://schemas.openxmlformats.org/officeDocument/2006/relationships/image" Target="media/image13.png"/><Relationship Id="rId78" Type="http://schemas.openxmlformats.org/officeDocument/2006/relationships/hyperlink" Target="https://www.linkedin.com/in/tkudrycki/" TargetMode="External"/><Relationship Id="rId81" Type="http://schemas.openxmlformats.org/officeDocument/2006/relationships/image" Target="media/image15.png"/><Relationship Id="rId86" Type="http://schemas.openxmlformats.org/officeDocument/2006/relationships/hyperlink" Target="https://www.suerf.org/docx/s_cf0d02ec99e61a64137b8a2c3b03e030_7025_suerf.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resbank.co.za/AboutUs/Departments/FinancialServices/ProcNew/Lists/News%20and%20Publications/Attachments/40/EOI%20MR01-2019-0.pdf" TargetMode="External"/><Relationship Id="rId2" Type="http://schemas.openxmlformats.org/officeDocument/2006/relationships/hyperlink" Target="https://www.itu.int/en/ITU-T/Workshops-and-Seminars/20180718/Documents/Yao%20Qian.pdf" TargetMode="External"/><Relationship Id="rId1" Type="http://schemas.openxmlformats.org/officeDocument/2006/relationships/hyperlink" Target="https://news.nationalgeographic.com/news/2011/03/110302-solar-flares-sun-storms-earth-danger-carrington-event-science/" TargetMode="External"/><Relationship Id="rId4" Type="http://schemas.openxmlformats.org/officeDocument/2006/relationships/hyperlink" Target="https://blog.fnality.org/news-views/usc-continues-to-evolv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AC035CA-B729-48A4-96D6-2AC4E7BEC430}">
  <we:reference id="wa102925879"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E7786BCF767546BBAB269D326B4FD8" ma:contentTypeVersion="2" ma:contentTypeDescription="Create a new document." ma:contentTypeScope="" ma:versionID="0c330298785323089383d487c2b3a357">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1E2B6-F73A-4F77-A433-10E0079BA3EE}"/>
</file>

<file path=customXml/itemProps2.xml><?xml version="1.0" encoding="utf-8"?>
<ds:datastoreItem xmlns:ds="http://schemas.openxmlformats.org/officeDocument/2006/customXml" ds:itemID="{4364DBFF-27DA-4F7F-817C-6C11E81E35F2}"/>
</file>

<file path=customXml/itemProps3.xml><?xml version="1.0" encoding="utf-8"?>
<ds:datastoreItem xmlns:ds="http://schemas.openxmlformats.org/officeDocument/2006/customXml" ds:itemID="{AC5A9728-E211-4A3B-BCEF-901E9E60B34A}"/>
</file>

<file path=customXml/itemProps4.xml><?xml version="1.0" encoding="utf-8"?>
<ds:datastoreItem xmlns:ds="http://schemas.openxmlformats.org/officeDocument/2006/customXml" ds:itemID="{BD5D6134-E4E1-42EA-B3A5-447CD426169F}"/>
</file>

<file path=docProps/app.xml><?xml version="1.0" encoding="utf-8"?>
<Properties xmlns="http://schemas.openxmlformats.org/officeDocument/2006/extended-properties" xmlns:vt="http://schemas.openxmlformats.org/officeDocument/2006/docPropsVTypes">
  <Template>Normal.dotm</Template>
  <TotalTime>14</TotalTime>
  <Pages>61</Pages>
  <Words>18760</Words>
  <Characters>117687</Characters>
  <Application>Microsoft Office Word</Application>
  <DocSecurity>0</DocSecurity>
  <Lines>980</Lines>
  <Paragraphs>272</Paragraphs>
  <ScaleCrop>false</ScaleCrop>
  <HeadingPairs>
    <vt:vector size="2" baseType="variant">
      <vt:variant>
        <vt:lpstr>Title</vt:lpstr>
      </vt:variant>
      <vt:variant>
        <vt:i4>1</vt:i4>
      </vt:variant>
    </vt:vector>
  </HeadingPairs>
  <TitlesOfParts>
    <vt:vector size="1" baseType="lpstr">
      <vt:lpstr>Technical Report</vt:lpstr>
    </vt:vector>
  </TitlesOfParts>
  <Manager>ITU-T</Manager>
  <Company>International Telecommunication Union (ITU)</Company>
  <LinksUpToDate>false</LinksUpToDate>
  <CharactersWithSpaces>136175</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dc:title>
  <dc:creator>FG DFC Chairman</dc:creator>
  <cp:lastModifiedBy>Restivo, Charlyne</cp:lastModifiedBy>
  <cp:revision>10</cp:revision>
  <cp:lastPrinted>2019-07-16T15:14:00Z</cp:lastPrinted>
  <dcterms:created xsi:type="dcterms:W3CDTF">2019-07-16T14:35:00Z</dcterms:created>
  <dcterms:modified xsi:type="dcterms:W3CDTF">2019-07-16T15:24:00Z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0x010100FAE7786BCF767546BBAB269D326B4FD8</vt:lpwstr>
  </property>
</Properties>
</file>