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19AD" w:rsidRPr="00BC4944" w:rsidTr="00396AA8">
        <w:tc>
          <w:tcPr>
            <w:tcW w:w="9360" w:type="dxa"/>
          </w:tcPr>
          <w:p w:rsidR="009719AD" w:rsidRPr="00396AA8" w:rsidRDefault="009719AD" w:rsidP="00E6091B">
            <w:pPr>
              <w:pStyle w:val="1"/>
              <w:spacing w:before="60" w:after="60"/>
              <w:rPr>
                <w:b/>
                <w:sz w:val="26"/>
              </w:rPr>
            </w:pPr>
            <w:bookmarkStart w:id="0" w:name="OLE_LINK1"/>
            <w:bookmarkStart w:id="1" w:name="OLE_LINK2"/>
            <w:r w:rsidRPr="009719AD">
              <w:rPr>
                <w:rFonts w:ascii="Times New Roman" w:eastAsia="Times New Roman" w:hAnsi="Times New Roman"/>
                <w:b/>
                <w:sz w:val="26"/>
                <w:szCs w:val="24"/>
                <w:lang w:eastAsia="en-US"/>
              </w:rPr>
              <w:t>RESOLUTION GSC-1</w:t>
            </w:r>
            <w:r w:rsidR="00623896">
              <w:rPr>
                <w:rFonts w:ascii="Times New Roman" w:hAnsi="Times New Roman" w:hint="eastAsia"/>
                <w:b/>
                <w:sz w:val="26"/>
                <w:szCs w:val="24"/>
                <w:lang w:eastAsia="ko-KR"/>
              </w:rPr>
              <w:t>7</w:t>
            </w:r>
            <w:r w:rsidRPr="009719AD">
              <w:rPr>
                <w:rFonts w:ascii="Times New Roman" w:eastAsia="Times New Roman" w:hAnsi="Times New Roman"/>
                <w:b/>
                <w:sz w:val="26"/>
                <w:szCs w:val="24"/>
                <w:lang w:eastAsia="en-US"/>
              </w:rPr>
              <w:t>/0</w:t>
            </w:r>
            <w:r w:rsidR="004B5D18">
              <w:rPr>
                <w:rFonts w:ascii="Times New Roman" w:hAnsi="Times New Roman" w:hint="eastAsia"/>
                <w:b/>
                <w:sz w:val="26"/>
                <w:szCs w:val="24"/>
                <w:lang w:eastAsia="ko-KR"/>
              </w:rPr>
              <w:t>8</w:t>
            </w:r>
            <w:r w:rsidRPr="009719AD">
              <w:rPr>
                <w:rFonts w:ascii="Times New Roman" w:eastAsia="Times New Roman" w:hAnsi="Times New Roman"/>
                <w:b/>
                <w:sz w:val="26"/>
                <w:szCs w:val="24"/>
                <w:lang w:eastAsia="en-US"/>
              </w:rPr>
              <w:t xml:space="preserve">: (Plenary) </w:t>
            </w:r>
            <w:r w:rsidR="00903675">
              <w:rPr>
                <w:rFonts w:ascii="Times New Roman" w:hAnsi="Times New Roman" w:hint="eastAsia"/>
                <w:b/>
                <w:sz w:val="26"/>
                <w:szCs w:val="24"/>
                <w:lang w:eastAsia="ko-KR"/>
              </w:rPr>
              <w:t>I</w:t>
            </w:r>
            <w:r w:rsidR="004B5D18">
              <w:rPr>
                <w:rFonts w:ascii="Times New Roman" w:hAnsi="Times New Roman" w:hint="eastAsia"/>
                <w:b/>
                <w:sz w:val="26"/>
                <w:szCs w:val="24"/>
                <w:lang w:eastAsia="ko-KR"/>
              </w:rPr>
              <w:t xml:space="preserve">CT and </w:t>
            </w:r>
            <w:r w:rsidR="00903675">
              <w:rPr>
                <w:rFonts w:ascii="Times New Roman" w:hAnsi="Times New Roman" w:hint="eastAsia"/>
                <w:b/>
                <w:sz w:val="26"/>
                <w:szCs w:val="24"/>
                <w:lang w:eastAsia="ko-KR"/>
              </w:rPr>
              <w:t>t</w:t>
            </w:r>
            <w:r w:rsidR="004B5D18">
              <w:rPr>
                <w:rFonts w:ascii="Times New Roman" w:hAnsi="Times New Roman" w:hint="eastAsia"/>
                <w:b/>
                <w:sz w:val="26"/>
                <w:szCs w:val="24"/>
                <w:lang w:eastAsia="ko-KR"/>
              </w:rPr>
              <w:t>he</w:t>
            </w:r>
            <w:r w:rsidR="00903675">
              <w:rPr>
                <w:rFonts w:ascii="Times New Roman" w:hAnsi="Times New Roman" w:hint="eastAsia"/>
                <w:b/>
                <w:sz w:val="26"/>
                <w:szCs w:val="24"/>
                <w:lang w:eastAsia="ko-KR"/>
              </w:rPr>
              <w:t xml:space="preserve"> </w:t>
            </w:r>
            <w:r w:rsidR="004B5D18">
              <w:rPr>
                <w:rFonts w:ascii="Times New Roman" w:hAnsi="Times New Roman" w:hint="eastAsia"/>
                <w:b/>
                <w:sz w:val="26"/>
                <w:szCs w:val="24"/>
                <w:lang w:eastAsia="ko-KR"/>
              </w:rPr>
              <w:t>Environment</w:t>
            </w:r>
            <w:r w:rsidRPr="009719AD">
              <w:rPr>
                <w:rFonts w:ascii="Times New Roman" w:eastAsia="Times New Roman" w:hAnsi="Times New Roman"/>
                <w:b/>
                <w:sz w:val="26"/>
                <w:szCs w:val="24"/>
                <w:lang w:eastAsia="en-US"/>
              </w:rPr>
              <w:t xml:space="preserve"> (Re</w:t>
            </w:r>
            <w:r w:rsidR="00E6091B">
              <w:rPr>
                <w:rFonts w:ascii="Times New Roman" w:hAnsi="Times New Roman" w:hint="eastAsia"/>
                <w:b/>
                <w:sz w:val="26"/>
                <w:szCs w:val="24"/>
                <w:lang w:eastAsia="ko-KR"/>
              </w:rPr>
              <w:t>vised</w:t>
            </w:r>
            <w:r w:rsidRPr="009719AD">
              <w:rPr>
                <w:rFonts w:ascii="Times New Roman" w:eastAsia="Times New Roman" w:hAnsi="Times New Roman"/>
                <w:b/>
                <w:sz w:val="26"/>
                <w:szCs w:val="24"/>
                <w:lang w:eastAsia="en-US"/>
              </w:rPr>
              <w:t>)</w:t>
            </w:r>
            <w:r w:rsidRPr="00396AA8">
              <w:rPr>
                <w:b/>
                <w:sz w:val="26"/>
              </w:rPr>
              <w:t xml:space="preserve"> </w:t>
            </w:r>
            <w:bookmarkEnd w:id="0"/>
            <w:bookmarkEnd w:id="1"/>
          </w:p>
        </w:tc>
      </w:tr>
    </w:tbl>
    <w:p w:rsidR="003B4C49" w:rsidRDefault="009719AD" w:rsidP="004B5D18">
      <w:pPr>
        <w:spacing w:before="240"/>
        <w:rPr>
          <w:rFonts w:eastAsia="맑은 고딕"/>
          <w:lang w:eastAsia="ko-KR"/>
        </w:rPr>
      </w:pPr>
      <w:r>
        <w:t>The 1</w:t>
      </w:r>
      <w:r w:rsidR="00623896">
        <w:rPr>
          <w:rFonts w:eastAsia="맑은 고딕" w:hint="eastAsia"/>
          <w:lang w:eastAsia="ko-KR"/>
        </w:rPr>
        <w:t>7</w:t>
      </w:r>
      <w:r w:rsidRPr="004B3F13">
        <w:rPr>
          <w:vertAlign w:val="superscript"/>
        </w:rPr>
        <w:t>th</w:t>
      </w:r>
      <w:r>
        <w:t xml:space="preserve"> Global Standards Collaboration meeting (</w:t>
      </w:r>
      <w:proofErr w:type="spellStart"/>
      <w:r w:rsidR="00623896">
        <w:rPr>
          <w:rFonts w:eastAsia="맑은 고딕" w:hint="eastAsia"/>
          <w:lang w:eastAsia="ko-KR"/>
        </w:rPr>
        <w:t>Jeju</w:t>
      </w:r>
      <w:proofErr w:type="spellEnd"/>
      <w:r>
        <w:rPr>
          <w:rFonts w:hint="eastAsia"/>
        </w:rPr>
        <w:t xml:space="preserve">, </w:t>
      </w:r>
      <w:r w:rsidR="00623896">
        <w:rPr>
          <w:rFonts w:eastAsia="맑은 고딕" w:hint="eastAsia"/>
          <w:lang w:eastAsia="ko-KR"/>
        </w:rPr>
        <w:t>13</w:t>
      </w:r>
      <w:r>
        <w:t xml:space="preserve"> –</w:t>
      </w:r>
      <w:r>
        <w:rPr>
          <w:rFonts w:hint="eastAsia"/>
        </w:rPr>
        <w:t xml:space="preserve"> </w:t>
      </w:r>
      <w:r w:rsidR="00623896">
        <w:rPr>
          <w:rFonts w:eastAsia="맑은 고딕" w:hint="eastAsia"/>
          <w:lang w:eastAsia="ko-KR"/>
        </w:rPr>
        <w:t>16</w:t>
      </w:r>
      <w:r>
        <w:t xml:space="preserve"> </w:t>
      </w:r>
      <w:r w:rsidR="00623896">
        <w:rPr>
          <w:rFonts w:eastAsia="맑은 고딕" w:hint="eastAsia"/>
          <w:lang w:eastAsia="ko-KR"/>
        </w:rPr>
        <w:t>May</w:t>
      </w:r>
      <w:r>
        <w:t xml:space="preserve"> 201</w:t>
      </w:r>
      <w:r w:rsidR="00623896">
        <w:rPr>
          <w:rFonts w:eastAsia="맑은 고딕" w:hint="eastAsia"/>
          <w:lang w:eastAsia="ko-KR"/>
        </w:rPr>
        <w:t>3</w:t>
      </w:r>
      <w:r>
        <w:t>)</w:t>
      </w:r>
    </w:p>
    <w:p w:rsidR="004B5D18" w:rsidRDefault="004B5D18" w:rsidP="004B5D18">
      <w:pPr>
        <w:spacing w:before="240"/>
        <w:rPr>
          <w:rFonts w:eastAsia="맑은 고딕"/>
          <w:lang w:eastAsia="ko-KR"/>
        </w:rPr>
      </w:pPr>
    </w:p>
    <w:p w:rsidR="004B5D18" w:rsidRPr="00D76956" w:rsidRDefault="004B5D18" w:rsidP="004B5D18">
      <w:pPr>
        <w:spacing w:before="240"/>
      </w:pPr>
      <w:r w:rsidRPr="00D76956">
        <w:rPr>
          <w:b/>
        </w:rPr>
        <w:t>Recognizing:</w:t>
      </w:r>
      <w:r w:rsidRPr="00D76956">
        <w:t xml:space="preserve"> </w:t>
      </w:r>
    </w:p>
    <w:p w:rsidR="004B5D18" w:rsidRPr="00D76956" w:rsidRDefault="004B5D18" w:rsidP="004B5D18">
      <w:pPr>
        <w:numPr>
          <w:ilvl w:val="0"/>
          <w:numId w:val="1"/>
        </w:numPr>
        <w:spacing w:before="60"/>
        <w:jc w:val="both"/>
      </w:pPr>
      <w:r w:rsidRPr="00D76956">
        <w:t>that the impact of Information and Communications Technologies (ICTs) on the environment is far-reaching, with both positive and negative effects;</w:t>
      </w:r>
    </w:p>
    <w:p w:rsidR="004B5D18" w:rsidRPr="00D76956" w:rsidRDefault="004B5D18" w:rsidP="004B5D18">
      <w:pPr>
        <w:numPr>
          <w:ilvl w:val="0"/>
          <w:numId w:val="1"/>
        </w:numPr>
        <w:spacing w:before="60"/>
        <w:jc w:val="both"/>
      </w:pPr>
      <w:r w:rsidRPr="00D76956">
        <w:t>that among the positive impacts of ICTs are their use in improving environmental monitoring, reducing energy consumption and alleviating air pollution; however, included among the negative effects, related to the ongoing growth of the Internet and rapidly increasing rates of digital adoption, are the creation, deployment and proper disposal of ICTs;</w:t>
      </w:r>
    </w:p>
    <w:p w:rsidR="004B5D18" w:rsidRPr="00D76956" w:rsidRDefault="004B5D18" w:rsidP="004B5D18">
      <w:pPr>
        <w:numPr>
          <w:ilvl w:val="0"/>
          <w:numId w:val="1"/>
        </w:numPr>
        <w:spacing w:before="60"/>
        <w:jc w:val="both"/>
      </w:pPr>
      <w:r w:rsidRPr="00D76956">
        <w:t>that key environmental challenges facing society include energy consumption and measures to enhance efficiency, recycling harmonization, as well as climate change;</w:t>
      </w:r>
    </w:p>
    <w:p w:rsidR="004B5D18" w:rsidRPr="00415180" w:rsidRDefault="004B5D18" w:rsidP="004B5D18">
      <w:pPr>
        <w:numPr>
          <w:ilvl w:val="0"/>
          <w:numId w:val="1"/>
        </w:numPr>
        <w:spacing w:before="60"/>
        <w:jc w:val="both"/>
      </w:pPr>
      <w:r w:rsidRPr="00D76956">
        <w:t xml:space="preserve">that the ICT industry supports sustainable solutions in which its environmental responsibility, societal obligations, and economic viability must be considered on balance; </w:t>
      </w:r>
    </w:p>
    <w:p w:rsidR="004B5D18" w:rsidRPr="00415180" w:rsidRDefault="004B5D18" w:rsidP="004B5D18">
      <w:pPr>
        <w:numPr>
          <w:ilvl w:val="0"/>
          <w:numId w:val="1"/>
        </w:numPr>
        <w:spacing w:before="60"/>
        <w:jc w:val="both"/>
      </w:pPr>
      <w:r w:rsidRPr="00D76956">
        <w:t>that climate change is a concern for all of humanity and requires efforts on the part of all sectors of society, including the ICT sector</w:t>
      </w:r>
      <w:r w:rsidRPr="00415180">
        <w:rPr>
          <w:rFonts w:hint="eastAsia"/>
        </w:rPr>
        <w:t xml:space="preserve">; and </w:t>
      </w:r>
    </w:p>
    <w:p w:rsidR="004B5D18" w:rsidRPr="00D76956" w:rsidRDefault="004B5D18" w:rsidP="004B5D18">
      <w:pPr>
        <w:numPr>
          <w:ilvl w:val="0"/>
          <w:numId w:val="1"/>
        </w:numPr>
        <w:spacing w:before="60"/>
        <w:jc w:val="both"/>
      </w:pPr>
      <w:proofErr w:type="gramStart"/>
      <w:r w:rsidRPr="00BB0172">
        <w:rPr>
          <w:rFonts w:hint="eastAsia"/>
        </w:rPr>
        <w:t>that</w:t>
      </w:r>
      <w:proofErr w:type="gramEnd"/>
      <w:r w:rsidRPr="00BB0172">
        <w:rPr>
          <w:rFonts w:hint="eastAsia"/>
        </w:rPr>
        <w:t xml:space="preserve"> deployment of such sustainable solutions are needed to be encouraged through e.g. smart sustainable cities and market instrument.</w:t>
      </w:r>
      <w:r w:rsidRPr="00D76956">
        <w:t xml:space="preserve"> </w:t>
      </w:r>
    </w:p>
    <w:p w:rsidR="005B66B6" w:rsidRDefault="005B66B6" w:rsidP="00C40821">
      <w:pPr>
        <w:spacing w:before="60"/>
        <w:ind w:left="720"/>
        <w:jc w:val="both"/>
      </w:pPr>
    </w:p>
    <w:p w:rsidR="004B5D18" w:rsidRPr="00D76956" w:rsidRDefault="004B5D18" w:rsidP="004B5D18">
      <w:pPr>
        <w:spacing w:before="240"/>
      </w:pPr>
      <w:r w:rsidRPr="00D76956">
        <w:rPr>
          <w:b/>
        </w:rPr>
        <w:t>Considering:</w:t>
      </w:r>
      <w:r w:rsidRPr="00D76956">
        <w:t xml:space="preserve"> </w:t>
      </w:r>
    </w:p>
    <w:p w:rsidR="004B5D18" w:rsidRPr="00D76956" w:rsidRDefault="004B5D18" w:rsidP="004B5D18">
      <w:pPr>
        <w:numPr>
          <w:ilvl w:val="0"/>
          <w:numId w:val="3"/>
        </w:numPr>
        <w:spacing w:before="60"/>
        <w:jc w:val="both"/>
      </w:pPr>
      <w:r w:rsidRPr="00D76956">
        <w:t>that in Kyoto, in December 1997, the world took concrete steps to mitigate global warming with an international agreement to limit and reduce greenhouse gas</w:t>
      </w:r>
      <w:r>
        <w:t xml:space="preserve"> </w:t>
      </w:r>
      <w:r w:rsidRPr="00D76956">
        <w:t>(GHG) emissions; and the Conference of the Parties of the UN Framework Convention on Climate Change (UNFCCC) will hold its next meeting, COP-1</w:t>
      </w:r>
      <w:r w:rsidRPr="00415180">
        <w:rPr>
          <w:rFonts w:hint="eastAsia"/>
        </w:rPr>
        <w:t>9</w:t>
      </w:r>
      <w:r w:rsidRPr="00D76956">
        <w:t xml:space="preserve">, in </w:t>
      </w:r>
      <w:r w:rsidRPr="00415180">
        <w:t>Warsaw</w:t>
      </w:r>
      <w:r w:rsidRPr="00D76956">
        <w:t xml:space="preserve">, </w:t>
      </w:r>
      <w:r w:rsidRPr="00415180">
        <w:rPr>
          <w:rFonts w:hint="eastAsia"/>
        </w:rPr>
        <w:t>Poland</w:t>
      </w:r>
      <w:r w:rsidRPr="00D76956">
        <w:t xml:space="preserve"> from </w:t>
      </w:r>
      <w:r w:rsidRPr="00415180">
        <w:rPr>
          <w:rFonts w:hint="eastAsia"/>
        </w:rPr>
        <w:t>11 to 12</w:t>
      </w:r>
      <w:r w:rsidRPr="00D76956">
        <w:t xml:space="preserve"> November , 201</w:t>
      </w:r>
      <w:r w:rsidRPr="00415180">
        <w:rPr>
          <w:rFonts w:hint="eastAsia"/>
        </w:rPr>
        <w:t>3</w:t>
      </w:r>
      <w:r w:rsidRPr="00D76956">
        <w:t>;</w:t>
      </w:r>
    </w:p>
    <w:p w:rsidR="004B5D18" w:rsidRPr="00D76956" w:rsidRDefault="004B5D18" w:rsidP="004B5D18">
      <w:pPr>
        <w:numPr>
          <w:ilvl w:val="0"/>
          <w:numId w:val="3"/>
        </w:numPr>
        <w:spacing w:before="60"/>
        <w:jc w:val="both"/>
      </w:pPr>
      <w:r w:rsidRPr="00D76956">
        <w:t>that the United Nations Intergovernmental Panel on Climate Change (IPCC) estimated GHG emission had risen by more than 70% since 1970</w:t>
      </w:r>
      <w:r>
        <w:t>,</w:t>
      </w:r>
      <w:r w:rsidRPr="00D76956">
        <w:t xml:space="preserve"> and this is having a global effect in warming the planet, causing changing weather patterns, rising sea-levels, desertification, shrinking ice cover and other worrying long-term effects. It also foresees a further rise in average global temperatures of between 1.4 and 5.8° Centigrade by 2100;</w:t>
      </w:r>
    </w:p>
    <w:p w:rsidR="004B5D18" w:rsidRPr="00D76956" w:rsidRDefault="004B5D18" w:rsidP="004B5D18">
      <w:pPr>
        <w:numPr>
          <w:ilvl w:val="0"/>
          <w:numId w:val="3"/>
        </w:numPr>
        <w:spacing w:before="60"/>
        <w:jc w:val="both"/>
      </w:pPr>
      <w:r w:rsidRPr="00D76956">
        <w:t xml:space="preserve">that a series of ITU Symposia on ICTs, the Environment and Climate Change  have been held since 2008 and the most recent was </w:t>
      </w:r>
      <w:r w:rsidRPr="00415180">
        <w:rPr>
          <w:rFonts w:hint="eastAsia"/>
        </w:rPr>
        <w:t xml:space="preserve">17 to 21 </w:t>
      </w:r>
      <w:r w:rsidRPr="00D76956">
        <w:t>September 201</w:t>
      </w:r>
      <w:r w:rsidRPr="00415180">
        <w:rPr>
          <w:rFonts w:hint="eastAsia"/>
        </w:rPr>
        <w:t>2</w:t>
      </w:r>
      <w:r w:rsidRPr="00D76956">
        <w:t xml:space="preserve"> in </w:t>
      </w:r>
      <w:r w:rsidRPr="00415180">
        <w:rPr>
          <w:rFonts w:hint="eastAsia"/>
        </w:rPr>
        <w:t>Paris</w:t>
      </w:r>
      <w:r w:rsidRPr="00D76956">
        <w:t xml:space="preserve">, </w:t>
      </w:r>
      <w:r w:rsidRPr="00415180">
        <w:rPr>
          <w:rFonts w:hint="eastAsia"/>
        </w:rPr>
        <w:t>France</w:t>
      </w:r>
      <w:r w:rsidRPr="00D76956">
        <w:t>;</w:t>
      </w:r>
    </w:p>
    <w:p w:rsidR="004B5D18" w:rsidRPr="0019434C" w:rsidRDefault="004B5D18" w:rsidP="004B5D18">
      <w:pPr>
        <w:widowControl w:val="0"/>
        <w:numPr>
          <w:ilvl w:val="0"/>
          <w:numId w:val="3"/>
        </w:numPr>
        <w:spacing w:before="60"/>
        <w:jc w:val="both"/>
      </w:pPr>
      <w:r w:rsidRPr="00D76956">
        <w:t>that the World Telecommunication Standardization Assembly</w:t>
      </w:r>
      <w:r w:rsidRPr="00415180">
        <w:rPr>
          <w:rFonts w:hint="eastAsia"/>
        </w:rPr>
        <w:t xml:space="preserve"> (Dubai, 2012)</w:t>
      </w:r>
      <w:r w:rsidRPr="00D76956">
        <w:t xml:space="preserve"> adopted </w:t>
      </w:r>
      <w:r w:rsidRPr="008B1A8F">
        <w:rPr>
          <w:rFonts w:hint="eastAsia"/>
        </w:rPr>
        <w:t xml:space="preserve"> Resolution 2 (Dubai, 2012)</w:t>
      </w:r>
      <w:r>
        <w:rPr>
          <w:rFonts w:hint="eastAsia"/>
        </w:rPr>
        <w:t xml:space="preserve"> which</w:t>
      </w:r>
      <w:r w:rsidRPr="00D76956">
        <w:t xml:space="preserve"> </w:t>
      </w:r>
      <w:r w:rsidRPr="008B1A8F">
        <w:rPr>
          <w:rFonts w:hint="eastAsia"/>
        </w:rPr>
        <w:t xml:space="preserve">calls upon </w:t>
      </w:r>
      <w:r w:rsidRPr="00D76956">
        <w:t xml:space="preserve">ITU-T Study Group 5, </w:t>
      </w:r>
      <w:r w:rsidRPr="008B1A8F">
        <w:rPr>
          <w:rFonts w:hint="eastAsia"/>
        </w:rPr>
        <w:t>to take a leading role for studying ICT environmental aspects of electromagnetic phenomena and climate change.</w:t>
      </w:r>
    </w:p>
    <w:p w:rsidR="004B5D18" w:rsidRPr="00D76956" w:rsidRDefault="004B5D18" w:rsidP="004B5D18">
      <w:pPr>
        <w:widowControl w:val="0"/>
        <w:numPr>
          <w:ilvl w:val="0"/>
          <w:numId w:val="3"/>
        </w:numPr>
        <w:spacing w:before="60"/>
        <w:jc w:val="both"/>
      </w:pPr>
      <w:r w:rsidRPr="00C218CC">
        <w:lastRenderedPageBreak/>
        <w:t>that the World Telecommunication Standardization Assembly created Resolution 79</w:t>
      </w:r>
      <w:r>
        <w:rPr>
          <w:rFonts w:hint="eastAsia"/>
          <w:lang w:eastAsia="ko-KR"/>
        </w:rPr>
        <w:t xml:space="preserve"> </w:t>
      </w:r>
      <w:r w:rsidRPr="00C218CC">
        <w:t>(Dubai, 2012) entitled “</w:t>
      </w:r>
      <w:r w:rsidRPr="00C218CC">
        <w:rPr>
          <w:i/>
          <w:iCs/>
        </w:rPr>
        <w:t xml:space="preserve">The role of telecommunications/information and communication technologies in handling and controlling e-waste from telecommunication and information technology equipment and methods of treating it” </w:t>
      </w:r>
      <w:r w:rsidRPr="00C218CC">
        <w:t xml:space="preserve">and ITU WCIT-12: Final Acts (Dubai, 2012) Article 8A entitled </w:t>
      </w:r>
      <w:r w:rsidRPr="00C218CC">
        <w:rPr>
          <w:i/>
          <w:iCs/>
        </w:rPr>
        <w:t xml:space="preserve">“Energy efficiency/e-waste”  </w:t>
      </w:r>
      <w:r w:rsidRPr="00C218CC">
        <w:t>which emphasized the need to address the handling and controlling of e-waste and to contribute to global efforts in dealing with e-waste</w:t>
      </w:r>
    </w:p>
    <w:p w:rsidR="004B5D18" w:rsidRPr="00803B0C" w:rsidRDefault="004B5D18" w:rsidP="004B5D18">
      <w:pPr>
        <w:widowControl w:val="0"/>
        <w:numPr>
          <w:ilvl w:val="0"/>
          <w:numId w:val="3"/>
        </w:numPr>
        <w:spacing w:before="60"/>
        <w:jc w:val="both"/>
      </w:pPr>
      <w:r w:rsidRPr="00D76956">
        <w:t>Resolution 73 (</w:t>
      </w:r>
      <w:r w:rsidRPr="008B1A8F">
        <w:rPr>
          <w:rFonts w:hint="eastAsia"/>
        </w:rPr>
        <w:t>Dubai</w:t>
      </w:r>
      <w:r w:rsidRPr="00D76956">
        <w:t>, 20</w:t>
      </w:r>
      <w:r w:rsidRPr="008B1A8F">
        <w:rPr>
          <w:rFonts w:hint="eastAsia"/>
        </w:rPr>
        <w:t>12</w:t>
      </w:r>
      <w:r w:rsidRPr="00D76956">
        <w:t xml:space="preserve">) entitled </w:t>
      </w:r>
      <w:r w:rsidRPr="00D76956">
        <w:rPr>
          <w:i/>
        </w:rPr>
        <w:t>Information and communication technologies</w:t>
      </w:r>
      <w:r w:rsidRPr="008B1A8F">
        <w:rPr>
          <w:rFonts w:hint="eastAsia"/>
          <w:i/>
        </w:rPr>
        <w:t>, the environment</w:t>
      </w:r>
      <w:r w:rsidRPr="00D76956">
        <w:rPr>
          <w:i/>
        </w:rPr>
        <w:t xml:space="preserve"> and climate change</w:t>
      </w:r>
      <w:r w:rsidRPr="00D76956">
        <w:t xml:space="preserve">, which highlighted the need to increase awareness and promote information sharing on the role of ICTs in </w:t>
      </w:r>
      <w:r w:rsidRPr="008B1A8F">
        <w:rPr>
          <w:rFonts w:hint="eastAsia"/>
        </w:rPr>
        <w:t>tackling</w:t>
      </w:r>
      <w:r w:rsidRPr="00D76956">
        <w:t xml:space="preserve"> </w:t>
      </w:r>
      <w:r w:rsidRPr="008B1A8F">
        <w:rPr>
          <w:rFonts w:hint="eastAsia"/>
        </w:rPr>
        <w:t>environmental challenges</w:t>
      </w:r>
      <w:r w:rsidRPr="00D76956">
        <w:t xml:space="preserve">, in particular by </w:t>
      </w:r>
      <w:r w:rsidRPr="008B1A8F">
        <w:rPr>
          <w:rFonts w:hint="eastAsia"/>
        </w:rPr>
        <w:t xml:space="preserve">promoting use of ICTs as cross-cutting tool to assess and reduce GHG emissions, optimize energy and water consumption, minimize e-waste and improve its management, and which supports </w:t>
      </w:r>
      <w:r w:rsidRPr="008B1A8F">
        <w:t>studies on, inter alia, green data centers, smart buildings, green ICT procurement, cloud computing, energy efficiency, smart transportation, smart logistics, smart grids, water management, adaptation to climate change and disaster preparedness, and reduction of GHG emissions</w:t>
      </w:r>
      <w:r w:rsidRPr="00D76956">
        <w:t>;</w:t>
      </w:r>
    </w:p>
    <w:p w:rsidR="004B5D18" w:rsidRPr="00D76956" w:rsidRDefault="004B5D18" w:rsidP="004B5D18">
      <w:pPr>
        <w:widowControl w:val="0"/>
        <w:numPr>
          <w:ilvl w:val="0"/>
          <w:numId w:val="3"/>
        </w:numPr>
        <w:spacing w:before="60"/>
        <w:jc w:val="both"/>
      </w:pPr>
      <w:r w:rsidRPr="00D76956">
        <w:t xml:space="preserve">that the ITU World Telecommunication Policy Forum (Lisbon, 2009) adopted an Opinion entitled </w:t>
      </w:r>
      <w:r w:rsidRPr="00D76956">
        <w:rPr>
          <w:i/>
        </w:rPr>
        <w:t>ICT and the Environment</w:t>
      </w:r>
      <w:r w:rsidRPr="00D76956">
        <w:t>, which underlined the importance of work associated with climate change in its many facets including the global problems of the distribution of food, as well as the need for study on environmentally safe disposal and recycling of discarded ICT equipment;</w:t>
      </w:r>
    </w:p>
    <w:p w:rsidR="004B5D18" w:rsidRPr="00D76956" w:rsidRDefault="004B5D18" w:rsidP="004B5D18">
      <w:pPr>
        <w:widowControl w:val="0"/>
        <w:numPr>
          <w:ilvl w:val="0"/>
          <w:numId w:val="3"/>
        </w:numPr>
        <w:spacing w:before="60"/>
        <w:jc w:val="both"/>
      </w:pPr>
      <w:r w:rsidRPr="00D76956">
        <w:t>that there are many more significant ICT and the Environment related events that have occurred and are planned per attached Event list; ;</w:t>
      </w:r>
    </w:p>
    <w:p w:rsidR="004B5D18" w:rsidRPr="00D76956" w:rsidRDefault="004B5D18" w:rsidP="004B5D18">
      <w:pPr>
        <w:widowControl w:val="0"/>
        <w:numPr>
          <w:ilvl w:val="0"/>
          <w:numId w:val="3"/>
        </w:numPr>
        <w:spacing w:before="60"/>
        <w:jc w:val="both"/>
      </w:pPr>
      <w:r w:rsidRPr="00D76956">
        <w:t xml:space="preserve">that Resolution 182 (Guadalajara, 2010) calls upon the ITU to continue to promote awareness of the environmental issues surrounding ICT equipment and encouraging energy efficiency in the design and manufacture of such equipment to promote a clean and safe environment; </w:t>
      </w:r>
    </w:p>
    <w:p w:rsidR="004B5D18" w:rsidRPr="00D76956" w:rsidRDefault="004B5D18" w:rsidP="004B5D18">
      <w:pPr>
        <w:widowControl w:val="0"/>
        <w:numPr>
          <w:ilvl w:val="0"/>
          <w:numId w:val="3"/>
        </w:numPr>
        <w:spacing w:before="60"/>
        <w:jc w:val="both"/>
      </w:pPr>
      <w:r w:rsidRPr="00D76956">
        <w:t>that there has been significant sustainability related standards work completed by P</w:t>
      </w:r>
      <w:r>
        <w:t xml:space="preserve">articipating </w:t>
      </w:r>
      <w:r w:rsidRPr="00D76956">
        <w:t>S</w:t>
      </w:r>
      <w:r>
        <w:t xml:space="preserve">tandards </w:t>
      </w:r>
      <w:r w:rsidRPr="00D76956">
        <w:t>O</w:t>
      </w:r>
      <w:r>
        <w:t>rganizations (PSO</w:t>
      </w:r>
      <w:r w:rsidRPr="00D76956">
        <w:t>s</w:t>
      </w:r>
      <w:r>
        <w:t>)</w:t>
      </w:r>
      <w:r w:rsidRPr="00D76956">
        <w:t xml:space="preserve"> as reflected in the attached Reference list;</w:t>
      </w:r>
    </w:p>
    <w:p w:rsidR="004B5D18" w:rsidRPr="00D76956" w:rsidRDefault="004B5D18" w:rsidP="004B5D18">
      <w:pPr>
        <w:widowControl w:val="0"/>
        <w:numPr>
          <w:ilvl w:val="0"/>
          <w:numId w:val="3"/>
        </w:numPr>
        <w:spacing w:before="60"/>
        <w:jc w:val="both"/>
      </w:pPr>
      <w:r w:rsidRPr="00D76956">
        <w:t>that there are ongoing standardization activities in the PSOs addressing the standardization aspects of ICT and the Environment;</w:t>
      </w:r>
    </w:p>
    <w:p w:rsidR="004B5D18" w:rsidRPr="00D76956" w:rsidRDefault="004B5D18" w:rsidP="004B5D18">
      <w:pPr>
        <w:widowControl w:val="0"/>
        <w:numPr>
          <w:ilvl w:val="0"/>
          <w:numId w:val="3"/>
        </w:numPr>
        <w:spacing w:before="60"/>
        <w:jc w:val="both"/>
      </w:pPr>
      <w:r w:rsidRPr="00D76956">
        <w:t xml:space="preserve">that the need for continuing studies on the impact of ICT and the environment, the safe disposal and recycling of discarded ICT equipment and environmentally sound management of e-waste were highlighted in </w:t>
      </w:r>
      <w:r w:rsidRPr="00183440">
        <w:t>Resolution</w:t>
      </w:r>
      <w:r w:rsidRPr="00183440">
        <w:rPr>
          <w:rFonts w:hint="eastAsia"/>
        </w:rPr>
        <w:t xml:space="preserve"> 79 (Dubai, 2012)</w:t>
      </w:r>
      <w:r w:rsidRPr="00D76956">
        <w:t>;</w:t>
      </w:r>
    </w:p>
    <w:p w:rsidR="004B5D18" w:rsidRPr="00D76956" w:rsidRDefault="004B5D18" w:rsidP="004B5D18">
      <w:pPr>
        <w:numPr>
          <w:ilvl w:val="0"/>
          <w:numId w:val="3"/>
        </w:numPr>
        <w:spacing w:before="60"/>
        <w:jc w:val="both"/>
      </w:pPr>
      <w:proofErr w:type="gramStart"/>
      <w:r w:rsidRPr="00D76956">
        <w:t>that</w:t>
      </w:r>
      <w:proofErr w:type="gramEnd"/>
      <w:r w:rsidRPr="00D76956">
        <w:t xml:space="preserve"> Universal Power Adapter standardization to reduce the electronic wastes caused by the inability to reuse a power adapter has been undertaken by ITU-T Study Group 5 on Recommendation L.1000 (</w:t>
      </w:r>
      <w:proofErr w:type="spellStart"/>
      <w:r w:rsidRPr="00D76956">
        <w:t>L.adaptor</w:t>
      </w:r>
      <w:proofErr w:type="spellEnd"/>
      <w:r w:rsidRPr="00D76956">
        <w:t>): “Universal power adapter and charger solution for mobile terminals and other hand-held ICT devices”, by IEC on Micro USB battery charger interface and also by IEEE Standards Association. In addition, PSOs are also active in this area;</w:t>
      </w:r>
    </w:p>
    <w:p w:rsidR="004B5D18" w:rsidRPr="00D76956" w:rsidRDefault="004B5D18" w:rsidP="004B5D18">
      <w:pPr>
        <w:numPr>
          <w:ilvl w:val="0"/>
          <w:numId w:val="3"/>
        </w:numPr>
        <w:spacing w:before="60"/>
        <w:jc w:val="both"/>
      </w:pPr>
      <w:r w:rsidRPr="00D76956">
        <w:t>that power feeding systems using High Voltage Alternating and Direct Current (HVAC and HVDC) could result in a high system effectiveness, and could lower energy consumption;</w:t>
      </w:r>
    </w:p>
    <w:p w:rsidR="004B5D18" w:rsidRPr="00D76956" w:rsidRDefault="004B5D18" w:rsidP="004B5D18">
      <w:pPr>
        <w:numPr>
          <w:ilvl w:val="0"/>
          <w:numId w:val="3"/>
        </w:numPr>
        <w:spacing w:before="60"/>
        <w:jc w:val="both"/>
      </w:pPr>
      <w:r w:rsidRPr="00D76956">
        <w:lastRenderedPageBreak/>
        <w:t>that the standardization of Smart Grid and Cloud Computing, which are expected to contribute to reducing energy consumption, is making progress in the PSOs/</w:t>
      </w:r>
      <w:proofErr w:type="spellStart"/>
      <w:r w:rsidRPr="00D76956">
        <w:t>Fora</w:t>
      </w:r>
      <w:proofErr w:type="spellEnd"/>
      <w:r w:rsidRPr="00D76956">
        <w:t xml:space="preserve"> as well as the ITU-T;</w:t>
      </w:r>
    </w:p>
    <w:p w:rsidR="004B5D18" w:rsidRPr="00D76956" w:rsidRDefault="004B5D18" w:rsidP="004B5D18">
      <w:pPr>
        <w:numPr>
          <w:ilvl w:val="0"/>
          <w:numId w:val="3"/>
        </w:numPr>
        <w:spacing w:before="60"/>
        <w:jc w:val="both"/>
      </w:pPr>
      <w:r w:rsidRPr="00D76956">
        <w:t xml:space="preserve">that the use of ICTs can be a key component of energy-efficient standardization work methods could include the reduction of emissions through paperless meetings, virtual conferencing and </w:t>
      </w:r>
      <w:proofErr w:type="spellStart"/>
      <w:r w:rsidRPr="00D76956">
        <w:t>tele</w:t>
      </w:r>
      <w:proofErr w:type="spellEnd"/>
      <w:r w:rsidRPr="00D76956">
        <w:t>-working, which in turn would be beneficial in terms of reducing the need to travel;</w:t>
      </w:r>
    </w:p>
    <w:p w:rsidR="004B5D18" w:rsidRPr="00415180" w:rsidRDefault="004B5D18" w:rsidP="004B5D18">
      <w:pPr>
        <w:numPr>
          <w:ilvl w:val="0"/>
          <w:numId w:val="3"/>
        </w:numPr>
        <w:spacing w:before="60"/>
        <w:jc w:val="both"/>
      </w:pPr>
      <w:r w:rsidRPr="00D76956">
        <w:t>that ICTs can assist in mitigating climate change including through the reduction of GHG emissions in other industry sectors, the introduction and development of energy efficient devices, applications and networks, as well as their environmentally sound disposal;</w:t>
      </w:r>
    </w:p>
    <w:p w:rsidR="004B5D18" w:rsidRPr="00415180" w:rsidRDefault="004B5D18" w:rsidP="004B5D18">
      <w:pPr>
        <w:numPr>
          <w:ilvl w:val="0"/>
          <w:numId w:val="3"/>
        </w:numPr>
        <w:spacing w:before="60"/>
        <w:jc w:val="both"/>
      </w:pPr>
      <w:r w:rsidRPr="00415180">
        <w:rPr>
          <w:rFonts w:hint="eastAsia"/>
        </w:rPr>
        <w:t xml:space="preserve">that </w:t>
      </w:r>
      <w:r w:rsidR="00EB6DB8">
        <w:rPr>
          <w:rFonts w:eastAsia="맑은 고딕" w:hint="eastAsia"/>
          <w:lang w:eastAsia="ko-KR"/>
        </w:rPr>
        <w:t>GSC Members</w:t>
      </w:r>
      <w:r>
        <w:t xml:space="preserve"> are leading several different initiatives on</w:t>
      </w:r>
      <w:r w:rsidRPr="00415180">
        <w:rPr>
          <w:rFonts w:hint="eastAsia"/>
        </w:rPr>
        <w:t xml:space="preserve"> Smart Cities </w:t>
      </w:r>
      <w:r>
        <w:t>that</w:t>
      </w:r>
      <w:r w:rsidRPr="00415180">
        <w:rPr>
          <w:rFonts w:hint="eastAsia"/>
        </w:rPr>
        <w:t xml:space="preserve"> </w:t>
      </w:r>
      <w:r>
        <w:t>analyze ICT solutions and projects that promote environmental sustainability in cities and to identify best practices which could facilitate the implementation of such solutions</w:t>
      </w:r>
    </w:p>
    <w:p w:rsidR="004B5D18" w:rsidRPr="00D76956" w:rsidRDefault="004B5D18" w:rsidP="004B5D18">
      <w:pPr>
        <w:numPr>
          <w:ilvl w:val="0"/>
          <w:numId w:val="3"/>
        </w:numPr>
        <w:spacing w:before="60"/>
        <w:jc w:val="both"/>
      </w:pPr>
      <w:r w:rsidRPr="00D76956">
        <w:t>that the ICT sector contributes in the range of 2-4% to the production of global CO2 emissions, and that the ICT sector has taken clear steps with ICT specific Life-Cycle Assessment (LCA) standards in order to provide basis for assessing its own emissions;</w:t>
      </w:r>
    </w:p>
    <w:p w:rsidR="004B5D18" w:rsidRPr="00D76956" w:rsidRDefault="004B5D18" w:rsidP="004B5D18">
      <w:pPr>
        <w:numPr>
          <w:ilvl w:val="0"/>
          <w:numId w:val="3"/>
        </w:numPr>
        <w:spacing w:before="60"/>
        <w:jc w:val="both"/>
      </w:pPr>
      <w:r w:rsidRPr="00D76956">
        <w:t>that standardization of the methodologies for the analysis, evaluation and quantification of the GHG reductions that may be achieved through the use of I</w:t>
      </w:r>
      <w:bookmarkStart w:id="2" w:name="_GoBack"/>
      <w:bookmarkEnd w:id="2"/>
      <w:r w:rsidRPr="00D76956">
        <w:t>CTs are important, and note the recent progress with the ITU-T Recommendation</w:t>
      </w:r>
      <w:r w:rsidRPr="00415180">
        <w:rPr>
          <w:rFonts w:hint="eastAsia"/>
        </w:rPr>
        <w:t xml:space="preserve"> L.1430 on </w:t>
      </w:r>
      <w:r>
        <w:rPr>
          <w:i/>
          <w:iCs/>
        </w:rPr>
        <w:t xml:space="preserve">Methodology for energy consumption and greenhouse gas emissions impact assessment of Information and Communication Technologies (ICT) in </w:t>
      </w:r>
      <w:r w:rsidRPr="00415180">
        <w:rPr>
          <w:rFonts w:hint="eastAsia"/>
          <w:i/>
          <w:iCs/>
        </w:rPr>
        <w:t>project</w:t>
      </w:r>
      <w:r>
        <w:rPr>
          <w:i/>
          <w:iCs/>
        </w:rPr>
        <w:t>s</w:t>
      </w:r>
      <w:r w:rsidRPr="006305B6">
        <w:rPr>
          <w:rFonts w:hint="eastAsia"/>
          <w:i/>
          <w:iCs/>
        </w:rPr>
        <w:t>,</w:t>
      </w:r>
      <w:r w:rsidRPr="00D76956">
        <w:t xml:space="preserve"> </w:t>
      </w:r>
      <w:r>
        <w:t xml:space="preserve">L.1420 on </w:t>
      </w:r>
      <w:r>
        <w:rPr>
          <w:i/>
          <w:iCs/>
        </w:rPr>
        <w:t>Methodology for energy consumption and greenhouse gas emissions impact assessment of Information and Communication Technologies (ICT) in organizations</w:t>
      </w:r>
      <w:r>
        <w:t xml:space="preserve"> which standardizes </w:t>
      </w:r>
      <w:r w:rsidRPr="00C54AD7">
        <w:rPr>
          <w:rFonts w:eastAsia="맑은 고딕"/>
          <w:lang w:eastAsia="ko-KR"/>
        </w:rPr>
        <w:t xml:space="preserve">the requirements </w:t>
      </w:r>
      <w:r>
        <w:rPr>
          <w:rFonts w:eastAsia="맑은 고딕"/>
          <w:lang w:eastAsia="ko-KR"/>
        </w:rPr>
        <w:t xml:space="preserve">that </w:t>
      </w:r>
      <w:r w:rsidRPr="00C54AD7">
        <w:rPr>
          <w:rFonts w:eastAsia="맑은 고딕"/>
          <w:lang w:eastAsia="ko-KR"/>
        </w:rPr>
        <w:t xml:space="preserve">an organization </w:t>
      </w:r>
      <w:r>
        <w:rPr>
          <w:rFonts w:eastAsia="맑은 고딕"/>
          <w:lang w:eastAsia="ko-KR"/>
        </w:rPr>
        <w:t xml:space="preserve">should </w:t>
      </w:r>
      <w:r w:rsidRPr="00C54AD7">
        <w:rPr>
          <w:rFonts w:eastAsia="맑은 고딕"/>
          <w:lang w:eastAsia="ko-KR"/>
        </w:rPr>
        <w:t>comply with when assessing energy cons</w:t>
      </w:r>
      <w:r>
        <w:rPr>
          <w:rFonts w:eastAsia="맑은 고딕"/>
          <w:lang w:eastAsia="ko-KR"/>
        </w:rPr>
        <w:t>umption and greenhouse gas</w:t>
      </w:r>
      <w:r w:rsidRPr="00C54AD7">
        <w:rPr>
          <w:rFonts w:eastAsia="맑은 고딕"/>
          <w:lang w:eastAsia="ko-KR"/>
        </w:rPr>
        <w:t xml:space="preserve"> emissions</w:t>
      </w:r>
      <w:r>
        <w:rPr>
          <w:bCs/>
        </w:rPr>
        <w:t xml:space="preserve"> </w:t>
      </w:r>
      <w:r>
        <w:t xml:space="preserve">and ITU-T L.1410 on </w:t>
      </w:r>
      <w:r>
        <w:rPr>
          <w:i/>
          <w:iCs/>
        </w:rPr>
        <w:t>Methodology for environmental impacts of Information and Communication Technologies (ICT) goods, networks and services</w:t>
      </w:r>
      <w:r>
        <w:t xml:space="preserve"> which </w:t>
      </w:r>
      <w:r>
        <w:rPr>
          <w:lang w:val="en-GB"/>
        </w:rPr>
        <w:t>provides a standardised way to assess the direct environmental impact of ICT goods, networks and services, as well as their indirect impact on the greenhouse gas emissions of non-ICT industry sectors;</w:t>
      </w:r>
      <w:r>
        <w:rPr>
          <w:rFonts w:hint="eastAsia"/>
          <w:lang w:val="en-GB"/>
        </w:rPr>
        <w:t xml:space="preserve"> </w:t>
      </w:r>
      <w:r w:rsidRPr="00D76956">
        <w:t>and</w:t>
      </w:r>
      <w:r>
        <w:rPr>
          <w:rFonts w:hint="eastAsia"/>
        </w:rPr>
        <w:t xml:space="preserve"> also note</w:t>
      </w:r>
      <w:r w:rsidRPr="00D76956">
        <w:t xml:space="preserve"> the ETSI LCA Standard on LCA Goods, Networks and Services, which provide methodological guidance on assessment</w:t>
      </w:r>
      <w:r w:rsidRPr="006305B6">
        <w:rPr>
          <w:rFonts w:hint="eastAsia"/>
        </w:rPr>
        <w:t xml:space="preserve"> and TTC downstream activity to create JT1410 to be </w:t>
      </w:r>
      <w:r w:rsidRPr="006305B6">
        <w:t>published</w:t>
      </w:r>
      <w:r w:rsidRPr="006305B6">
        <w:rPr>
          <w:rFonts w:hint="eastAsia"/>
        </w:rPr>
        <w:t xml:space="preserve"> in May 2013.</w:t>
      </w:r>
      <w:r w:rsidRPr="00D76956">
        <w:t>;</w:t>
      </w:r>
    </w:p>
    <w:p w:rsidR="004B5D18" w:rsidRPr="00D76956" w:rsidRDefault="004B5D18" w:rsidP="004B5D18">
      <w:pPr>
        <w:numPr>
          <w:ilvl w:val="0"/>
          <w:numId w:val="3"/>
        </w:numPr>
        <w:spacing w:before="60"/>
        <w:jc w:val="both"/>
      </w:pPr>
      <w:r w:rsidRPr="00D76956">
        <w:t>that active standardization work in ITU (both in T and R Sectors) and PSOs include studies on a host of solutions to include RFID and electronic sensors, which can help reduce consumption of energies by, for example, switching on lights only when necessary, or by adjusting heating requirements in buildings, and enabling retailers to reduce the need for warehousing or outlets which consume energy and materials;</w:t>
      </w:r>
    </w:p>
    <w:p w:rsidR="004B5D18" w:rsidRPr="00D76956" w:rsidRDefault="004B5D18" w:rsidP="004B5D18">
      <w:pPr>
        <w:numPr>
          <w:ilvl w:val="0"/>
          <w:numId w:val="3"/>
        </w:numPr>
        <w:spacing w:before="60"/>
        <w:jc w:val="both"/>
      </w:pPr>
      <w:r w:rsidRPr="00D76956">
        <w:t>that ITU-R, playing a vital role in the global management of the radio-frequency spectrum, and the national regulators will provide the necessary radio-frequency spectrum for climate monitoring, disaster prediction, detection and relief;</w:t>
      </w:r>
    </w:p>
    <w:p w:rsidR="004B5D18" w:rsidRPr="00D76956" w:rsidRDefault="004B5D18" w:rsidP="004B5D18">
      <w:pPr>
        <w:numPr>
          <w:ilvl w:val="0"/>
          <w:numId w:val="3"/>
        </w:numPr>
        <w:spacing w:before="60"/>
        <w:jc w:val="both"/>
      </w:pPr>
      <w:r w:rsidRPr="00D76956">
        <w:t xml:space="preserve">that ITU-R and PSOs are studying, not only on increasing service quality and the efficient use of the radio spectrum, but also on energy saving such as a reduction in the </w:t>
      </w:r>
      <w:r w:rsidRPr="00D76956">
        <w:lastRenderedPageBreak/>
        <w:t>number of transmitters and of their transmitted power resulting from the transfer from analogue to digital techniques;</w:t>
      </w:r>
    </w:p>
    <w:p w:rsidR="004B5D18" w:rsidRPr="00D76956" w:rsidRDefault="004B5D18" w:rsidP="004B5D18">
      <w:pPr>
        <w:numPr>
          <w:ilvl w:val="0"/>
          <w:numId w:val="3"/>
        </w:numPr>
        <w:spacing w:before="60"/>
        <w:jc w:val="both"/>
      </w:pPr>
      <w:r w:rsidRPr="00D76956">
        <w:t>that new digital television transmitters consume almost 1/10 the energy of existing analogue versions and require 1/4-1/6 of spectrum per TV program;</w:t>
      </w:r>
    </w:p>
    <w:p w:rsidR="004B5D18" w:rsidRPr="00D76956" w:rsidRDefault="004B5D18" w:rsidP="004B5D18">
      <w:pPr>
        <w:numPr>
          <w:ilvl w:val="0"/>
          <w:numId w:val="3"/>
        </w:numPr>
        <w:spacing w:before="60"/>
        <w:jc w:val="both"/>
      </w:pPr>
      <w:r w:rsidRPr="00D76956">
        <w:t>that cooperative Intelligent Transport Systems (ITS) currently being standardized by PSOs provide an important tool to improve traffic management and traffic efficiency which will strongly contribute to reduced vehicle fuel consumption. ITS has therefore a high priority on the political environmental agenda;</w:t>
      </w:r>
    </w:p>
    <w:p w:rsidR="004B5D18" w:rsidRPr="00D76956" w:rsidRDefault="004B5D18" w:rsidP="004B5D18">
      <w:pPr>
        <w:numPr>
          <w:ilvl w:val="0"/>
          <w:numId w:val="3"/>
        </w:numPr>
        <w:spacing w:before="60"/>
        <w:jc w:val="both"/>
      </w:pPr>
      <w:r w:rsidRPr="00D76956">
        <w:t>that the ITU-T APSC TELEMOV provide global forums for the PSOs and others to discuss ITS standards issues;</w:t>
      </w:r>
    </w:p>
    <w:p w:rsidR="004B5D18" w:rsidRPr="00D76956" w:rsidRDefault="004B5D18" w:rsidP="004B5D18">
      <w:pPr>
        <w:numPr>
          <w:ilvl w:val="0"/>
          <w:numId w:val="3"/>
        </w:numPr>
        <w:spacing w:before="60"/>
        <w:jc w:val="both"/>
      </w:pPr>
      <w:r w:rsidRPr="00D76956">
        <w:t>that the implementation of Next Generation Networks (NGN) may result in significant energy savings;</w:t>
      </w:r>
    </w:p>
    <w:p w:rsidR="004B5D18" w:rsidRPr="00D76956" w:rsidRDefault="004B5D18" w:rsidP="004B5D18">
      <w:pPr>
        <w:numPr>
          <w:ilvl w:val="0"/>
          <w:numId w:val="3"/>
        </w:numPr>
        <w:spacing w:before="60"/>
        <w:jc w:val="both"/>
      </w:pPr>
      <w:r w:rsidRPr="00D76956">
        <w:t>that enhanced collaboration and cooperation is encouraged on existing and planned “Green” initiatives and activities being undertaken by the PSOs, including ATIS, ETSI, TIA, and others;</w:t>
      </w:r>
    </w:p>
    <w:p w:rsidR="004B5D18" w:rsidRPr="00D76956" w:rsidRDefault="004B5D18" w:rsidP="004B5D18">
      <w:pPr>
        <w:numPr>
          <w:ilvl w:val="0"/>
          <w:numId w:val="3"/>
        </w:numPr>
        <w:spacing w:before="60"/>
        <w:jc w:val="both"/>
      </w:pPr>
      <w:r w:rsidRPr="00D76956">
        <w:t>that the World Resources Institute (WRI) and the World Business Council for Sustainable Development (WBCSD)</w:t>
      </w:r>
      <w:r w:rsidRPr="00415180">
        <w:rPr>
          <w:rFonts w:hint="eastAsia"/>
        </w:rPr>
        <w:t xml:space="preserve"> establishes </w:t>
      </w:r>
      <w:r w:rsidRPr="00D76956">
        <w:t>standardization of GHG Protocol Initiative Scope 3, which provides requirements and guidance for companies and other organizations to prepare and publicly report a GHG emissions inventory that includes indirect emissions resulting from value chain activities;</w:t>
      </w:r>
    </w:p>
    <w:p w:rsidR="004B5D18" w:rsidRPr="00D76956" w:rsidRDefault="004B5D18" w:rsidP="004B5D18">
      <w:pPr>
        <w:numPr>
          <w:ilvl w:val="0"/>
          <w:numId w:val="3"/>
        </w:numPr>
        <w:spacing w:before="60"/>
        <w:jc w:val="both"/>
      </w:pPr>
      <w:r w:rsidRPr="00D76956">
        <w:t xml:space="preserve">that International </w:t>
      </w:r>
      <w:proofErr w:type="spellStart"/>
      <w:r w:rsidRPr="00D76956">
        <w:t>Electrotechnical</w:t>
      </w:r>
      <w:proofErr w:type="spellEnd"/>
      <w:r w:rsidRPr="00D76956">
        <w:t xml:space="preserve"> Commission (IEC) TC</w:t>
      </w:r>
      <w:r>
        <w:t xml:space="preserve"> </w:t>
      </w:r>
      <w:r w:rsidRPr="00D76956">
        <w:t>111 is aiming for standardization of quantification methodology of GHG emissions for electrical and electronic products and systems in 2012;</w:t>
      </w:r>
      <w:r>
        <w:t xml:space="preserve"> and</w:t>
      </w:r>
    </w:p>
    <w:p w:rsidR="004B5D18" w:rsidRPr="00D76956" w:rsidRDefault="004B5D18" w:rsidP="004B5D18">
      <w:pPr>
        <w:numPr>
          <w:ilvl w:val="0"/>
          <w:numId w:val="3"/>
        </w:numPr>
        <w:spacing w:before="60"/>
        <w:jc w:val="both"/>
      </w:pPr>
      <w:proofErr w:type="gramStart"/>
      <w:r w:rsidRPr="00D76956">
        <w:t>that</w:t>
      </w:r>
      <w:proofErr w:type="gramEnd"/>
      <w:r w:rsidRPr="00D76956">
        <w:t xml:space="preserve"> International Organization for Standardization (ISO) TC 207 is aiming for standardization of ISO 14067: Carbon footprint (CFP) of products</w:t>
      </w:r>
      <w:r>
        <w:t xml:space="preserve"> </w:t>
      </w:r>
      <w:r w:rsidRPr="00D76956">
        <w:t>--</w:t>
      </w:r>
      <w:r>
        <w:t xml:space="preserve"> </w:t>
      </w:r>
      <w:r w:rsidRPr="00D76956">
        <w:t>Requirements and guidelines for q</w:t>
      </w:r>
      <w:r>
        <w:t>uantification and communication.</w:t>
      </w:r>
    </w:p>
    <w:p w:rsidR="004B5D18" w:rsidRPr="00D76956" w:rsidRDefault="004B5D18" w:rsidP="004B5D18">
      <w:pPr>
        <w:spacing w:before="240"/>
      </w:pPr>
      <w:r w:rsidRPr="00D76956">
        <w:rPr>
          <w:b/>
        </w:rPr>
        <w:t>Resolves:</w:t>
      </w:r>
      <w:r w:rsidRPr="00D76956">
        <w:t xml:space="preserve"> </w:t>
      </w:r>
    </w:p>
    <w:p w:rsidR="004B5D18" w:rsidRPr="00D76956" w:rsidRDefault="004B5D18" w:rsidP="004B5D18">
      <w:pPr>
        <w:numPr>
          <w:ilvl w:val="0"/>
          <w:numId w:val="4"/>
        </w:numPr>
        <w:spacing w:before="60"/>
        <w:jc w:val="both"/>
      </w:pPr>
      <w:r w:rsidRPr="00D76956">
        <w:t>to encourage ongoing cooperation and collaboration among national, regional and international activities that relate to standardization in the field of ICT and the Environment, including issues relating to energy consumption and measures to enhance efficiency, recycling, as well as climate change;</w:t>
      </w:r>
    </w:p>
    <w:p w:rsidR="004B5D18" w:rsidRDefault="004B5D18" w:rsidP="004B5D18">
      <w:pPr>
        <w:numPr>
          <w:ilvl w:val="0"/>
          <w:numId w:val="4"/>
        </w:numPr>
        <w:spacing w:before="60"/>
        <w:jc w:val="both"/>
      </w:pPr>
      <w:r w:rsidRPr="00D76956">
        <w:t>to support “ICT and the Environment” as a High Interest Subject of GSC;</w:t>
      </w:r>
    </w:p>
    <w:p w:rsidR="004B5D18" w:rsidRPr="00D76956" w:rsidRDefault="004B5D18" w:rsidP="004B5D18">
      <w:pPr>
        <w:widowControl w:val="0"/>
        <w:numPr>
          <w:ilvl w:val="0"/>
          <w:numId w:val="4"/>
        </w:numPr>
        <w:spacing w:before="60"/>
        <w:jc w:val="both"/>
      </w:pPr>
      <w:r w:rsidRPr="00502600">
        <w:t xml:space="preserve">to </w:t>
      </w:r>
      <w:r>
        <w:t xml:space="preserve">continue to </w:t>
      </w:r>
      <w:r w:rsidRPr="00502600">
        <w:t>provide general support in the efforts related to the development of ICT standard</w:t>
      </w:r>
      <w:r w:rsidR="00EB6DB8">
        <w:rPr>
          <w:rFonts w:eastAsia="맑은 고딕" w:hint="eastAsia"/>
          <w:lang w:eastAsia="ko-KR"/>
        </w:rPr>
        <w:t>s</w:t>
      </w:r>
      <w:r w:rsidRPr="00502600">
        <w:t xml:space="preserve"> for sustainability</w:t>
      </w:r>
    </w:p>
    <w:p w:rsidR="004B5D18" w:rsidRPr="00D76956" w:rsidRDefault="004B5D18" w:rsidP="004B5D18">
      <w:pPr>
        <w:numPr>
          <w:ilvl w:val="0"/>
          <w:numId w:val="4"/>
        </w:numPr>
        <w:spacing w:before="60"/>
        <w:jc w:val="both"/>
      </w:pPr>
      <w:r w:rsidRPr="00D76956">
        <w:t>to encourage PSOs and ITU-T to share their views and experiences with all groups dealing with ICTs and the environment;</w:t>
      </w:r>
      <w:r>
        <w:t xml:space="preserve"> and</w:t>
      </w:r>
    </w:p>
    <w:p w:rsidR="004B5D18" w:rsidRPr="00D76956" w:rsidRDefault="004B5D18" w:rsidP="004B5D18">
      <w:pPr>
        <w:numPr>
          <w:ilvl w:val="0"/>
          <w:numId w:val="4"/>
        </w:numPr>
        <w:spacing w:before="60"/>
        <w:jc w:val="both"/>
      </w:pPr>
      <w:r w:rsidRPr="00D76956">
        <w:t>to bring a spirit of collaboration and mutual support to the development of ICTs by taking the environme</w:t>
      </w:r>
      <w:r>
        <w:t>ntal aspects into consideration,</w:t>
      </w:r>
      <w:r w:rsidRPr="00D76956">
        <w:t xml:space="preserve"> and in particular addressing:</w:t>
      </w:r>
    </w:p>
    <w:p w:rsidR="004B5D18" w:rsidRPr="00D76956" w:rsidRDefault="004B5D18" w:rsidP="004B5D18">
      <w:pPr>
        <w:tabs>
          <w:tab w:val="left" w:pos="960"/>
        </w:tabs>
        <w:spacing w:before="60"/>
        <w:ind w:leftChars="300" w:left="958" w:hangingChars="99" w:hanging="238"/>
      </w:pPr>
      <w:r w:rsidRPr="00D76956">
        <w:t xml:space="preserve">- </w:t>
      </w:r>
      <w:r>
        <w:tab/>
      </w:r>
      <w:proofErr w:type="gramStart"/>
      <w:r w:rsidRPr="00D76956">
        <w:t>awareness</w:t>
      </w:r>
      <w:proofErr w:type="gramEnd"/>
      <w:r w:rsidRPr="00D76956">
        <w:t xml:space="preserve"> of the changing environment, impacts of ICTs and the need for sustainable solutions,</w:t>
      </w:r>
    </w:p>
    <w:p w:rsidR="004B5D18" w:rsidRPr="00D76956" w:rsidRDefault="004B5D18" w:rsidP="004B5D18">
      <w:pPr>
        <w:tabs>
          <w:tab w:val="left" w:pos="960"/>
        </w:tabs>
        <w:spacing w:before="60"/>
        <w:ind w:leftChars="300" w:left="958" w:hangingChars="99" w:hanging="238"/>
      </w:pPr>
      <w:r w:rsidRPr="00D76956">
        <w:lastRenderedPageBreak/>
        <w:t>-</w:t>
      </w:r>
      <w:r>
        <w:tab/>
      </w:r>
      <w:proofErr w:type="gramStart"/>
      <w:r w:rsidRPr="00D76956">
        <w:t>energy-</w:t>
      </w:r>
      <w:proofErr w:type="gramEnd"/>
      <w:r w:rsidRPr="00D76956">
        <w:t>saving definitions, reference models, gap analysis, measurement methods, quantification methods, and requirements in a harmonized way,</w:t>
      </w:r>
    </w:p>
    <w:p w:rsidR="004B5D18" w:rsidRDefault="004B5D18" w:rsidP="004B5D18">
      <w:pPr>
        <w:tabs>
          <w:tab w:val="left" w:pos="960"/>
        </w:tabs>
        <w:spacing w:before="60"/>
        <w:ind w:leftChars="300" w:left="958" w:hangingChars="99" w:hanging="238"/>
      </w:pPr>
      <w:r>
        <w:t>-</w:t>
      </w:r>
      <w:r>
        <w:tab/>
      </w:r>
      <w:proofErr w:type="gramStart"/>
      <w:r w:rsidRPr="00D76956">
        <w:t>development</w:t>
      </w:r>
      <w:proofErr w:type="gramEnd"/>
      <w:r w:rsidRPr="00D76956">
        <w:t xml:space="preserve"> of ICT standardization that can have a positive impact on the environment,</w:t>
      </w:r>
    </w:p>
    <w:p w:rsidR="004B5D18" w:rsidRPr="00D76956" w:rsidRDefault="004B5D18" w:rsidP="004B5D18">
      <w:pPr>
        <w:tabs>
          <w:tab w:val="left" w:pos="960"/>
        </w:tabs>
        <w:spacing w:before="60"/>
        <w:ind w:leftChars="300" w:left="958" w:hangingChars="99" w:hanging="238"/>
      </w:pPr>
      <w:r>
        <w:t>-</w:t>
      </w:r>
      <w:r>
        <w:tab/>
      </w:r>
      <w:proofErr w:type="gramStart"/>
      <w:r w:rsidRPr="00D76956">
        <w:t>electronic</w:t>
      </w:r>
      <w:proofErr w:type="gramEnd"/>
      <w:r w:rsidRPr="00D76956">
        <w:t xml:space="preserve"> working methods and its tools,</w:t>
      </w:r>
    </w:p>
    <w:p w:rsidR="004B5D18" w:rsidRPr="00D76956" w:rsidRDefault="004B5D18" w:rsidP="004B5D18">
      <w:pPr>
        <w:tabs>
          <w:tab w:val="left" w:pos="960"/>
        </w:tabs>
        <w:spacing w:before="60"/>
        <w:ind w:leftChars="300" w:left="958" w:hangingChars="99" w:hanging="238"/>
      </w:pPr>
      <w:r>
        <w:t>-</w:t>
      </w:r>
      <w:r>
        <w:tab/>
      </w:r>
      <w:r w:rsidRPr="00D76956">
        <w:t>use of ICTs (e.g. USN, RFIDs etc.) for monitoring and measuring climate change,</w:t>
      </w:r>
      <w:r>
        <w:t xml:space="preserve"> and</w:t>
      </w:r>
    </w:p>
    <w:p w:rsidR="004B5D18" w:rsidRPr="00D76956" w:rsidRDefault="004B5D18" w:rsidP="004B5D18">
      <w:pPr>
        <w:widowControl w:val="0"/>
        <w:tabs>
          <w:tab w:val="left" w:pos="960"/>
        </w:tabs>
        <w:spacing w:before="60"/>
        <w:ind w:leftChars="300" w:left="958" w:hangingChars="99" w:hanging="238"/>
      </w:pPr>
      <w:r w:rsidRPr="00D76956">
        <w:t xml:space="preserve">- </w:t>
      </w:r>
      <w:r>
        <w:tab/>
      </w:r>
      <w:proofErr w:type="gramStart"/>
      <w:r w:rsidRPr="00D76956">
        <w:t>the</w:t>
      </w:r>
      <w:proofErr w:type="gramEnd"/>
      <w:r w:rsidRPr="00D76956">
        <w:t xml:space="preserve"> study </w:t>
      </w:r>
      <w:r w:rsidRPr="00AC7FD5">
        <w:t>of</w:t>
      </w:r>
      <w:r w:rsidRPr="00AC7FD5">
        <w:rPr>
          <w:rFonts w:hint="eastAsia"/>
          <w:lang w:eastAsia="ko-KR"/>
        </w:rPr>
        <w:t xml:space="preserve"> e-waste including</w:t>
      </w:r>
      <w:r w:rsidRPr="00AC7FD5">
        <w:t xml:space="preserve"> e</w:t>
      </w:r>
      <w:r w:rsidRPr="00D76956">
        <w:t>nvironmentally safe disposal and recycling of discarded ICT equipment.</w:t>
      </w:r>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autoSpaceDE w:val="0"/>
        <w:autoSpaceDN w:val="0"/>
        <w:adjustRightInd w:val="0"/>
        <w:ind w:left="180"/>
        <w:jc w:val="center"/>
      </w:pPr>
      <w:r w:rsidRPr="00D76956">
        <w:rPr>
          <w:rFonts w:eastAsia="Times New Roman"/>
          <w:szCs w:val="21"/>
        </w:rPr>
        <w:t>_______________</w:t>
      </w:r>
    </w:p>
    <w:p w:rsidR="004B5D18" w:rsidRPr="00D76956" w:rsidRDefault="004B5D18" w:rsidP="004B5D18"/>
    <w:p w:rsidR="004B5D18" w:rsidRPr="002B5111" w:rsidRDefault="004B5D18" w:rsidP="004B5D18">
      <w:pPr>
        <w:widowControl w:val="0"/>
        <w:jc w:val="both"/>
        <w:rPr>
          <w:b/>
        </w:rPr>
      </w:pPr>
      <w:r w:rsidRPr="00D76956">
        <w:br w:type="page"/>
      </w:r>
      <w:r w:rsidRPr="002B5111">
        <w:rPr>
          <w:b/>
        </w:rPr>
        <w:lastRenderedPageBreak/>
        <w:t>Attachment</w:t>
      </w:r>
      <w:r>
        <w:rPr>
          <w:b/>
        </w:rPr>
        <w:t xml:space="preserve"> A</w:t>
      </w:r>
    </w:p>
    <w:p w:rsidR="004B5D18" w:rsidRPr="00D76956" w:rsidRDefault="004B5D18" w:rsidP="004B5D18">
      <w:pPr>
        <w:spacing w:before="240"/>
      </w:pPr>
      <w:r w:rsidRPr="00D76956">
        <w:rPr>
          <w:b/>
        </w:rPr>
        <w:t>List of references</w:t>
      </w:r>
      <w:r>
        <w:rPr>
          <w:b/>
        </w:rPr>
        <w:t xml:space="preserve"> for RESOLUTION GSC-1</w:t>
      </w:r>
      <w:r>
        <w:rPr>
          <w:rFonts w:hint="eastAsia"/>
          <w:b/>
        </w:rPr>
        <w:t>7</w:t>
      </w:r>
      <w:r>
        <w:rPr>
          <w:b/>
        </w:rPr>
        <w:t>/08: (Plenary) ICT and the Environment</w:t>
      </w:r>
      <w:r w:rsidRPr="00D76956">
        <w:rPr>
          <w:b/>
        </w:rPr>
        <w:t xml:space="preserve"> </w:t>
      </w:r>
    </w:p>
    <w:p w:rsidR="004B5D18" w:rsidRPr="00D76956" w:rsidRDefault="004B5D18" w:rsidP="004B5D18">
      <w:pPr>
        <w:widowControl w:val="0"/>
        <w:autoSpaceDE w:val="0"/>
        <w:autoSpaceDN w:val="0"/>
        <w:adjustRightInd w:val="0"/>
      </w:pPr>
    </w:p>
    <w:p w:rsidR="004B5D18" w:rsidRPr="00D76956" w:rsidRDefault="004B5D18" w:rsidP="004B5D18">
      <w:pPr>
        <w:widowControl w:val="0"/>
        <w:autoSpaceDE w:val="0"/>
        <w:autoSpaceDN w:val="0"/>
        <w:adjustRightInd w:val="0"/>
        <w:jc w:val="both"/>
        <w:rPr>
          <w:b/>
        </w:rPr>
      </w:pPr>
      <w:r w:rsidRPr="00D76956">
        <w:rPr>
          <w:b/>
        </w:rPr>
        <w:t>ATIS</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ATIS-0600015.2009, February 2009, Energy Efficiency for Telecommunication Equipment: Methodology for Measurement and Reporting – General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ATIS-0600015.01.2009, February 2009, Energy Efficiency for Telecommunication Equipment: Methodology for Measurement and Reporting -- Server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ATIS-0600015.02.2009, February 2009, Energy Efficiency for Telecommunication Equipment: Methodology for Measurement and Reporting – Transport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ATIS-0600015.03.2009, July 2009, Energy Efficiency for Telecommunications Equipment: Methodology for Measurement and Reporting for Router and Ethernet Switch Products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ATIS-0600015.04.2010, January 2010, Energy Efficiency for Telecommunication Equipment: Methodology for Measurement and Reporting DC Power Plant – Rectifier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ATIS-0600015.05, April 2010, Energy Efficiency for Telecommunication Equipment: Methodology for Measurement and Reporting Facility Energy Efficienc</w:t>
      </w:r>
      <w:r>
        <w:t>y</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ATIS-0600010.03.2011, May, 2011, Heat Dissipation Requirements for Network Telecommunications Equipment</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 xml:space="preserve">ATIS-0600009.2007, May, 2007, </w:t>
      </w:r>
      <w:proofErr w:type="spellStart"/>
      <w:r w:rsidRPr="00D76956">
        <w:t>RoHS</w:t>
      </w:r>
      <w:proofErr w:type="spellEnd"/>
      <w:r w:rsidRPr="00D76956">
        <w:t>-Compliant Plating Standard for Structural Metals, Bus Bars, and Fasteners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 xml:space="preserve">ATIS-0600020.2010, January, 2010, Test Requirements for </w:t>
      </w:r>
      <w:proofErr w:type="spellStart"/>
      <w:r w:rsidRPr="00D76956">
        <w:t>Pb</w:t>
      </w:r>
      <w:proofErr w:type="spellEnd"/>
      <w:r w:rsidRPr="00D76956">
        <w:t>-Free Circuit Packs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 xml:space="preserve">ATIS-0600019.2009, January, 2009, Test Requirements for </w:t>
      </w:r>
      <w:proofErr w:type="spellStart"/>
      <w:r w:rsidRPr="00D76956">
        <w:t>Pb</w:t>
      </w:r>
      <w:proofErr w:type="spellEnd"/>
      <w:r w:rsidRPr="00D76956">
        <w:t>-free Subassembly Modules</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spacing w:before="240"/>
        <w:jc w:val="both"/>
      </w:pPr>
      <w:r w:rsidRPr="00D76956">
        <w:rPr>
          <w:b/>
        </w:rPr>
        <w:t>ETSI</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ind w:left="480" w:hanging="240"/>
        <w:jc w:val="both"/>
      </w:pPr>
      <w:r>
        <w:t>-</w:t>
      </w:r>
      <w:r>
        <w:tab/>
      </w:r>
      <w:r w:rsidRPr="00D76956">
        <w:t>ETSI SR 002 959 V.1.1.1 “Electronic Working Tools; Roadmap including recommendations for the deployment and usage of electronic working tools in the ETSI standardization process”</w:t>
      </w:r>
    </w:p>
    <w:p w:rsidR="004B5D18" w:rsidRPr="00D76956" w:rsidRDefault="004B5D18" w:rsidP="004B5D18">
      <w:pPr>
        <w:autoSpaceDE w:val="0"/>
        <w:autoSpaceDN w:val="0"/>
        <w:adjustRightInd w:val="0"/>
        <w:spacing w:before="60"/>
        <w:ind w:left="475"/>
        <w:jc w:val="both"/>
      </w:pPr>
      <w:r w:rsidRPr="00D76956">
        <w:t>Published in August 2011</w:t>
      </w:r>
      <w:r>
        <w:t>;</w:t>
      </w:r>
    </w:p>
    <w:p w:rsidR="004B5D18" w:rsidRPr="00D76956" w:rsidRDefault="004B5D18" w:rsidP="004B5D18">
      <w:pPr>
        <w:autoSpaceDE w:val="0"/>
        <w:autoSpaceDN w:val="0"/>
        <w:adjustRightInd w:val="0"/>
        <w:ind w:left="480"/>
        <w:jc w:val="both"/>
      </w:pPr>
      <w:r w:rsidRPr="00D76956">
        <w:t>This is a Special Report</w:t>
      </w:r>
      <w:r>
        <w:t>;</w:t>
      </w:r>
    </w:p>
    <w:p w:rsidR="004B5D18" w:rsidRPr="00D76956" w:rsidRDefault="004B5D18" w:rsidP="004B5D18">
      <w:pPr>
        <w:autoSpaceDE w:val="0"/>
        <w:autoSpaceDN w:val="0"/>
        <w:adjustRightInd w:val="0"/>
        <w:ind w:left="480"/>
        <w:jc w:val="both"/>
      </w:pPr>
      <w:r w:rsidRPr="00D76956">
        <w:t>Source: ETSI Board</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ind w:left="480" w:hanging="240"/>
        <w:jc w:val="both"/>
      </w:pPr>
      <w:r>
        <w:t>-</w:t>
      </w:r>
      <w:r>
        <w:tab/>
      </w:r>
      <w:r w:rsidRPr="00D76956">
        <w:t xml:space="preserve">ETSI TR 102 489 </w:t>
      </w:r>
      <w:proofErr w:type="gramStart"/>
      <w:r w:rsidRPr="00D76956">
        <w:t>V.1.2.1 ”</w:t>
      </w:r>
      <w:proofErr w:type="gramEnd"/>
      <w:r w:rsidRPr="00D76956">
        <w:t>Environmental Engineering (EE); European telecommunications standard for equipment practice; Thermal Management Guidance for equipment and its deployment”</w:t>
      </w:r>
    </w:p>
    <w:p w:rsidR="004B5D18" w:rsidRPr="00D76956" w:rsidRDefault="004B5D18" w:rsidP="004B5D18">
      <w:pPr>
        <w:autoSpaceDE w:val="0"/>
        <w:autoSpaceDN w:val="0"/>
        <w:adjustRightInd w:val="0"/>
        <w:spacing w:before="60"/>
        <w:ind w:left="490" w:hanging="10"/>
        <w:jc w:val="both"/>
      </w:pPr>
      <w:r w:rsidRPr="00D76956">
        <w:t>Published in February 2010</w:t>
      </w:r>
      <w:r>
        <w:t>;</w:t>
      </w:r>
    </w:p>
    <w:p w:rsidR="004B5D18" w:rsidRPr="00D76956" w:rsidRDefault="004B5D18" w:rsidP="004B5D18">
      <w:pPr>
        <w:autoSpaceDE w:val="0"/>
        <w:autoSpaceDN w:val="0"/>
        <w:adjustRightInd w:val="0"/>
        <w:ind w:left="480"/>
        <w:jc w:val="both"/>
      </w:pPr>
      <w:r w:rsidRPr="00D76956">
        <w:t>This is a Technical Report</w:t>
      </w:r>
      <w:r>
        <w:t>;</w:t>
      </w:r>
    </w:p>
    <w:p w:rsidR="004B5D18" w:rsidRPr="00D76956" w:rsidRDefault="004B5D18" w:rsidP="004B5D18">
      <w:pPr>
        <w:autoSpaceDE w:val="0"/>
        <w:autoSpaceDN w:val="0"/>
        <w:adjustRightInd w:val="0"/>
        <w:ind w:left="480"/>
        <w:jc w:val="both"/>
      </w:pPr>
      <w:r w:rsidRPr="00D76956">
        <w:t>Source: EE</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ind w:left="480" w:hanging="240"/>
        <w:jc w:val="both"/>
      </w:pPr>
      <w:r>
        <w:t>-</w:t>
      </w:r>
      <w:r>
        <w:tab/>
      </w:r>
      <w:r w:rsidRPr="00D76956">
        <w:t xml:space="preserve">ETSI TR 102 530 </w:t>
      </w:r>
      <w:proofErr w:type="gramStart"/>
      <w:r w:rsidRPr="00D76956">
        <w:t>V.1.2.1 ”</w:t>
      </w:r>
      <w:proofErr w:type="gramEnd"/>
      <w:r w:rsidRPr="00D76956">
        <w:t>Environmental Engineering (EE) The reduction of energy consumption in telecommunications equipment and related infrastructure”</w:t>
      </w:r>
    </w:p>
    <w:p w:rsidR="004B5D18" w:rsidRPr="00D76956" w:rsidRDefault="004B5D18" w:rsidP="004B5D18">
      <w:pPr>
        <w:autoSpaceDE w:val="0"/>
        <w:autoSpaceDN w:val="0"/>
        <w:adjustRightInd w:val="0"/>
        <w:spacing w:before="60"/>
        <w:ind w:left="475"/>
        <w:jc w:val="both"/>
      </w:pPr>
      <w:r w:rsidRPr="00D76956">
        <w:t>Published in July 2011</w:t>
      </w:r>
      <w:r>
        <w:t>;</w:t>
      </w:r>
    </w:p>
    <w:p w:rsidR="004B5D18" w:rsidRDefault="004B5D18" w:rsidP="004B5D18">
      <w:pPr>
        <w:autoSpaceDE w:val="0"/>
        <w:autoSpaceDN w:val="0"/>
        <w:adjustRightInd w:val="0"/>
        <w:ind w:left="480"/>
        <w:jc w:val="both"/>
      </w:pPr>
      <w:r w:rsidRPr="00D76956">
        <w:t xml:space="preserve">New version includes methods to reduce diesel </w:t>
      </w:r>
      <w:r>
        <w:t>running time by using batteries;</w:t>
      </w:r>
    </w:p>
    <w:p w:rsidR="004B5D18" w:rsidRPr="00D76956" w:rsidRDefault="004B5D18" w:rsidP="004B5D18">
      <w:pPr>
        <w:autoSpaceDE w:val="0"/>
        <w:autoSpaceDN w:val="0"/>
        <w:adjustRightInd w:val="0"/>
        <w:ind w:left="480"/>
        <w:jc w:val="both"/>
      </w:pPr>
      <w:r w:rsidRPr="00D76956">
        <w:t>This is a Technical Report</w:t>
      </w:r>
      <w:r>
        <w:t>;</w:t>
      </w:r>
    </w:p>
    <w:p w:rsidR="004B5D18" w:rsidRPr="00D76956" w:rsidRDefault="004B5D18" w:rsidP="004B5D18">
      <w:pPr>
        <w:autoSpaceDE w:val="0"/>
        <w:autoSpaceDN w:val="0"/>
        <w:adjustRightInd w:val="0"/>
        <w:ind w:left="480"/>
        <w:jc w:val="both"/>
      </w:pPr>
      <w:r w:rsidRPr="00D76956">
        <w:t>Source: EE</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t>E</w:t>
      </w:r>
      <w:r w:rsidRPr="00D76956">
        <w:t xml:space="preserve">TSI TS 102 706 </w:t>
      </w:r>
      <w:proofErr w:type="gramStart"/>
      <w:r w:rsidRPr="00D76956">
        <w:t>V.1.2.1 ”</w:t>
      </w:r>
      <w:proofErr w:type="gramEnd"/>
      <w:r w:rsidRPr="00D76956">
        <w:t>Environmental Engineering (EE) Energy Efficiency of Wireless Access Network Equipment”</w:t>
      </w:r>
    </w:p>
    <w:p w:rsidR="004B5D18" w:rsidRDefault="004B5D18" w:rsidP="004B5D18">
      <w:pPr>
        <w:autoSpaceDE w:val="0"/>
        <w:autoSpaceDN w:val="0"/>
        <w:adjustRightInd w:val="0"/>
        <w:spacing w:before="60"/>
        <w:ind w:left="475"/>
        <w:jc w:val="both"/>
      </w:pPr>
      <w:r w:rsidRPr="00D76956">
        <w:t>In publication process (Approved in August 2011)</w:t>
      </w:r>
      <w:r>
        <w:t>; i</w:t>
      </w:r>
      <w:r w:rsidRPr="00D76956">
        <w:t>t defines the test method and the performance indicators for the energy ef</w:t>
      </w:r>
      <w:r>
        <w:t>ficiency of radio base stations;</w:t>
      </w:r>
    </w:p>
    <w:p w:rsidR="004B5D18" w:rsidRPr="00D76956" w:rsidRDefault="004B5D18" w:rsidP="004B5D18">
      <w:pPr>
        <w:autoSpaceDE w:val="0"/>
        <w:autoSpaceDN w:val="0"/>
        <w:adjustRightInd w:val="0"/>
        <w:ind w:left="480"/>
        <w:jc w:val="both"/>
      </w:pPr>
      <w:r w:rsidRPr="00D76956">
        <w:t>This is a Technical Specification</w:t>
      </w:r>
      <w:r>
        <w:t>;</w:t>
      </w:r>
    </w:p>
    <w:p w:rsidR="004B5D18" w:rsidRPr="00D76956" w:rsidRDefault="004B5D18" w:rsidP="004B5D18">
      <w:pPr>
        <w:autoSpaceDE w:val="0"/>
        <w:autoSpaceDN w:val="0"/>
        <w:adjustRightInd w:val="0"/>
        <w:ind w:left="480"/>
        <w:jc w:val="both"/>
      </w:pPr>
      <w:r w:rsidRPr="00D76956">
        <w:t>Source: EE</w:t>
      </w:r>
    </w:p>
    <w:p w:rsidR="004B5D18" w:rsidRPr="00D76956" w:rsidRDefault="004B5D18" w:rsidP="004B5D18">
      <w:pPr>
        <w:autoSpaceDE w:val="0"/>
        <w:autoSpaceDN w:val="0"/>
        <w:adjustRightInd w:val="0"/>
        <w:ind w:left="480" w:hanging="240"/>
        <w:jc w:val="both"/>
      </w:pPr>
    </w:p>
    <w:p w:rsidR="004B5D18" w:rsidRDefault="004B5D18" w:rsidP="004B5D18">
      <w:pPr>
        <w:autoSpaceDE w:val="0"/>
        <w:autoSpaceDN w:val="0"/>
        <w:adjustRightInd w:val="0"/>
        <w:ind w:left="480" w:hanging="240"/>
        <w:jc w:val="both"/>
      </w:pPr>
      <w:r>
        <w:t>-</w:t>
      </w:r>
      <w:r>
        <w:tab/>
      </w:r>
      <w:r w:rsidRPr="00D76956">
        <w:t>ETSI ES 202 336-x: “Infrastructure equipment control and monitoring system interface” series</w:t>
      </w:r>
    </w:p>
    <w:p w:rsidR="004B5D18" w:rsidRDefault="004B5D18" w:rsidP="004B5D18">
      <w:pPr>
        <w:autoSpaceDE w:val="0"/>
        <w:autoSpaceDN w:val="0"/>
        <w:adjustRightInd w:val="0"/>
        <w:spacing w:before="60"/>
        <w:ind w:left="490" w:hanging="245"/>
        <w:jc w:val="both"/>
      </w:pPr>
      <w:r w:rsidRPr="00D76956">
        <w:t xml:space="preserve"> </w:t>
      </w:r>
      <w:r>
        <w:tab/>
      </w:r>
      <w:r w:rsidRPr="00D76956">
        <w:t>This ETSI Standard is subdivided in 10 subparts for each specific interface/application (different AC power distribution systems, DC power distributions systems, air conditioning systems etc.)</w:t>
      </w:r>
      <w:r>
        <w:t>.</w:t>
      </w:r>
      <w:r w:rsidRPr="00D76956">
        <w:t xml:space="preserve"> The control processes defined in these publications reduce the energy consumption by optimizing equipment settings (e.g. cooling systems)</w:t>
      </w:r>
      <w:r>
        <w:t>.</w:t>
      </w:r>
      <w:r w:rsidRPr="00D76956">
        <w:t xml:space="preserve"> Furthermore, the remote monitoring and setting reduce the CO2 emissions (less on-site interventions)</w:t>
      </w:r>
      <w:r>
        <w:t>.</w:t>
      </w:r>
    </w:p>
    <w:p w:rsidR="004B5D18" w:rsidRPr="00D76956" w:rsidRDefault="004B5D18" w:rsidP="004B5D18">
      <w:pPr>
        <w:autoSpaceDE w:val="0"/>
        <w:autoSpaceDN w:val="0"/>
        <w:adjustRightInd w:val="0"/>
        <w:spacing w:before="60"/>
        <w:ind w:left="490" w:hanging="10"/>
        <w:jc w:val="both"/>
      </w:pPr>
      <w:r w:rsidRPr="00D76956">
        <w:t>The published parts are:</w:t>
      </w:r>
    </w:p>
    <w:p w:rsidR="004B5D18" w:rsidRPr="00D76956" w:rsidRDefault="004B5D18" w:rsidP="004B5D18">
      <w:pPr>
        <w:tabs>
          <w:tab w:val="left" w:pos="3840"/>
        </w:tabs>
        <w:autoSpaceDE w:val="0"/>
        <w:autoSpaceDN w:val="0"/>
        <w:adjustRightInd w:val="0"/>
        <w:ind w:left="960" w:hanging="240"/>
        <w:jc w:val="both"/>
      </w:pPr>
      <w:r w:rsidRPr="00D76956">
        <w:t>“1” General interface</w:t>
      </w:r>
      <w:r>
        <w:t xml:space="preserve"> . . . . . . . . . .</w:t>
      </w:r>
      <w:r>
        <w:tab/>
        <w:t>p</w:t>
      </w:r>
      <w:r w:rsidRPr="00D76956">
        <w:t>ublished in July 2011 (new version)</w:t>
      </w:r>
    </w:p>
    <w:p w:rsidR="004B5D18" w:rsidRPr="00D76956" w:rsidRDefault="004B5D18" w:rsidP="004B5D18">
      <w:pPr>
        <w:tabs>
          <w:tab w:val="left" w:pos="3840"/>
        </w:tabs>
        <w:autoSpaceDE w:val="0"/>
        <w:autoSpaceDN w:val="0"/>
        <w:adjustRightInd w:val="0"/>
        <w:ind w:left="960" w:hanging="240"/>
        <w:jc w:val="both"/>
      </w:pPr>
      <w:r>
        <w:t>“2” DC power systems . . . . . . . . .</w:t>
      </w:r>
      <w:r>
        <w:tab/>
      </w:r>
      <w:proofErr w:type="gramStart"/>
      <w:r>
        <w:t>p</w:t>
      </w:r>
      <w:r w:rsidRPr="00D76956">
        <w:t>ublished</w:t>
      </w:r>
      <w:proofErr w:type="gramEnd"/>
      <w:r w:rsidRPr="00D76956">
        <w:t xml:space="preserve"> in March 2009</w:t>
      </w:r>
    </w:p>
    <w:p w:rsidR="004B5D18" w:rsidRPr="00D76956" w:rsidRDefault="004B5D18" w:rsidP="004B5D18">
      <w:pPr>
        <w:tabs>
          <w:tab w:val="left" w:pos="3840"/>
        </w:tabs>
        <w:autoSpaceDE w:val="0"/>
        <w:autoSpaceDN w:val="0"/>
        <w:adjustRightInd w:val="0"/>
        <w:ind w:left="960" w:hanging="240"/>
        <w:jc w:val="both"/>
      </w:pPr>
      <w:r>
        <w:t>“3” AC-UPS power systems . . . . .</w:t>
      </w:r>
      <w:r>
        <w:tab/>
        <w:t>p</w:t>
      </w:r>
      <w:r w:rsidRPr="00D76956">
        <w:t>ublished in October 2009</w:t>
      </w:r>
    </w:p>
    <w:p w:rsidR="004B5D18" w:rsidRPr="00D76956" w:rsidRDefault="004B5D18" w:rsidP="004B5D18">
      <w:pPr>
        <w:tabs>
          <w:tab w:val="left" w:pos="3840"/>
        </w:tabs>
        <w:autoSpaceDE w:val="0"/>
        <w:autoSpaceDN w:val="0"/>
        <w:adjustRightInd w:val="0"/>
        <w:ind w:left="960" w:hanging="240"/>
        <w:jc w:val="both"/>
      </w:pPr>
      <w:r w:rsidRPr="00D76956">
        <w:t xml:space="preserve">“5” AC-diesel backup </w:t>
      </w:r>
      <w:proofErr w:type="gramStart"/>
      <w:r w:rsidRPr="00D76956">
        <w:t>generators</w:t>
      </w:r>
      <w:r>
        <w:t xml:space="preserve"> .</w:t>
      </w:r>
      <w:r>
        <w:tab/>
        <w:t>p</w:t>
      </w:r>
      <w:r w:rsidRPr="00D76956">
        <w:t>ublished</w:t>
      </w:r>
      <w:proofErr w:type="gramEnd"/>
      <w:r w:rsidRPr="00D76956">
        <w:t xml:space="preserve"> in April 2010</w:t>
      </w:r>
    </w:p>
    <w:p w:rsidR="004B5D18" w:rsidRPr="00D76956" w:rsidRDefault="004B5D18" w:rsidP="004B5D18">
      <w:pPr>
        <w:tabs>
          <w:tab w:val="left" w:pos="3840"/>
        </w:tabs>
        <w:autoSpaceDE w:val="0"/>
        <w:autoSpaceDN w:val="0"/>
        <w:adjustRightInd w:val="0"/>
        <w:ind w:left="960" w:hanging="240"/>
        <w:jc w:val="both"/>
      </w:pPr>
      <w:r>
        <w:t>“7” Other utilities . . . . . . . . . . . . .</w:t>
      </w:r>
      <w:r>
        <w:tab/>
      </w:r>
      <w:proofErr w:type="gramStart"/>
      <w:r>
        <w:t>p</w:t>
      </w:r>
      <w:r w:rsidRPr="00D76956">
        <w:t>ublished</w:t>
      </w:r>
      <w:proofErr w:type="gramEnd"/>
      <w:r w:rsidRPr="00D76956">
        <w:t xml:space="preserve"> in December 2009</w:t>
      </w:r>
    </w:p>
    <w:p w:rsidR="004B5D18" w:rsidRPr="00D76956" w:rsidRDefault="004B5D18" w:rsidP="004B5D18">
      <w:pPr>
        <w:tabs>
          <w:tab w:val="left" w:pos="3840"/>
        </w:tabs>
        <w:autoSpaceDE w:val="0"/>
        <w:autoSpaceDN w:val="0"/>
        <w:adjustRightInd w:val="0"/>
        <w:ind w:left="960" w:hanging="240"/>
        <w:jc w:val="both"/>
      </w:pPr>
      <w:r>
        <w:t xml:space="preserve">“8” Remote power feeding . . . . . . </w:t>
      </w:r>
      <w:r>
        <w:tab/>
      </w:r>
      <w:proofErr w:type="gramStart"/>
      <w:r>
        <w:t>p</w:t>
      </w:r>
      <w:r w:rsidRPr="00D76956">
        <w:t>ublished</w:t>
      </w:r>
      <w:proofErr w:type="gramEnd"/>
      <w:r w:rsidRPr="00D76956">
        <w:t xml:space="preserve"> in September 2009</w:t>
      </w:r>
    </w:p>
    <w:p w:rsidR="004B5D18" w:rsidRPr="00D76956" w:rsidRDefault="004B5D18" w:rsidP="004B5D18">
      <w:pPr>
        <w:tabs>
          <w:tab w:val="left" w:pos="3840"/>
        </w:tabs>
        <w:autoSpaceDE w:val="0"/>
        <w:autoSpaceDN w:val="0"/>
        <w:adjustRightInd w:val="0"/>
        <w:ind w:left="960" w:hanging="240"/>
        <w:jc w:val="both"/>
      </w:pPr>
      <w:r>
        <w:t>“10” Inverter power systems . . . . .</w:t>
      </w:r>
      <w:r>
        <w:tab/>
        <w:t>p</w:t>
      </w:r>
      <w:r w:rsidRPr="00D76956">
        <w:t>ublished in July 2011</w:t>
      </w:r>
      <w:r>
        <w:t>;</w:t>
      </w:r>
    </w:p>
    <w:p w:rsidR="004B5D18" w:rsidRPr="00D76956" w:rsidRDefault="004B5D18" w:rsidP="004B5D18">
      <w:pPr>
        <w:autoSpaceDE w:val="0"/>
        <w:autoSpaceDN w:val="0"/>
        <w:adjustRightInd w:val="0"/>
        <w:spacing w:before="60"/>
        <w:ind w:left="475"/>
        <w:jc w:val="both"/>
      </w:pPr>
      <w:r w:rsidRPr="00D76956">
        <w:t>Source: EE</w:t>
      </w:r>
    </w:p>
    <w:p w:rsidR="004B5D18" w:rsidRPr="00D76956" w:rsidRDefault="004B5D18" w:rsidP="004B5D18">
      <w:pPr>
        <w:autoSpaceDE w:val="0"/>
        <w:autoSpaceDN w:val="0"/>
        <w:adjustRightInd w:val="0"/>
        <w:ind w:left="480" w:hanging="240"/>
        <w:jc w:val="both"/>
      </w:pPr>
    </w:p>
    <w:p w:rsidR="004B5D18" w:rsidRDefault="004B5D18" w:rsidP="004B5D18">
      <w:pPr>
        <w:autoSpaceDE w:val="0"/>
        <w:autoSpaceDN w:val="0"/>
        <w:adjustRightInd w:val="0"/>
        <w:ind w:left="480" w:hanging="240"/>
        <w:jc w:val="both"/>
      </w:pPr>
      <w:r>
        <w:t>-</w:t>
      </w:r>
      <w:r>
        <w:tab/>
      </w:r>
      <w:r w:rsidRPr="00D76956">
        <w:t xml:space="preserve">ETSI TS 103 199 “Life Cycle Assessment (LCA) of ICT </w:t>
      </w:r>
      <w:r>
        <w:t>E</w:t>
      </w:r>
      <w:r w:rsidRPr="00D76956">
        <w:t xml:space="preserve">quipment, </w:t>
      </w:r>
      <w:r>
        <w:t>N</w:t>
      </w:r>
      <w:r w:rsidRPr="00D76956">
        <w:t xml:space="preserve">etworks and </w:t>
      </w:r>
      <w:r>
        <w:t>S</w:t>
      </w:r>
      <w:r w:rsidRPr="00D76956">
        <w:t>ervices: General methodology and common requirements</w:t>
      </w:r>
      <w:r>
        <w:t>”</w:t>
      </w:r>
    </w:p>
    <w:p w:rsidR="004B5D18" w:rsidRDefault="004B5D18" w:rsidP="004B5D18">
      <w:pPr>
        <w:autoSpaceDE w:val="0"/>
        <w:autoSpaceDN w:val="0"/>
        <w:adjustRightInd w:val="0"/>
        <w:spacing w:before="60"/>
        <w:ind w:left="475"/>
        <w:jc w:val="both"/>
      </w:pPr>
      <w:r w:rsidRPr="00D76956">
        <w:t>Final</w:t>
      </w:r>
      <w:r>
        <w:t>ized and approved by ETSI TC EE;</w:t>
      </w:r>
    </w:p>
    <w:p w:rsidR="004B5D18" w:rsidRDefault="004B5D18" w:rsidP="004B5D18">
      <w:pPr>
        <w:autoSpaceDE w:val="0"/>
        <w:autoSpaceDN w:val="0"/>
        <w:adjustRightInd w:val="0"/>
        <w:spacing w:before="60"/>
        <w:ind w:left="475"/>
        <w:jc w:val="both"/>
      </w:pPr>
      <w:r w:rsidRPr="00D76956">
        <w:t>Go</w:t>
      </w:r>
      <w:r>
        <w:t>od collaboration with ITU-T;</w:t>
      </w:r>
    </w:p>
    <w:p w:rsidR="004B5D18" w:rsidRPr="00D76956" w:rsidRDefault="004B5D18" w:rsidP="004B5D18">
      <w:pPr>
        <w:autoSpaceDE w:val="0"/>
        <w:autoSpaceDN w:val="0"/>
        <w:adjustRightInd w:val="0"/>
        <w:spacing w:before="60"/>
        <w:ind w:left="475" w:right="-120"/>
        <w:jc w:val="both"/>
      </w:pPr>
      <w:r w:rsidRPr="00D76956">
        <w:lastRenderedPageBreak/>
        <w:t xml:space="preserve">The purpose of </w:t>
      </w:r>
      <w:proofErr w:type="gramStart"/>
      <w:r w:rsidRPr="00D76956">
        <w:t>this</w:t>
      </w:r>
      <w:proofErr w:type="gramEnd"/>
      <w:r w:rsidRPr="00D76956">
        <w:t xml:space="preserve"> TS is to harmonize the LCA of ICT: Equipment, Networks and Services</w:t>
      </w:r>
      <w:r>
        <w:t>;</w:t>
      </w:r>
    </w:p>
    <w:p w:rsidR="004B5D18" w:rsidRDefault="004B5D18" w:rsidP="004B5D18">
      <w:pPr>
        <w:autoSpaceDE w:val="0"/>
        <w:autoSpaceDN w:val="0"/>
        <w:adjustRightInd w:val="0"/>
        <w:ind w:left="480" w:hanging="5"/>
        <w:jc w:val="both"/>
      </w:pPr>
      <w:r w:rsidRPr="00D76956">
        <w:t>The equivalent ITU-T R</w:t>
      </w:r>
      <w:r>
        <w:t>ecommendations are well aligned;</w:t>
      </w:r>
    </w:p>
    <w:p w:rsidR="004B5D18" w:rsidRPr="00D76956" w:rsidRDefault="004B5D18" w:rsidP="004B5D18">
      <w:pPr>
        <w:autoSpaceDE w:val="0"/>
        <w:autoSpaceDN w:val="0"/>
        <w:adjustRightInd w:val="0"/>
        <w:ind w:left="480" w:hanging="5"/>
        <w:jc w:val="both"/>
      </w:pPr>
      <w:r w:rsidRPr="00D76956">
        <w:t>In publication process</w:t>
      </w:r>
      <w:r>
        <w:t>;</w:t>
      </w:r>
    </w:p>
    <w:p w:rsidR="004B5D18" w:rsidRPr="00D76956" w:rsidRDefault="004B5D18" w:rsidP="004B5D18">
      <w:pPr>
        <w:autoSpaceDE w:val="0"/>
        <w:autoSpaceDN w:val="0"/>
        <w:adjustRightInd w:val="0"/>
        <w:spacing w:before="60"/>
        <w:ind w:left="475"/>
        <w:jc w:val="both"/>
      </w:pPr>
      <w:r w:rsidRPr="00D76956">
        <w:t xml:space="preserve">Source: EE </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r>
      <w:r w:rsidRPr="00D76956">
        <w:t>ETSI ES 203 215 “Environmental Engineering (EE); Measurement method and limits for energy consumption in broadband telecommunications equipment”</w:t>
      </w:r>
    </w:p>
    <w:p w:rsidR="004B5D18" w:rsidRPr="00D76956" w:rsidRDefault="004B5D18" w:rsidP="004B5D18">
      <w:pPr>
        <w:autoSpaceDE w:val="0"/>
        <w:autoSpaceDN w:val="0"/>
        <w:adjustRightInd w:val="0"/>
        <w:spacing w:before="60"/>
        <w:ind w:left="475"/>
        <w:jc w:val="both"/>
      </w:pPr>
      <w:r w:rsidRPr="00D76956">
        <w:t>Finalized and approved</w:t>
      </w:r>
      <w:r>
        <w:t>;</w:t>
      </w:r>
    </w:p>
    <w:p w:rsidR="004B5D18" w:rsidRPr="00D76956" w:rsidRDefault="004B5D18" w:rsidP="004B5D18">
      <w:pPr>
        <w:autoSpaceDE w:val="0"/>
        <w:autoSpaceDN w:val="0"/>
        <w:adjustRightInd w:val="0"/>
        <w:ind w:left="480"/>
        <w:jc w:val="both"/>
      </w:pPr>
      <w:r w:rsidRPr="00D76956">
        <w:t>This is an ETSI Standard</w:t>
      </w:r>
      <w:r>
        <w:t>;</w:t>
      </w:r>
    </w:p>
    <w:p w:rsidR="004B5D18" w:rsidRDefault="004B5D18" w:rsidP="004B5D18">
      <w:pPr>
        <w:autoSpaceDE w:val="0"/>
        <w:autoSpaceDN w:val="0"/>
        <w:adjustRightInd w:val="0"/>
        <w:ind w:left="480"/>
        <w:jc w:val="both"/>
      </w:pPr>
      <w:r w:rsidRPr="00D76956">
        <w:t xml:space="preserve">This publication is based on the work already done for the TS 102 533 and adds further new Access technologies (e.g. GPON) that are part of the latest version </w:t>
      </w:r>
      <w:r>
        <w:t>of the European Code of Conduct;</w:t>
      </w:r>
    </w:p>
    <w:p w:rsidR="004B5D18" w:rsidRDefault="004B5D18" w:rsidP="004B5D18">
      <w:pPr>
        <w:autoSpaceDE w:val="0"/>
        <w:autoSpaceDN w:val="0"/>
        <w:adjustRightInd w:val="0"/>
        <w:ind w:left="480"/>
        <w:jc w:val="both"/>
      </w:pPr>
      <w:r w:rsidRPr="00D76956">
        <w:t>It will replace the TS102533</w:t>
      </w:r>
      <w:r>
        <w:t>;</w:t>
      </w:r>
    </w:p>
    <w:p w:rsidR="004B5D18" w:rsidRPr="00D76956" w:rsidRDefault="004B5D18" w:rsidP="004B5D18">
      <w:pPr>
        <w:autoSpaceDE w:val="0"/>
        <w:autoSpaceDN w:val="0"/>
        <w:adjustRightInd w:val="0"/>
        <w:ind w:left="480"/>
        <w:jc w:val="both"/>
      </w:pPr>
      <w:r w:rsidRPr="00D76956">
        <w:t>In publication process</w:t>
      </w:r>
      <w:r>
        <w:t>;</w:t>
      </w:r>
    </w:p>
    <w:p w:rsidR="004B5D18" w:rsidRPr="00D76956" w:rsidRDefault="004B5D18" w:rsidP="004B5D18">
      <w:pPr>
        <w:autoSpaceDE w:val="0"/>
        <w:autoSpaceDN w:val="0"/>
        <w:adjustRightInd w:val="0"/>
        <w:spacing w:before="60"/>
        <w:ind w:left="475"/>
        <w:jc w:val="both"/>
      </w:pPr>
      <w:r w:rsidRPr="00D76956">
        <w:t>Source: EE</w:t>
      </w:r>
    </w:p>
    <w:p w:rsidR="004B5D18" w:rsidRPr="00D76956" w:rsidRDefault="004B5D18" w:rsidP="004B5D18">
      <w:pPr>
        <w:autoSpaceDE w:val="0"/>
        <w:autoSpaceDN w:val="0"/>
        <w:adjustRightInd w:val="0"/>
        <w:ind w:left="480" w:hanging="240"/>
        <w:jc w:val="both"/>
      </w:pPr>
    </w:p>
    <w:p w:rsidR="004B5D18" w:rsidRDefault="004B5D18" w:rsidP="004B5D18">
      <w:pPr>
        <w:autoSpaceDE w:val="0"/>
        <w:autoSpaceDN w:val="0"/>
        <w:adjustRightInd w:val="0"/>
        <w:ind w:left="480" w:hanging="240"/>
        <w:jc w:val="both"/>
      </w:pPr>
      <w:r>
        <w:t>-</w:t>
      </w:r>
      <w:r>
        <w:tab/>
      </w:r>
      <w:r w:rsidRPr="00D76956">
        <w:t>ETSI ES 202 874-1 and TS 102 874-</w:t>
      </w:r>
      <w:proofErr w:type="gramStart"/>
      <w:r w:rsidRPr="00D76956">
        <w:t>2,..</w:t>
      </w:r>
      <w:proofErr w:type="gramEnd"/>
      <w:r w:rsidRPr="00D76956">
        <w:t>-5 “External Common Power Supply for Customer Premises Network and Access Equ</w:t>
      </w:r>
      <w:r>
        <w:t>ipment” series</w:t>
      </w:r>
    </w:p>
    <w:p w:rsidR="004B5D18" w:rsidRPr="00D76956" w:rsidRDefault="004B5D18" w:rsidP="004B5D18">
      <w:pPr>
        <w:autoSpaceDE w:val="0"/>
        <w:autoSpaceDN w:val="0"/>
        <w:adjustRightInd w:val="0"/>
        <w:spacing w:before="60"/>
        <w:ind w:left="475"/>
        <w:jc w:val="both"/>
      </w:pPr>
      <w:r w:rsidRPr="00D76956">
        <w:t>This ETSI Standard addresses the functional requirements and implementation and operational aspects of the External Common Power Supply (CPS) for Customer Premis</w:t>
      </w:r>
      <w:r>
        <w:t xml:space="preserve">es Network and Access Equipment. </w:t>
      </w:r>
      <w:r w:rsidRPr="00D76956">
        <w:t>This ETSI Standard is part 1 of a multi-part deliverable covering the External Common Power Supply (CPS) for Customer Premis</w:t>
      </w:r>
      <w:r>
        <w:t xml:space="preserve">es Network and Access Equipment. </w:t>
      </w:r>
      <w:r w:rsidRPr="00D76956">
        <w:t>The multi-part deliverable represents a set of cohesive interwoven technical information that has jointly evolved to define solution of most efficient equipment, as defined below:</w:t>
      </w:r>
    </w:p>
    <w:p w:rsidR="004B5D18" w:rsidRPr="00D76956" w:rsidRDefault="004B5D18" w:rsidP="004B5D18">
      <w:pPr>
        <w:autoSpaceDE w:val="0"/>
        <w:autoSpaceDN w:val="0"/>
        <w:adjustRightInd w:val="0"/>
        <w:spacing w:before="60"/>
        <w:ind w:left="965" w:right="360" w:hanging="245"/>
        <w:jc w:val="both"/>
      </w:pPr>
      <w:r>
        <w:t>-</w:t>
      </w:r>
      <w:r>
        <w:tab/>
      </w:r>
      <w:r w:rsidRPr="00D76956">
        <w:t>ES 202 874-1 defines functional requirements for four different categories of CPS.</w:t>
      </w:r>
    </w:p>
    <w:p w:rsidR="004B5D18" w:rsidRPr="00D76956" w:rsidRDefault="004B5D18" w:rsidP="004B5D18">
      <w:pPr>
        <w:autoSpaceDE w:val="0"/>
        <w:autoSpaceDN w:val="0"/>
        <w:adjustRightInd w:val="0"/>
        <w:spacing w:before="20"/>
        <w:ind w:left="965" w:right="605" w:hanging="245"/>
        <w:jc w:val="both"/>
      </w:pPr>
      <w:r>
        <w:t>-</w:t>
      </w:r>
      <w:r>
        <w:tab/>
      </w:r>
      <w:r w:rsidRPr="00D76956">
        <w:t>TS 102 874-2 [i.1] defines detailed implementation and operational aspects for CPS Type 2.a.</w:t>
      </w:r>
    </w:p>
    <w:p w:rsidR="004B5D18" w:rsidRPr="00D76956" w:rsidRDefault="004B5D18" w:rsidP="004B5D18">
      <w:pPr>
        <w:autoSpaceDE w:val="0"/>
        <w:autoSpaceDN w:val="0"/>
        <w:adjustRightInd w:val="0"/>
        <w:spacing w:before="20"/>
        <w:ind w:left="965" w:right="605" w:hanging="245"/>
        <w:jc w:val="both"/>
      </w:pPr>
      <w:r>
        <w:t>-</w:t>
      </w:r>
      <w:r>
        <w:tab/>
      </w:r>
      <w:r w:rsidRPr="00D76956">
        <w:t>TS 102 874-3 [i.2] defines detailed implementation and operational aspects for CPS Type 1.</w:t>
      </w:r>
    </w:p>
    <w:p w:rsidR="004B5D18" w:rsidRPr="00D76956" w:rsidRDefault="004B5D18" w:rsidP="004B5D18">
      <w:pPr>
        <w:autoSpaceDE w:val="0"/>
        <w:autoSpaceDN w:val="0"/>
        <w:adjustRightInd w:val="0"/>
        <w:spacing w:before="20"/>
        <w:ind w:left="965" w:right="605" w:hanging="245"/>
        <w:jc w:val="both"/>
      </w:pPr>
      <w:r>
        <w:t>-</w:t>
      </w:r>
      <w:r>
        <w:tab/>
      </w:r>
      <w:r w:rsidRPr="00D76956">
        <w:t>TS 102 874-4 [i.3] defines detailed implementation and operational aspects for CPS Type 2.b.</w:t>
      </w:r>
    </w:p>
    <w:p w:rsidR="004B5D18" w:rsidRPr="00D76956" w:rsidRDefault="004B5D18" w:rsidP="004B5D18">
      <w:pPr>
        <w:autoSpaceDE w:val="0"/>
        <w:autoSpaceDN w:val="0"/>
        <w:adjustRightInd w:val="0"/>
        <w:spacing w:before="20"/>
        <w:ind w:left="965" w:right="605" w:hanging="245"/>
        <w:jc w:val="both"/>
      </w:pPr>
      <w:r>
        <w:t>-</w:t>
      </w:r>
      <w:r>
        <w:tab/>
      </w:r>
      <w:r w:rsidRPr="00D76956">
        <w:t>TS 102 874-5 [i.4]: defines detailed implementation and operational aspects for CPS Type 2.c.</w:t>
      </w:r>
    </w:p>
    <w:p w:rsidR="004B5D18" w:rsidRPr="00D76956" w:rsidRDefault="004B5D18" w:rsidP="004B5D18">
      <w:pPr>
        <w:autoSpaceDE w:val="0"/>
        <w:autoSpaceDN w:val="0"/>
        <w:adjustRightInd w:val="0"/>
        <w:spacing w:before="60"/>
        <w:ind w:left="490" w:hanging="245"/>
        <w:jc w:val="both"/>
      </w:pPr>
      <w:r w:rsidRPr="00D76956">
        <w:t>Published: October 2010-May 2011</w:t>
      </w:r>
      <w:r>
        <w:t>;</w:t>
      </w:r>
    </w:p>
    <w:p w:rsidR="004B5D18" w:rsidRPr="00D76956" w:rsidRDefault="004B5D18" w:rsidP="004B5D18">
      <w:pPr>
        <w:autoSpaceDE w:val="0"/>
        <w:autoSpaceDN w:val="0"/>
        <w:adjustRightInd w:val="0"/>
        <w:ind w:left="480" w:hanging="240"/>
        <w:jc w:val="both"/>
      </w:pPr>
      <w:r w:rsidRPr="00D76956">
        <w:t xml:space="preserve">The intended applications of these CPS categories are </w:t>
      </w:r>
      <w:r>
        <w:t>specified in this ETSI Standard;</w:t>
      </w:r>
    </w:p>
    <w:p w:rsidR="004B5D18" w:rsidRPr="00D76956" w:rsidRDefault="004B5D18" w:rsidP="004B5D18">
      <w:pPr>
        <w:autoSpaceDE w:val="0"/>
        <w:autoSpaceDN w:val="0"/>
        <w:adjustRightInd w:val="0"/>
        <w:spacing w:before="60"/>
        <w:ind w:left="490" w:hanging="245"/>
        <w:jc w:val="both"/>
      </w:pPr>
      <w:r w:rsidRPr="00D76956">
        <w:t xml:space="preserve">Source: ATTM </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r>
      <w:r w:rsidRPr="00D76956">
        <w:t>ETSI EN 301 489-</w:t>
      </w:r>
      <w:proofErr w:type="gramStart"/>
      <w:r w:rsidRPr="00D76956">
        <w:t>34 ”</w:t>
      </w:r>
      <w:proofErr w:type="gramEnd"/>
      <w:r w:rsidRPr="00D76956">
        <w:t xml:space="preserve">Electromagnetic compatibility and Radio spectrum Matters (ERM); </w:t>
      </w:r>
      <w:proofErr w:type="spellStart"/>
      <w:r w:rsidRPr="00D76956">
        <w:t>ElectroMagnetic</w:t>
      </w:r>
      <w:proofErr w:type="spellEnd"/>
      <w:r w:rsidRPr="00D76956">
        <w:t xml:space="preserve"> Compatibility (EMC) standard for radio equipment and services; Part 34: Specific conditions for External Power Supply (EPS) for mobile phones”</w:t>
      </w:r>
    </w:p>
    <w:p w:rsidR="004B5D18" w:rsidRDefault="004B5D18" w:rsidP="004B5D18">
      <w:pPr>
        <w:autoSpaceDE w:val="0"/>
        <w:autoSpaceDN w:val="0"/>
        <w:adjustRightInd w:val="0"/>
        <w:spacing w:before="60"/>
        <w:ind w:left="490" w:hanging="10"/>
        <w:jc w:val="both"/>
      </w:pPr>
      <w:r>
        <w:t>Published in October 2010;</w:t>
      </w:r>
    </w:p>
    <w:p w:rsidR="004B5D18" w:rsidRPr="00D76956" w:rsidRDefault="004B5D18" w:rsidP="004B5D18">
      <w:pPr>
        <w:autoSpaceDE w:val="0"/>
        <w:autoSpaceDN w:val="0"/>
        <w:adjustRightInd w:val="0"/>
        <w:ind w:left="489" w:hanging="14"/>
        <w:jc w:val="both"/>
      </w:pPr>
      <w:r>
        <w:t>Revised version under approval;</w:t>
      </w:r>
    </w:p>
    <w:p w:rsidR="004B5D18" w:rsidRPr="00D76956" w:rsidRDefault="004B5D18" w:rsidP="004B5D18">
      <w:pPr>
        <w:autoSpaceDE w:val="0"/>
        <w:autoSpaceDN w:val="0"/>
        <w:adjustRightInd w:val="0"/>
        <w:ind w:left="480"/>
        <w:jc w:val="both"/>
      </w:pPr>
      <w:r w:rsidRPr="00D76956">
        <w:lastRenderedPageBreak/>
        <w:t>This is a European Standard, telecommunications series (EN)</w:t>
      </w:r>
      <w:r>
        <w:t>;</w:t>
      </w:r>
    </w:p>
    <w:p w:rsidR="004B5D18" w:rsidRPr="00D76956" w:rsidRDefault="004B5D18" w:rsidP="004B5D18">
      <w:pPr>
        <w:autoSpaceDE w:val="0"/>
        <w:autoSpaceDN w:val="0"/>
        <w:adjustRightInd w:val="0"/>
        <w:spacing w:before="60"/>
        <w:ind w:left="475"/>
        <w:jc w:val="both"/>
      </w:pPr>
      <w:r w:rsidRPr="00D76956">
        <w:t>Source: ERM</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r>
      <w:r w:rsidRPr="00D76956">
        <w:t>ETSI TR 102 877: “Access Terminals, Transmission and Multiplexing (ATTM); Energy Efficiency of Energy Using Products (</w:t>
      </w:r>
      <w:proofErr w:type="spellStart"/>
      <w:r w:rsidRPr="00D76956">
        <w:t>EuPs</w:t>
      </w:r>
      <w:proofErr w:type="spellEnd"/>
      <w:r w:rsidRPr="00D76956">
        <w:t xml:space="preserve">) with regards to their </w:t>
      </w:r>
      <w:proofErr w:type="spellStart"/>
      <w:r w:rsidRPr="00D76956">
        <w:t>Ecodesign</w:t>
      </w:r>
      <w:proofErr w:type="spellEnd"/>
      <w:r w:rsidRPr="00D76956">
        <w:t xml:space="preserve"> Requirements Part 1: Network Apparatus and Customer Premises Equipment relating to Cable Network Operator's Services”</w:t>
      </w:r>
    </w:p>
    <w:p w:rsidR="004B5D18" w:rsidRPr="00D76956" w:rsidRDefault="004B5D18" w:rsidP="004B5D18">
      <w:pPr>
        <w:autoSpaceDE w:val="0"/>
        <w:autoSpaceDN w:val="0"/>
        <w:adjustRightInd w:val="0"/>
        <w:spacing w:before="60"/>
        <w:ind w:left="475"/>
        <w:jc w:val="both"/>
      </w:pPr>
      <w:r w:rsidRPr="00D76956">
        <w:t>Published in May 2011</w:t>
      </w:r>
      <w:r>
        <w:t>;</w:t>
      </w:r>
    </w:p>
    <w:p w:rsidR="004B5D18" w:rsidRPr="00D76956" w:rsidRDefault="004B5D18" w:rsidP="004B5D18">
      <w:pPr>
        <w:autoSpaceDE w:val="0"/>
        <w:autoSpaceDN w:val="0"/>
        <w:adjustRightInd w:val="0"/>
        <w:ind w:left="480"/>
        <w:jc w:val="both"/>
      </w:pPr>
      <w:r w:rsidRPr="00D76956">
        <w:t>This is a Technical Report</w:t>
      </w:r>
      <w:r>
        <w:t>;</w:t>
      </w:r>
    </w:p>
    <w:p w:rsidR="004B5D18" w:rsidRPr="00D76956" w:rsidRDefault="004B5D18" w:rsidP="004B5D18">
      <w:pPr>
        <w:autoSpaceDE w:val="0"/>
        <w:autoSpaceDN w:val="0"/>
        <w:adjustRightInd w:val="0"/>
        <w:ind w:left="480"/>
        <w:jc w:val="both"/>
      </w:pPr>
      <w:r w:rsidRPr="00D76956">
        <w:t>Source: ATTM AT3</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rPr>
          <w:b/>
          <w:bCs/>
          <w:u w:val="single"/>
        </w:rPr>
      </w:pPr>
      <w:r w:rsidRPr="00D76956">
        <w:rPr>
          <w:b/>
          <w:bCs/>
          <w:u w:val="single"/>
        </w:rPr>
        <w:t>3GPP Features and Studies</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pPr>
      <w:r w:rsidRPr="00D76956">
        <w:t>Completed Studies in 3GPP Release 10</w:t>
      </w:r>
      <w:r>
        <w:t>:</w:t>
      </w:r>
    </w:p>
    <w:p w:rsidR="004B5D18" w:rsidRPr="00D76956" w:rsidRDefault="004B5D18" w:rsidP="004B5D18">
      <w:pPr>
        <w:autoSpaceDE w:val="0"/>
        <w:autoSpaceDN w:val="0"/>
        <w:adjustRightInd w:val="0"/>
        <w:spacing w:before="60"/>
        <w:ind w:left="490" w:hanging="245"/>
        <w:jc w:val="both"/>
      </w:pPr>
      <w:proofErr w:type="gramStart"/>
      <w:r>
        <w:t>-</w:t>
      </w:r>
      <w:r>
        <w:tab/>
      </w:r>
      <w:r w:rsidRPr="00D76956">
        <w:t>TR 32.826 Study</w:t>
      </w:r>
      <w:proofErr w:type="gramEnd"/>
      <w:r w:rsidRPr="00D76956">
        <w:t xml:space="preserve"> on Telecommunication Management; Energy Saving</w:t>
      </w:r>
      <w:r>
        <w:t>s Management. (3GPP TSG SA WG5);</w:t>
      </w:r>
    </w:p>
    <w:p w:rsidR="004B5D18" w:rsidRPr="00D76956" w:rsidRDefault="004B5D18" w:rsidP="004B5D18">
      <w:pPr>
        <w:autoSpaceDE w:val="0"/>
        <w:autoSpaceDN w:val="0"/>
        <w:adjustRightInd w:val="0"/>
        <w:spacing w:before="60"/>
        <w:ind w:left="490" w:hanging="245"/>
        <w:jc w:val="both"/>
      </w:pPr>
      <w:r>
        <w:t>-</w:t>
      </w:r>
      <w:r>
        <w:tab/>
      </w:r>
      <w:r w:rsidRPr="00D76956">
        <w:t>TR 25.927 Study on Solutions for energy saving within UTRA Node B (3GPP TSG RAN WG1, WG3)</w:t>
      </w:r>
      <w:r>
        <w:t>;</w:t>
      </w:r>
    </w:p>
    <w:p w:rsidR="004B5D18" w:rsidRPr="00D76956" w:rsidRDefault="004B5D18" w:rsidP="004B5D18">
      <w:pPr>
        <w:autoSpaceDE w:val="0"/>
        <w:autoSpaceDN w:val="0"/>
        <w:adjustRightInd w:val="0"/>
        <w:spacing w:before="60"/>
        <w:ind w:left="490" w:hanging="245"/>
        <w:jc w:val="both"/>
      </w:pPr>
      <w:r>
        <w:t>-</w:t>
      </w:r>
      <w:r>
        <w:tab/>
      </w:r>
      <w:r w:rsidRPr="00D76956">
        <w:t>TR 36.927 Study on Potential solutions for energy saving for E-UTRAN (3GPP TSG RAN WG3 &amp; WG2)</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pPr>
      <w:r w:rsidRPr="00D76956">
        <w:t>Completed Features in 3GPP Release 10</w:t>
      </w:r>
      <w:r>
        <w:t>:</w:t>
      </w:r>
    </w:p>
    <w:p w:rsidR="004B5D18" w:rsidRPr="00D76956" w:rsidRDefault="004B5D18" w:rsidP="004B5D18">
      <w:pPr>
        <w:autoSpaceDE w:val="0"/>
        <w:autoSpaceDN w:val="0"/>
        <w:adjustRightInd w:val="0"/>
        <w:spacing w:before="60"/>
        <w:ind w:left="490" w:hanging="245"/>
        <w:jc w:val="both"/>
      </w:pPr>
      <w:r>
        <w:t>-</w:t>
      </w:r>
      <w:r>
        <w:tab/>
      </w:r>
      <w:r w:rsidRPr="00D76956">
        <w:t>OAM aspects of Energy Saving in Ra</w:t>
      </w:r>
      <w:r>
        <w:t xml:space="preserve">dio </w:t>
      </w:r>
      <w:proofErr w:type="gramStart"/>
      <w:r>
        <w:t>Networks  (</w:t>
      </w:r>
      <w:proofErr w:type="gramEnd"/>
      <w:r>
        <w:t>3GPP TSG SA WG5)</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pPr>
      <w:r w:rsidRPr="00D76956">
        <w:t>Studies in 3GPP Release 11</w:t>
      </w:r>
      <w:r>
        <w:t>:</w:t>
      </w:r>
    </w:p>
    <w:p w:rsidR="004B5D18" w:rsidRPr="00D76956" w:rsidRDefault="004B5D18" w:rsidP="004B5D18">
      <w:pPr>
        <w:autoSpaceDE w:val="0"/>
        <w:autoSpaceDN w:val="0"/>
        <w:adjustRightInd w:val="0"/>
        <w:spacing w:before="60"/>
        <w:ind w:left="490" w:hanging="245"/>
        <w:jc w:val="both"/>
      </w:pPr>
      <w:r>
        <w:t>-</w:t>
      </w:r>
      <w:r>
        <w:tab/>
      </w:r>
      <w:r w:rsidRPr="00D76956">
        <w:t xml:space="preserve">Completed: Study on impacts on UE-Core Network signaling from Energy Saving (3GPP TSG CT WG1) </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tabs>
          <w:tab w:val="left" w:pos="708"/>
        </w:tabs>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ITU-T</w:t>
      </w:r>
    </w:p>
    <w:p w:rsidR="004B5D18" w:rsidRPr="00D76956" w:rsidRDefault="004B5D18" w:rsidP="004B5D18">
      <w:pPr>
        <w:widowControl w:val="0"/>
        <w:jc w:val="both"/>
      </w:pPr>
    </w:p>
    <w:p w:rsidR="004B5D18" w:rsidRPr="00D76956" w:rsidRDefault="004B5D18" w:rsidP="004B5D18">
      <w:pPr>
        <w:widowControl w:val="0"/>
        <w:ind w:left="480" w:hanging="240"/>
        <w:jc w:val="both"/>
      </w:pPr>
      <w:r>
        <w:t>-</w:t>
      </w:r>
      <w:r>
        <w:tab/>
      </w:r>
      <w:r w:rsidRPr="00D76956">
        <w:t xml:space="preserve">L.1400 February 2011 “Overview and general principles of methodologies for assessing the environmental impact of ICT” </w:t>
      </w:r>
    </w:p>
    <w:p w:rsidR="004B5D18" w:rsidRPr="00D76956" w:rsidRDefault="004B5D18" w:rsidP="004B5D18">
      <w:pPr>
        <w:widowControl w:val="0"/>
        <w:ind w:left="480" w:hanging="240"/>
        <w:jc w:val="both"/>
      </w:pPr>
    </w:p>
    <w:p w:rsidR="004B5D18" w:rsidRPr="00D76956" w:rsidRDefault="004B5D18" w:rsidP="004B5D18">
      <w:pPr>
        <w:widowControl w:val="0"/>
        <w:ind w:left="480" w:hanging="240"/>
        <w:jc w:val="both"/>
      </w:pPr>
      <w:r>
        <w:t>-</w:t>
      </w:r>
      <w:r>
        <w:tab/>
      </w:r>
      <w:r w:rsidRPr="00D76956">
        <w:t xml:space="preserve">L.1410 </w:t>
      </w:r>
      <w:r w:rsidRPr="00415180">
        <w:rPr>
          <w:rFonts w:hint="eastAsia"/>
        </w:rPr>
        <w:t>March</w:t>
      </w:r>
      <w:r w:rsidRPr="00D76956">
        <w:t xml:space="preserve"> </w:t>
      </w:r>
      <w:proofErr w:type="gramStart"/>
      <w:r w:rsidRPr="00D76956">
        <w:t>201</w:t>
      </w:r>
      <w:r w:rsidRPr="00415180">
        <w:rPr>
          <w:rFonts w:hint="eastAsia"/>
        </w:rPr>
        <w:t>2</w:t>
      </w:r>
      <w:r w:rsidRPr="00D76956">
        <w:t xml:space="preserve">  “</w:t>
      </w:r>
      <w:proofErr w:type="gramEnd"/>
      <w:r w:rsidRPr="00D76956">
        <w:t xml:space="preserve">Methodology for environmental impact assessment of ICT goods, networks and services” </w:t>
      </w:r>
    </w:p>
    <w:p w:rsidR="004B5D18" w:rsidRPr="00D76956" w:rsidRDefault="004B5D18" w:rsidP="004B5D18">
      <w:pPr>
        <w:widowControl w:val="0"/>
        <w:ind w:left="480" w:hanging="240"/>
        <w:jc w:val="both"/>
      </w:pPr>
    </w:p>
    <w:p w:rsidR="004B5D18" w:rsidRPr="00344168" w:rsidRDefault="004B5D18" w:rsidP="004B5D18">
      <w:pPr>
        <w:widowControl w:val="0"/>
        <w:ind w:left="480" w:hanging="240"/>
        <w:jc w:val="both"/>
      </w:pPr>
      <w:r>
        <w:t>-</w:t>
      </w:r>
      <w:r>
        <w:tab/>
      </w:r>
      <w:r w:rsidRPr="00D76956">
        <w:t xml:space="preserve">L.1420 </w:t>
      </w:r>
      <w:r w:rsidRPr="00415180">
        <w:rPr>
          <w:rFonts w:hint="eastAsia"/>
        </w:rPr>
        <w:t>February</w:t>
      </w:r>
      <w:r w:rsidRPr="00D76956">
        <w:t xml:space="preserve"> </w:t>
      </w:r>
      <w:proofErr w:type="gramStart"/>
      <w:r w:rsidRPr="00D76956">
        <w:t>201</w:t>
      </w:r>
      <w:r w:rsidRPr="00415180">
        <w:rPr>
          <w:rFonts w:hint="eastAsia"/>
        </w:rPr>
        <w:t>2</w:t>
      </w:r>
      <w:r w:rsidRPr="00D76956">
        <w:t xml:space="preserve">  “</w:t>
      </w:r>
      <w:proofErr w:type="gramEnd"/>
      <w:r w:rsidRPr="00D76956">
        <w:t>Methodology for energy consumption and greenhouse gas emissions impact assessment of ICTs in organizations”</w:t>
      </w:r>
    </w:p>
    <w:p w:rsidR="005B66B6" w:rsidRDefault="005B66B6" w:rsidP="00C40821">
      <w:pPr>
        <w:widowControl w:val="0"/>
        <w:ind w:left="480" w:hanging="240"/>
        <w:jc w:val="both"/>
      </w:pPr>
    </w:p>
    <w:p w:rsidR="004B5D18" w:rsidRPr="003724FB" w:rsidRDefault="004B5D18" w:rsidP="004B5D18">
      <w:pPr>
        <w:widowControl w:val="0"/>
        <w:numPr>
          <w:ilvl w:val="0"/>
          <w:numId w:val="16"/>
        </w:numPr>
        <w:jc w:val="both"/>
      </w:pPr>
      <w:r w:rsidRPr="00415180">
        <w:rPr>
          <w:rFonts w:hint="eastAsia"/>
        </w:rPr>
        <w:t xml:space="preserve">L.1430 February 2013 (Consented) </w:t>
      </w:r>
      <w:r w:rsidRPr="00415180">
        <w:t>“</w:t>
      </w:r>
      <w:r w:rsidRPr="003724FB">
        <w:t xml:space="preserve">Methodology for energy consumption and greenhouse gas emissions impact assessment of ICTs in </w:t>
      </w:r>
      <w:r w:rsidRPr="00415180">
        <w:rPr>
          <w:rFonts w:hint="eastAsia"/>
        </w:rPr>
        <w:t>project</w:t>
      </w:r>
      <w:r w:rsidRPr="003724FB">
        <w:t>s</w:t>
      </w:r>
      <w:r w:rsidRPr="00415180">
        <w:t>”</w:t>
      </w:r>
    </w:p>
    <w:p w:rsidR="004B5D18" w:rsidRPr="00D76956" w:rsidRDefault="004B5D18" w:rsidP="004B5D18">
      <w:pPr>
        <w:widowControl w:val="0"/>
        <w:jc w:val="both"/>
      </w:pPr>
    </w:p>
    <w:p w:rsidR="004B5D18" w:rsidRPr="00D76956" w:rsidRDefault="004B5D18" w:rsidP="004B5D18">
      <w:pPr>
        <w:widowControl w:val="0"/>
        <w:autoSpaceDE w:val="0"/>
        <w:autoSpaceDN w:val="0"/>
        <w:adjustRightInd w:val="0"/>
        <w:jc w:val="both"/>
        <w:rPr>
          <w:b/>
        </w:rPr>
      </w:pPr>
      <w:r w:rsidRPr="00D76956">
        <w:rPr>
          <w:b/>
        </w:rPr>
        <w:t>TIA</w:t>
      </w:r>
    </w:p>
    <w:p w:rsidR="004B5D18" w:rsidRDefault="004B5D18" w:rsidP="004B5D18">
      <w:pPr>
        <w:widowControl w:val="0"/>
        <w:autoSpaceDE w:val="0"/>
        <w:autoSpaceDN w:val="0"/>
        <w:adjustRightInd w:val="0"/>
        <w:jc w:val="both"/>
      </w:pPr>
    </w:p>
    <w:p w:rsidR="004B5D18" w:rsidRDefault="004B5D18" w:rsidP="004B5D18">
      <w:pPr>
        <w:pStyle w:val="aa"/>
        <w:numPr>
          <w:ilvl w:val="0"/>
          <w:numId w:val="16"/>
        </w:numPr>
        <w:rPr>
          <w:rFonts w:ascii="Times New Roman" w:hAnsi="Times New Roman"/>
          <w:sz w:val="24"/>
          <w:szCs w:val="24"/>
        </w:rPr>
      </w:pPr>
      <w:r w:rsidRPr="000915FF">
        <w:rPr>
          <w:rFonts w:ascii="Times New Roman" w:hAnsi="Times New Roman"/>
          <w:sz w:val="24"/>
          <w:szCs w:val="24"/>
        </w:rPr>
        <w:t xml:space="preserve">TIA-942-A, Telecommunications Infrastructure Standard for Data Centers </w:t>
      </w:r>
      <w:r>
        <w:rPr>
          <w:rFonts w:ascii="Times New Roman" w:hAnsi="Times New Roman"/>
          <w:sz w:val="24"/>
          <w:szCs w:val="24"/>
        </w:rPr>
        <w:t xml:space="preserve">, </w:t>
      </w:r>
      <w:r w:rsidRPr="000915FF">
        <w:rPr>
          <w:rFonts w:ascii="Times New Roman" w:hAnsi="Times New Roman"/>
          <w:sz w:val="24"/>
          <w:szCs w:val="24"/>
        </w:rPr>
        <w:t>August 2012</w:t>
      </w:r>
    </w:p>
    <w:p w:rsidR="004B5D18" w:rsidRPr="000915FF" w:rsidRDefault="004B5D18" w:rsidP="004B5D18">
      <w:pPr>
        <w:pStyle w:val="aa"/>
        <w:ind w:left="720"/>
        <w:rPr>
          <w:rFonts w:ascii="Times New Roman" w:hAnsi="Times New Roman"/>
          <w:sz w:val="24"/>
          <w:szCs w:val="24"/>
        </w:rPr>
      </w:pPr>
    </w:p>
    <w:p w:rsidR="004B5D18" w:rsidRDefault="004B5D18" w:rsidP="004B5D18">
      <w:pPr>
        <w:pStyle w:val="aa"/>
        <w:numPr>
          <w:ilvl w:val="0"/>
          <w:numId w:val="16"/>
        </w:numPr>
        <w:rPr>
          <w:rFonts w:ascii="Times New Roman" w:hAnsi="Times New Roman"/>
          <w:sz w:val="24"/>
          <w:szCs w:val="24"/>
        </w:rPr>
      </w:pPr>
      <w:r w:rsidRPr="000915FF">
        <w:rPr>
          <w:rFonts w:ascii="Times New Roman" w:hAnsi="Times New Roman"/>
          <w:sz w:val="24"/>
          <w:szCs w:val="24"/>
        </w:rPr>
        <w:t>TIA-942-A-1, Telecommunications Infrastructure Standard for Data Centers, Addendum 1 - Cabling Guidelines for Data Center Fabrics</w:t>
      </w:r>
      <w:r>
        <w:rPr>
          <w:rFonts w:ascii="Times New Roman" w:hAnsi="Times New Roman"/>
          <w:sz w:val="24"/>
          <w:szCs w:val="24"/>
        </w:rPr>
        <w:t xml:space="preserve">, </w:t>
      </w:r>
      <w:r w:rsidRPr="000915FF">
        <w:rPr>
          <w:rFonts w:ascii="Times New Roman" w:hAnsi="Times New Roman"/>
          <w:sz w:val="24"/>
          <w:szCs w:val="24"/>
        </w:rPr>
        <w:t>March 2013</w:t>
      </w:r>
    </w:p>
    <w:p w:rsidR="004B5D18" w:rsidRDefault="004B5D18" w:rsidP="004B5D18">
      <w:pPr>
        <w:pStyle w:val="ad"/>
        <w:ind w:left="960"/>
        <w:rPr>
          <w:rFonts w:ascii="Times New Roman" w:hAnsi="Times New Roman" w:cs="Times New Roman"/>
        </w:rPr>
      </w:pPr>
    </w:p>
    <w:p w:rsidR="004B5D18" w:rsidRDefault="004B5D18" w:rsidP="004B5D18">
      <w:pPr>
        <w:pStyle w:val="aa"/>
        <w:numPr>
          <w:ilvl w:val="0"/>
          <w:numId w:val="16"/>
        </w:numPr>
        <w:rPr>
          <w:rFonts w:ascii="Times New Roman" w:hAnsi="Times New Roman"/>
          <w:sz w:val="24"/>
          <w:szCs w:val="24"/>
        </w:rPr>
      </w:pPr>
      <w:r w:rsidRPr="000915FF">
        <w:rPr>
          <w:rFonts w:ascii="Times New Roman" w:hAnsi="Times New Roman"/>
          <w:sz w:val="24"/>
          <w:szCs w:val="24"/>
        </w:rPr>
        <w:t>TIA-4964, cdma2000® RAN Management</w:t>
      </w:r>
      <w:r>
        <w:rPr>
          <w:rFonts w:ascii="Times New Roman" w:hAnsi="Times New Roman"/>
          <w:sz w:val="24"/>
          <w:szCs w:val="24"/>
        </w:rPr>
        <w:t xml:space="preserve">, </w:t>
      </w:r>
      <w:r w:rsidRPr="000915FF">
        <w:rPr>
          <w:rFonts w:ascii="Times New Roman" w:hAnsi="Times New Roman"/>
          <w:sz w:val="24"/>
          <w:szCs w:val="24"/>
        </w:rPr>
        <w:t>July 2012</w:t>
      </w:r>
    </w:p>
    <w:p w:rsidR="004B5D18" w:rsidRPr="000915FF" w:rsidRDefault="004B5D18" w:rsidP="004B5D18">
      <w:pPr>
        <w:pStyle w:val="aa"/>
        <w:ind w:left="720"/>
        <w:rPr>
          <w:rFonts w:ascii="Times New Roman" w:hAnsi="Times New Roman"/>
          <w:sz w:val="24"/>
          <w:szCs w:val="24"/>
        </w:rPr>
      </w:pPr>
    </w:p>
    <w:p w:rsidR="004B5D18" w:rsidRDefault="004B5D18" w:rsidP="004B5D18">
      <w:pPr>
        <w:pStyle w:val="aa"/>
        <w:numPr>
          <w:ilvl w:val="0"/>
          <w:numId w:val="16"/>
        </w:numPr>
        <w:rPr>
          <w:rFonts w:ascii="Times New Roman" w:hAnsi="Times New Roman"/>
          <w:sz w:val="24"/>
          <w:szCs w:val="24"/>
        </w:rPr>
      </w:pPr>
      <w:r w:rsidRPr="000915FF">
        <w:rPr>
          <w:rFonts w:ascii="Times New Roman" w:hAnsi="Times New Roman"/>
          <w:sz w:val="24"/>
          <w:szCs w:val="24"/>
        </w:rPr>
        <w:t>TSB-473,</w:t>
      </w:r>
      <w:r>
        <w:rPr>
          <w:rFonts w:ascii="Times New Roman" w:hAnsi="Times New Roman"/>
          <w:sz w:val="24"/>
          <w:szCs w:val="24"/>
        </w:rPr>
        <w:t xml:space="preserve"> </w:t>
      </w:r>
      <w:r w:rsidRPr="000915FF">
        <w:rPr>
          <w:rFonts w:ascii="Times New Roman" w:hAnsi="Times New Roman"/>
          <w:sz w:val="24"/>
          <w:szCs w:val="24"/>
        </w:rPr>
        <w:t>Green Revised Energy Efficient Network (GREEN) Study"</w:t>
      </w:r>
      <w:r>
        <w:rPr>
          <w:rFonts w:ascii="Times New Roman" w:hAnsi="Times New Roman"/>
          <w:sz w:val="24"/>
          <w:szCs w:val="24"/>
        </w:rPr>
        <w:t xml:space="preserve">, </w:t>
      </w:r>
      <w:r w:rsidRPr="000915FF">
        <w:rPr>
          <w:rFonts w:ascii="Times New Roman" w:hAnsi="Times New Roman"/>
          <w:sz w:val="24"/>
          <w:szCs w:val="24"/>
        </w:rPr>
        <w:t>February 2012</w:t>
      </w:r>
    </w:p>
    <w:p w:rsidR="004B5D18" w:rsidRPr="000915FF" w:rsidRDefault="004B5D18" w:rsidP="004B5D18">
      <w:pPr>
        <w:pStyle w:val="aa"/>
        <w:ind w:left="720"/>
        <w:rPr>
          <w:rFonts w:ascii="Times New Roman" w:hAnsi="Times New Roman"/>
          <w:sz w:val="24"/>
          <w:szCs w:val="24"/>
        </w:rPr>
      </w:pPr>
    </w:p>
    <w:p w:rsidR="004B5D18" w:rsidRDefault="004B5D18" w:rsidP="004B5D18">
      <w:pPr>
        <w:pStyle w:val="aa"/>
        <w:numPr>
          <w:ilvl w:val="0"/>
          <w:numId w:val="16"/>
        </w:numPr>
        <w:rPr>
          <w:rFonts w:ascii="Times New Roman" w:hAnsi="Times New Roman"/>
          <w:sz w:val="24"/>
          <w:szCs w:val="24"/>
        </w:rPr>
      </w:pPr>
      <w:r w:rsidRPr="000915FF">
        <w:rPr>
          <w:rFonts w:ascii="Times New Roman" w:hAnsi="Times New Roman"/>
          <w:sz w:val="24"/>
          <w:szCs w:val="24"/>
        </w:rPr>
        <w:t xml:space="preserve">TIA-222-G-4, Structural Standards for Steel Antenna Towers and Antenna Supporting Structures- Addendum 4 (under development) </w:t>
      </w:r>
    </w:p>
    <w:p w:rsidR="004B5D18" w:rsidRPr="000915FF" w:rsidRDefault="004B5D18" w:rsidP="004B5D18">
      <w:pPr>
        <w:pStyle w:val="aa"/>
        <w:ind w:left="720"/>
        <w:rPr>
          <w:rFonts w:ascii="Times New Roman" w:hAnsi="Times New Roman"/>
          <w:sz w:val="24"/>
          <w:szCs w:val="24"/>
        </w:rPr>
      </w:pPr>
    </w:p>
    <w:p w:rsidR="004B5D18" w:rsidRPr="000915FF" w:rsidRDefault="004B5D18" w:rsidP="004B5D18">
      <w:pPr>
        <w:pStyle w:val="aa"/>
        <w:numPr>
          <w:ilvl w:val="0"/>
          <w:numId w:val="16"/>
        </w:numPr>
        <w:rPr>
          <w:rFonts w:ascii="Times New Roman" w:hAnsi="Times New Roman"/>
          <w:sz w:val="24"/>
          <w:szCs w:val="24"/>
        </w:rPr>
      </w:pPr>
      <w:r w:rsidRPr="000915FF">
        <w:rPr>
          <w:rFonts w:ascii="Times New Roman" w:hAnsi="Times New Roman"/>
          <w:sz w:val="24"/>
          <w:szCs w:val="24"/>
        </w:rPr>
        <w:t xml:space="preserve">TIA-4994, Standard for </w:t>
      </w:r>
      <w:r>
        <w:rPr>
          <w:rFonts w:ascii="Times New Roman" w:hAnsi="Times New Roman"/>
          <w:sz w:val="24"/>
          <w:szCs w:val="24"/>
        </w:rPr>
        <w:t>S</w:t>
      </w:r>
      <w:r w:rsidRPr="000915FF">
        <w:rPr>
          <w:rFonts w:ascii="Times New Roman" w:hAnsi="Times New Roman"/>
          <w:sz w:val="24"/>
          <w:szCs w:val="24"/>
        </w:rPr>
        <w:t xml:space="preserve">ustainable </w:t>
      </w:r>
      <w:r>
        <w:rPr>
          <w:rFonts w:ascii="Times New Roman" w:hAnsi="Times New Roman"/>
          <w:sz w:val="24"/>
          <w:szCs w:val="24"/>
        </w:rPr>
        <w:t>I</w:t>
      </w:r>
      <w:r w:rsidRPr="000915FF">
        <w:rPr>
          <w:rFonts w:ascii="Times New Roman" w:hAnsi="Times New Roman"/>
          <w:sz w:val="24"/>
          <w:szCs w:val="24"/>
        </w:rPr>
        <w:t xml:space="preserve">nformation </w:t>
      </w:r>
      <w:r>
        <w:rPr>
          <w:rFonts w:ascii="Times New Roman" w:hAnsi="Times New Roman"/>
          <w:sz w:val="24"/>
          <w:szCs w:val="24"/>
        </w:rPr>
        <w:t>C</w:t>
      </w:r>
      <w:r w:rsidRPr="000915FF">
        <w:rPr>
          <w:rFonts w:ascii="Times New Roman" w:hAnsi="Times New Roman"/>
          <w:sz w:val="24"/>
          <w:szCs w:val="24"/>
        </w:rPr>
        <w:t xml:space="preserve">ommunications </w:t>
      </w:r>
      <w:r>
        <w:rPr>
          <w:rFonts w:ascii="Times New Roman" w:hAnsi="Times New Roman"/>
          <w:sz w:val="24"/>
          <w:szCs w:val="24"/>
        </w:rPr>
        <w:t>T</w:t>
      </w:r>
      <w:r w:rsidRPr="000915FF">
        <w:rPr>
          <w:rFonts w:ascii="Times New Roman" w:hAnsi="Times New Roman"/>
          <w:sz w:val="24"/>
          <w:szCs w:val="24"/>
        </w:rPr>
        <w:t>echnology (under development)</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TTA</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TTC</w:t>
      </w:r>
    </w:p>
    <w:p w:rsidR="004B5D18" w:rsidRPr="008B1EB4" w:rsidRDefault="004B5D18" w:rsidP="004B5D18">
      <w:pPr>
        <w:widowControl w:val="0"/>
        <w:numPr>
          <w:ilvl w:val="0"/>
          <w:numId w:val="16"/>
        </w:numPr>
        <w:autoSpaceDE w:val="0"/>
        <w:autoSpaceDN w:val="0"/>
        <w:adjustRightInd w:val="0"/>
        <w:jc w:val="both"/>
      </w:pPr>
      <w:r w:rsidRPr="008B1EB4">
        <w:t>JT.1410  May 2013</w:t>
      </w:r>
      <w:r>
        <w:rPr>
          <w:rFonts w:hint="eastAsia"/>
        </w:rPr>
        <w:t xml:space="preserve">  </w:t>
      </w:r>
      <w:r w:rsidRPr="008B1EB4">
        <w:t xml:space="preserve"> </w:t>
      </w:r>
      <w:r w:rsidRPr="00D76956">
        <w:t>“Methodology for environmental impact assessment of ICT goods, networks and services</w:t>
      </w:r>
      <w:r>
        <w:rPr>
          <w:rFonts w:hint="eastAsia"/>
        </w:rPr>
        <w:t xml:space="preserve"> in Japanese version</w:t>
      </w:r>
      <w:r w:rsidRPr="00D76956">
        <w:t>”</w:t>
      </w:r>
    </w:p>
    <w:p w:rsidR="004B5D18" w:rsidRPr="008B1EB4" w:rsidRDefault="004B5D18" w:rsidP="004B5D18">
      <w:pPr>
        <w:widowControl w:val="0"/>
        <w:autoSpaceDE w:val="0"/>
        <w:autoSpaceDN w:val="0"/>
        <w:adjustRightInd w:val="0"/>
        <w:ind w:left="360"/>
        <w:jc w:val="both"/>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spacing w:before="240"/>
        <w:jc w:val="both"/>
        <w:rPr>
          <w:b/>
        </w:rPr>
      </w:pPr>
    </w:p>
    <w:p w:rsidR="004B5D18" w:rsidRPr="002B5111" w:rsidRDefault="004B5D18" w:rsidP="004B5D18">
      <w:pPr>
        <w:widowControl w:val="0"/>
        <w:jc w:val="both"/>
        <w:rPr>
          <w:b/>
        </w:rPr>
      </w:pPr>
      <w:r w:rsidRPr="00D76956">
        <w:rPr>
          <w:b/>
        </w:rPr>
        <w:br w:type="page"/>
      </w:r>
      <w:r w:rsidRPr="002B5111">
        <w:rPr>
          <w:b/>
        </w:rPr>
        <w:lastRenderedPageBreak/>
        <w:t>Attachment</w:t>
      </w:r>
      <w:r>
        <w:rPr>
          <w:b/>
        </w:rPr>
        <w:t xml:space="preserve"> B</w:t>
      </w:r>
    </w:p>
    <w:p w:rsidR="004B5D18" w:rsidRPr="00D76956" w:rsidRDefault="004B5D18" w:rsidP="004B5D18">
      <w:pPr>
        <w:spacing w:before="240"/>
        <w:jc w:val="both"/>
      </w:pPr>
      <w:r w:rsidRPr="00D76956">
        <w:rPr>
          <w:b/>
        </w:rPr>
        <w:t xml:space="preserve">List of events related </w:t>
      </w:r>
      <w:r>
        <w:rPr>
          <w:b/>
        </w:rPr>
        <w:t>to RESOLUTION GSC-1</w:t>
      </w:r>
      <w:r>
        <w:rPr>
          <w:rFonts w:hint="eastAsia"/>
          <w:b/>
        </w:rPr>
        <w:t>7</w:t>
      </w:r>
      <w:r>
        <w:rPr>
          <w:b/>
        </w:rPr>
        <w:t xml:space="preserve">/08: (Plenary) </w:t>
      </w:r>
      <w:r w:rsidRPr="00D76956">
        <w:rPr>
          <w:b/>
        </w:rPr>
        <w:t>ICT and Environment</w:t>
      </w:r>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autoSpaceDE w:val="0"/>
        <w:autoSpaceDN w:val="0"/>
        <w:adjustRightInd w:val="0"/>
        <w:jc w:val="both"/>
        <w:rPr>
          <w:b/>
        </w:rPr>
      </w:pPr>
      <w:r w:rsidRPr="00D76956">
        <w:rPr>
          <w:b/>
        </w:rPr>
        <w:t>ATIS</w:t>
      </w:r>
    </w:p>
    <w:p w:rsidR="004B5D18" w:rsidRPr="00501B6C" w:rsidRDefault="004B5D18" w:rsidP="004B5D18">
      <w:pPr>
        <w:widowControl w:val="0"/>
        <w:autoSpaceDE w:val="0"/>
        <w:autoSpaceDN w:val="0"/>
        <w:adjustRightInd w:val="0"/>
        <w:jc w:val="both"/>
      </w:pPr>
    </w:p>
    <w:p w:rsidR="004B5D18" w:rsidRPr="00501B6C" w:rsidRDefault="004B5D18" w:rsidP="004B5D18">
      <w:pPr>
        <w:widowControl w:val="0"/>
        <w:tabs>
          <w:tab w:val="left" w:pos="360"/>
        </w:tabs>
        <w:autoSpaceDE w:val="0"/>
        <w:autoSpaceDN w:val="0"/>
        <w:adjustRightInd w:val="0"/>
        <w:ind w:left="360" w:hanging="240"/>
        <w:jc w:val="both"/>
      </w:pPr>
      <w:r>
        <w:t>-</w:t>
      </w:r>
      <w:r>
        <w:tab/>
      </w:r>
      <w:r w:rsidRPr="00501B6C">
        <w:t>Normal ATIS schedule for sustainability related standards development in ATIS-STEP (Sustainability in Telecom: Energy and Protection) Committee focusing on ICT energy efficiency and reduction of hazardous material in ICT.</w:t>
      </w:r>
    </w:p>
    <w:p w:rsidR="004B5D18" w:rsidRPr="00501B6C" w:rsidRDefault="004B5D18" w:rsidP="004B5D18">
      <w:pPr>
        <w:widowControl w:val="0"/>
        <w:autoSpaceDE w:val="0"/>
        <w:autoSpaceDN w:val="0"/>
        <w:adjustRightInd w:val="0"/>
        <w:jc w:val="both"/>
      </w:pPr>
    </w:p>
    <w:p w:rsidR="004B5D18" w:rsidRPr="00D76956" w:rsidRDefault="004B5D18" w:rsidP="004B5D18">
      <w:pPr>
        <w:spacing w:before="240"/>
        <w:jc w:val="both"/>
      </w:pPr>
      <w:r w:rsidRPr="00D76956">
        <w:rPr>
          <w:b/>
        </w:rPr>
        <w:t>ETSI</w:t>
      </w:r>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tabs>
          <w:tab w:val="left" w:pos="360"/>
        </w:tabs>
        <w:autoSpaceDE w:val="0"/>
        <w:autoSpaceDN w:val="0"/>
        <w:adjustRightInd w:val="0"/>
        <w:ind w:left="360" w:hanging="240"/>
        <w:jc w:val="both"/>
        <w:rPr>
          <w:szCs w:val="21"/>
        </w:rPr>
      </w:pPr>
      <w:proofErr w:type="gramStart"/>
      <w:r>
        <w:rPr>
          <w:szCs w:val="21"/>
        </w:rPr>
        <w:t>-</w:t>
      </w:r>
      <w:r>
        <w:rPr>
          <w:szCs w:val="21"/>
        </w:rPr>
        <w:tab/>
      </w:r>
      <w:r w:rsidRPr="00D76956">
        <w:rPr>
          <w:szCs w:val="21"/>
        </w:rPr>
        <w:t>ETSI GREEN AGENDA Seminar, 26th November 2009, Cannes, France.</w:t>
      </w:r>
      <w:proofErr w:type="gramEnd"/>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autoSpaceDE w:val="0"/>
        <w:autoSpaceDN w:val="0"/>
        <w:adjustRightInd w:val="0"/>
        <w:jc w:val="both"/>
        <w:rPr>
          <w:b/>
        </w:rPr>
      </w:pPr>
    </w:p>
    <w:p w:rsidR="004B5D18" w:rsidRPr="00D76956" w:rsidRDefault="004B5D18" w:rsidP="004B5D18">
      <w:pPr>
        <w:widowControl w:val="0"/>
        <w:autoSpaceDE w:val="0"/>
        <w:autoSpaceDN w:val="0"/>
        <w:adjustRightInd w:val="0"/>
        <w:jc w:val="both"/>
        <w:rPr>
          <w:b/>
        </w:rPr>
      </w:pPr>
      <w:r w:rsidRPr="00D76956">
        <w:rPr>
          <w:b/>
        </w:rPr>
        <w:t>ITU</w:t>
      </w:r>
    </w:p>
    <w:p w:rsidR="004B5D18" w:rsidRPr="00D76956" w:rsidRDefault="004B5D18" w:rsidP="004B5D18">
      <w:pPr>
        <w:widowControl w:val="0"/>
        <w:autoSpaceDE w:val="0"/>
        <w:autoSpaceDN w:val="0"/>
        <w:adjustRightInd w:val="0"/>
        <w:jc w:val="both"/>
        <w:rPr>
          <w:szCs w:val="21"/>
        </w:rPr>
      </w:pPr>
    </w:p>
    <w:p w:rsidR="004B5D18" w:rsidRDefault="004B5D18" w:rsidP="004B5D18">
      <w:pPr>
        <w:tabs>
          <w:tab w:val="left" w:pos="360"/>
        </w:tabs>
        <w:ind w:left="360" w:hanging="240"/>
        <w:jc w:val="both"/>
      </w:pPr>
      <w:r>
        <w:t>-</w:t>
      </w:r>
      <w:r>
        <w:tab/>
      </w:r>
      <w:r w:rsidRPr="00D76956">
        <w:t>7th Symposium on ICTs, the environment and climate change, Montreal, Canada, 29-31 May, 2012</w:t>
      </w:r>
    </w:p>
    <w:p w:rsidR="005B66B6" w:rsidRPr="00C40821" w:rsidRDefault="005B66B6" w:rsidP="00C40821">
      <w:pPr>
        <w:tabs>
          <w:tab w:val="left" w:pos="360"/>
        </w:tabs>
        <w:ind w:leftChars="-50" w:left="120" w:hanging="240"/>
        <w:jc w:val="both"/>
        <w:rPr>
          <w:color w:val="FF0000"/>
        </w:rPr>
      </w:pPr>
    </w:p>
    <w:p w:rsidR="004B5D18" w:rsidRPr="00AC7FD5" w:rsidRDefault="001A3FD1" w:rsidP="004B5D18">
      <w:pPr>
        <w:ind w:left="360" w:hanging="240"/>
        <w:jc w:val="both"/>
      </w:pPr>
      <w:hyperlink r:id="rId9" w:history="1">
        <w:r w:rsidR="004B5D18" w:rsidRPr="00AC7FD5">
          <w:t>ITU/UNEP session on Environmentally Sound Management of E-Waste @ WSIS Forum 2013</w:t>
        </w:r>
      </w:hyperlink>
      <w:r w:rsidR="004B5D18" w:rsidRPr="00AC7FD5">
        <w:rPr>
          <w:rFonts w:hint="eastAsia"/>
        </w:rPr>
        <w:t xml:space="preserve">, </w:t>
      </w:r>
      <w:r w:rsidR="004B5D18" w:rsidRPr="00AC7FD5">
        <w:t>Geneva, Switzerland, 14 May 2013</w:t>
      </w:r>
      <w:hyperlink r:id="rId10" w:history="1">
        <w:r w:rsidR="004B5D18" w:rsidRPr="00AC7FD5">
          <w:t xml:space="preserve"> </w:t>
        </w:r>
      </w:hyperlink>
    </w:p>
    <w:p w:rsidR="004B5D18" w:rsidRPr="00AC7FD5" w:rsidRDefault="001A3FD1" w:rsidP="004B5D18">
      <w:pPr>
        <w:numPr>
          <w:ilvl w:val="0"/>
          <w:numId w:val="17"/>
        </w:numPr>
        <w:tabs>
          <w:tab w:val="left" w:pos="360"/>
        </w:tabs>
        <w:ind w:leftChars="50" w:left="540"/>
        <w:jc w:val="both"/>
      </w:pPr>
      <w:hyperlink r:id="rId11" w:history="1">
        <w:r w:rsidR="004B5D18" w:rsidRPr="00AC7FD5">
          <w:t>ITU Workshop on Environmentally Sound Management of E-waste</w:t>
        </w:r>
      </w:hyperlink>
      <w:r w:rsidR="004B5D18" w:rsidRPr="00AC7FD5">
        <w:t>  9 July 2013, Durban, South Africa</w:t>
      </w:r>
    </w:p>
    <w:p w:rsidR="004B5D18" w:rsidRPr="00AC7FD5" w:rsidRDefault="001A3FD1" w:rsidP="004B5D18">
      <w:pPr>
        <w:numPr>
          <w:ilvl w:val="0"/>
          <w:numId w:val="17"/>
        </w:numPr>
        <w:tabs>
          <w:tab w:val="left" w:pos="360"/>
        </w:tabs>
        <w:ind w:leftChars="50" w:left="540"/>
        <w:jc w:val="both"/>
      </w:pPr>
      <w:hyperlink r:id="rId12" w:history="1">
        <w:r w:rsidR="004B5D18" w:rsidRPr="00AC7FD5">
          <w:t>ITU Workshop on Building a Sustainable Future Through Green ICT Standards</w:t>
        </w:r>
      </w:hyperlink>
      <w:r w:rsidR="004B5D18" w:rsidRPr="00AC7FD5">
        <w:t> 15-16 July 2013, Ouagadougou, Burkina Faso</w:t>
      </w:r>
    </w:p>
    <w:p w:rsidR="004B5D18" w:rsidRPr="00AC7FD5" w:rsidRDefault="001A3FD1" w:rsidP="004B5D18">
      <w:pPr>
        <w:numPr>
          <w:ilvl w:val="0"/>
          <w:numId w:val="17"/>
        </w:numPr>
        <w:tabs>
          <w:tab w:val="left" w:pos="360"/>
        </w:tabs>
        <w:ind w:leftChars="50" w:left="540"/>
        <w:jc w:val="both"/>
      </w:pPr>
      <w:hyperlink r:id="rId13" w:history="1">
        <w:r w:rsidR="004B5D18" w:rsidRPr="00AC7FD5">
          <w:t>ITU Workshop on Smart Sustainable Cities in Latin America</w:t>
        </w:r>
      </w:hyperlink>
      <w:r w:rsidR="004B5D18" w:rsidRPr="00AC7FD5">
        <w:t> 22 July 2013, Montevideo, Uruguay</w:t>
      </w:r>
      <w:hyperlink r:id="rId14" w:history="1">
        <w:r w:rsidR="004B5D18" w:rsidRPr="00AC7FD5">
          <w:t xml:space="preserve"> </w:t>
        </w:r>
      </w:hyperlink>
    </w:p>
    <w:p w:rsidR="004B5D18" w:rsidRPr="00AC7FD5" w:rsidRDefault="001A3FD1" w:rsidP="004B5D18">
      <w:pPr>
        <w:numPr>
          <w:ilvl w:val="0"/>
          <w:numId w:val="17"/>
        </w:numPr>
        <w:tabs>
          <w:tab w:val="left" w:pos="360"/>
        </w:tabs>
        <w:ind w:leftChars="50" w:left="540"/>
        <w:jc w:val="both"/>
      </w:pPr>
      <w:hyperlink r:id="rId15" w:history="1">
        <w:r w:rsidR="004B5D18" w:rsidRPr="00AC7FD5">
          <w:t>Information Session on Green ICT Standards</w:t>
        </w:r>
      </w:hyperlink>
      <w:r w:rsidR="004B5D18" w:rsidRPr="00AC7FD5">
        <w:t xml:space="preserve"> 26 July 2013, Montevideo, Uruguay </w:t>
      </w:r>
    </w:p>
    <w:p w:rsidR="004B5D18" w:rsidRPr="00AC7FD5" w:rsidRDefault="001A3FD1" w:rsidP="004B5D18">
      <w:pPr>
        <w:numPr>
          <w:ilvl w:val="0"/>
          <w:numId w:val="17"/>
        </w:numPr>
        <w:tabs>
          <w:tab w:val="left" w:pos="360"/>
        </w:tabs>
        <w:ind w:leftChars="50" w:left="540"/>
        <w:jc w:val="both"/>
      </w:pPr>
      <w:hyperlink r:id="rId16" w:history="1">
        <w:r w:rsidR="004B5D18" w:rsidRPr="00AC7FD5">
          <w:t>ITU Workshop on E-waste</w:t>
        </w:r>
      </w:hyperlink>
      <w:r w:rsidR="004B5D18" w:rsidRPr="00AC7FD5">
        <w:t xml:space="preserve"> </w:t>
      </w:r>
    </w:p>
    <w:p w:rsidR="004B5D18" w:rsidRPr="00AC7FD5" w:rsidRDefault="004B5D18" w:rsidP="004B5D18">
      <w:pPr>
        <w:numPr>
          <w:ilvl w:val="1"/>
          <w:numId w:val="17"/>
        </w:numPr>
        <w:tabs>
          <w:tab w:val="left" w:pos="360"/>
        </w:tabs>
        <w:ind w:leftChars="225" w:left="960"/>
        <w:jc w:val="both"/>
      </w:pPr>
      <w:r w:rsidRPr="00AC7FD5">
        <w:t xml:space="preserve">13-14 August, Quito, Ecuador </w:t>
      </w:r>
    </w:p>
    <w:p w:rsidR="004B5D18" w:rsidRPr="00AC7FD5" w:rsidRDefault="001A3FD1" w:rsidP="004B5D18">
      <w:pPr>
        <w:numPr>
          <w:ilvl w:val="0"/>
          <w:numId w:val="17"/>
        </w:numPr>
        <w:tabs>
          <w:tab w:val="left" w:pos="360"/>
        </w:tabs>
        <w:ind w:leftChars="50" w:left="540"/>
        <w:jc w:val="both"/>
      </w:pPr>
      <w:hyperlink r:id="rId17" w:history="1">
        <w:r w:rsidR="004B5D18" w:rsidRPr="00AC7FD5">
          <w:t>3rd ITU Green Standards Week </w:t>
        </w:r>
      </w:hyperlink>
      <w:r w:rsidR="004B5D18" w:rsidRPr="00AC7FD5">
        <w:rPr>
          <w:rFonts w:hint="eastAsia"/>
        </w:rPr>
        <w:t>,</w:t>
      </w:r>
      <w:r w:rsidR="004B5D18" w:rsidRPr="00AC7FD5">
        <w:t>16-20 September 2013, Madrid, Spain</w:t>
      </w:r>
    </w:p>
    <w:p w:rsidR="005B66B6" w:rsidRDefault="005B66B6" w:rsidP="00C40821">
      <w:pPr>
        <w:tabs>
          <w:tab w:val="left" w:pos="360"/>
        </w:tabs>
        <w:ind w:left="360" w:hanging="240"/>
        <w:jc w:val="both"/>
      </w:pPr>
    </w:p>
    <w:p w:rsidR="004B5D18" w:rsidRDefault="004B5D18" w:rsidP="004B5D18">
      <w:pPr>
        <w:jc w:val="both"/>
      </w:pPr>
      <w:r w:rsidRPr="00D76956">
        <w:rPr>
          <w:b/>
        </w:rPr>
        <w:t>U</w:t>
      </w:r>
      <w:r>
        <w:rPr>
          <w:rFonts w:hint="eastAsia"/>
          <w:b/>
        </w:rPr>
        <w:t>N</w:t>
      </w:r>
    </w:p>
    <w:p w:rsidR="004B5D18" w:rsidRPr="00D76956" w:rsidRDefault="004B5D18" w:rsidP="004B5D18">
      <w:pPr>
        <w:jc w:val="both"/>
      </w:pPr>
    </w:p>
    <w:p w:rsidR="004B5D18" w:rsidRPr="00D76956" w:rsidRDefault="004B5D18" w:rsidP="004B5D18">
      <w:pPr>
        <w:tabs>
          <w:tab w:val="left" w:pos="360"/>
        </w:tabs>
        <w:ind w:left="360" w:hanging="240"/>
        <w:jc w:val="both"/>
      </w:pPr>
      <w:r>
        <w:tab/>
      </w:r>
      <w:proofErr w:type="gramStart"/>
      <w:r w:rsidRPr="00D76956">
        <w:t>UN Conference on Sustainable Development, Rio de Janeiro, Brazil, 4-6 June, 2012.</w:t>
      </w:r>
      <w:proofErr w:type="gramEnd"/>
      <w:r w:rsidRPr="00D76956">
        <w:t xml:space="preserve"> The Conference should include recognition by Rio+20 of ICTs as key drivers in the green economy and tools to achieve sustainable development.</w:t>
      </w:r>
    </w:p>
    <w:p w:rsidR="004B5D18" w:rsidRPr="00D76956" w:rsidRDefault="004B5D18" w:rsidP="004B5D18">
      <w:pPr>
        <w:widowControl w:val="0"/>
        <w:autoSpaceDE w:val="0"/>
        <w:autoSpaceDN w:val="0"/>
        <w:adjustRightInd w:val="0"/>
        <w:jc w:val="both"/>
        <w:rPr>
          <w:szCs w:val="21"/>
        </w:rPr>
      </w:pPr>
    </w:p>
    <w:p w:rsidR="004B5D18" w:rsidRDefault="004B5D18" w:rsidP="004B5D18">
      <w:pPr>
        <w:widowControl w:val="0"/>
        <w:autoSpaceDE w:val="0"/>
        <w:autoSpaceDN w:val="0"/>
        <w:adjustRightInd w:val="0"/>
        <w:jc w:val="both"/>
        <w:rPr>
          <w:b/>
        </w:rPr>
      </w:pPr>
      <w:r w:rsidRPr="00D76956">
        <w:rPr>
          <w:b/>
        </w:rPr>
        <w:t>TIA</w:t>
      </w:r>
    </w:p>
    <w:p w:rsidR="004B5D18" w:rsidRPr="00C40821" w:rsidRDefault="004B5D18" w:rsidP="004B5D18">
      <w:pPr>
        <w:widowControl w:val="0"/>
        <w:autoSpaceDE w:val="0"/>
        <w:autoSpaceDN w:val="0"/>
        <w:adjustRightInd w:val="0"/>
        <w:jc w:val="both"/>
        <w:rPr>
          <w:b/>
        </w:rPr>
      </w:pPr>
    </w:p>
    <w:p w:rsidR="004B5D18" w:rsidRPr="006916D7" w:rsidRDefault="004B5D18" w:rsidP="004B5D18">
      <w:pPr>
        <w:widowControl w:val="0"/>
        <w:numPr>
          <w:ilvl w:val="0"/>
          <w:numId w:val="17"/>
        </w:numPr>
        <w:autoSpaceDE w:val="0"/>
        <w:autoSpaceDN w:val="0"/>
        <w:adjustRightInd w:val="0"/>
        <w:ind w:left="284" w:hanging="284"/>
        <w:jc w:val="both"/>
      </w:pPr>
      <w:r w:rsidRPr="006916D7">
        <w:t>TIA 2013: The Future of the Network, (Track 5: Sustainability and ICT), October 8-10, 2013 in Washington, D.C., USA</w:t>
      </w:r>
    </w:p>
    <w:p w:rsidR="004B5D18"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TTA</w:t>
      </w:r>
    </w:p>
    <w:p w:rsidR="004B5D18" w:rsidRPr="00AC7FD5"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TTC</w:t>
      </w:r>
    </w:p>
    <w:p w:rsidR="005B66B6" w:rsidRDefault="005B66B6" w:rsidP="00C40821">
      <w:pPr>
        <w:widowControl w:val="0"/>
        <w:autoSpaceDE w:val="0"/>
        <w:autoSpaceDN w:val="0"/>
        <w:adjustRightInd w:val="0"/>
        <w:ind w:left="180"/>
        <w:jc w:val="center"/>
        <w:rPr>
          <w:szCs w:val="21"/>
        </w:rPr>
      </w:pPr>
    </w:p>
    <w:p w:rsidR="004B5D18" w:rsidRPr="00D76956" w:rsidRDefault="004B5D18" w:rsidP="004B5D18">
      <w:pPr>
        <w:widowControl w:val="0"/>
        <w:autoSpaceDE w:val="0"/>
        <w:autoSpaceDN w:val="0"/>
        <w:adjustRightInd w:val="0"/>
        <w:ind w:left="180"/>
        <w:jc w:val="center"/>
      </w:pPr>
      <w:r w:rsidRPr="00D76956">
        <w:rPr>
          <w:rFonts w:eastAsia="Times New Roman"/>
          <w:szCs w:val="21"/>
        </w:rPr>
        <w:t>_______________</w:t>
      </w:r>
    </w:p>
    <w:p w:rsidR="004B5D18" w:rsidRPr="00E21879" w:rsidRDefault="004B5D18" w:rsidP="004B5D18"/>
    <w:p w:rsidR="000D6726" w:rsidRDefault="000D6726" w:rsidP="00C40821">
      <w:pPr>
        <w:spacing w:before="240"/>
        <w:rPr>
          <w:rFonts w:eastAsia="맑은 고딕"/>
          <w:lang w:eastAsia="ko-KR"/>
        </w:rPr>
      </w:pPr>
    </w:p>
    <w:sectPr w:rsidR="000D6726" w:rsidSect="00C40821">
      <w:footerReference w:type="default" r:id="rId18"/>
      <w:pgSz w:w="12240" w:h="15840" w:code="1"/>
      <w:pgMar w:top="180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D1" w:rsidRDefault="001A3FD1">
      <w:r>
        <w:separator/>
      </w:r>
    </w:p>
  </w:endnote>
  <w:endnote w:type="continuationSeparator" w:id="0">
    <w:p w:rsidR="001A3FD1" w:rsidRDefault="001A3FD1">
      <w:r>
        <w:continuationSeparator/>
      </w:r>
    </w:p>
  </w:endnote>
  <w:endnote w:type="continuationNotice" w:id="1">
    <w:p w:rsidR="001A3FD1" w:rsidRDefault="001A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6" w:rsidRDefault="007D7F7B" w:rsidP="00C40821">
    <w:pPr>
      <w:pStyle w:val="a5"/>
      <w:jc w:val="center"/>
    </w:pPr>
    <w:r>
      <w:t xml:space="preserve">Page </w:t>
    </w:r>
    <w:r w:rsidR="00D81279">
      <w:fldChar w:fldCharType="begin"/>
    </w:r>
    <w:r>
      <w:instrText xml:space="preserve"> PAGE </w:instrText>
    </w:r>
    <w:r w:rsidR="00D81279">
      <w:fldChar w:fldCharType="separate"/>
    </w:r>
    <w:r w:rsidR="00842C04">
      <w:rPr>
        <w:noProof/>
      </w:rPr>
      <w:t>2</w:t>
    </w:r>
    <w:r w:rsidR="00D81279">
      <w:fldChar w:fldCharType="end"/>
    </w:r>
    <w:r>
      <w:t xml:space="preserve"> of </w:t>
    </w:r>
    <w:r w:rsidR="00D81279">
      <w:fldChar w:fldCharType="begin"/>
    </w:r>
    <w:r>
      <w:instrText xml:space="preserve"> NUMPAGES </w:instrText>
    </w:r>
    <w:r w:rsidR="00D81279">
      <w:fldChar w:fldCharType="separate"/>
    </w:r>
    <w:r w:rsidR="00842C04">
      <w:rPr>
        <w:noProof/>
      </w:rPr>
      <w:t>12</w:t>
    </w:r>
    <w:r w:rsidR="00D812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D1" w:rsidRDefault="001A3FD1">
      <w:r>
        <w:separator/>
      </w:r>
    </w:p>
  </w:footnote>
  <w:footnote w:type="continuationSeparator" w:id="0">
    <w:p w:rsidR="001A3FD1" w:rsidRDefault="001A3FD1">
      <w:r>
        <w:continuationSeparator/>
      </w:r>
    </w:p>
  </w:footnote>
  <w:footnote w:type="continuationNotice" w:id="1">
    <w:p w:rsidR="001A3FD1" w:rsidRDefault="001A3F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F71838"/>
    <w:multiLevelType w:val="hybridMultilevel"/>
    <w:tmpl w:val="ADEA8394"/>
    <w:lvl w:ilvl="0" w:tplc="D578EED4">
      <w:start w:val="1"/>
      <w:numFmt w:val="lowerLetter"/>
      <w:lvlText w:val="%1)"/>
      <w:lvlJc w:val="left"/>
      <w:pPr>
        <w:tabs>
          <w:tab w:val="num" w:pos="576"/>
        </w:tabs>
        <w:ind w:left="576" w:hanging="360"/>
      </w:pPr>
      <w:rPr>
        <w:rFonts w:ascii="Times New Roman" w:hAnsi="Times New Roman" w:hint="default"/>
        <w:b w:val="0"/>
        <w:i w:val="0"/>
        <w:color w:val="auto"/>
        <w:sz w:val="24"/>
      </w:rPr>
    </w:lvl>
    <w:lvl w:ilvl="1" w:tplc="D61A47A2">
      <w:start w:val="1"/>
      <w:numFmt w:val="lowerLetter"/>
      <w:lvlText w:val="%2)"/>
      <w:lvlJc w:val="left"/>
      <w:pPr>
        <w:tabs>
          <w:tab w:val="num" w:pos="576"/>
        </w:tabs>
        <w:ind w:left="576" w:hanging="360"/>
      </w:pPr>
      <w:rPr>
        <w:rFonts w:ascii="Times New Roman" w:hAnsi="Times New Roman" w:hint="default"/>
        <w:b w:val="0"/>
        <w:i w:val="0"/>
        <w:sz w:val="24"/>
      </w:rPr>
    </w:lvl>
    <w:lvl w:ilvl="2" w:tplc="0409001B">
      <w:start w:val="1"/>
      <w:numFmt w:val="lowerRoman"/>
      <w:lvlText w:val="%3."/>
      <w:lvlJc w:val="right"/>
      <w:pPr>
        <w:tabs>
          <w:tab w:val="num" w:pos="2376"/>
        </w:tabs>
        <w:ind w:left="2376" w:hanging="180"/>
      </w:pPr>
    </w:lvl>
    <w:lvl w:ilvl="3" w:tplc="3AC63B36">
      <w:start w:val="1"/>
      <w:numFmt w:val="lowerLetter"/>
      <w:lvlText w:val="(%4)"/>
      <w:lvlJc w:val="left"/>
      <w:pPr>
        <w:tabs>
          <w:tab w:val="num" w:pos="3771"/>
        </w:tabs>
        <w:ind w:left="3771" w:hanging="1035"/>
      </w:pPr>
      <w:rPr>
        <w:rFonts w:hint="default"/>
      </w:rPr>
    </w:lvl>
    <w:lvl w:ilvl="4" w:tplc="04090019">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
    <w:nsid w:val="16044D4E"/>
    <w:multiLevelType w:val="hybridMultilevel"/>
    <w:tmpl w:val="2A16F694"/>
    <w:lvl w:ilvl="0" w:tplc="14489122">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6974F71"/>
    <w:multiLevelType w:val="hybridMultilevel"/>
    <w:tmpl w:val="B5421466"/>
    <w:lvl w:ilvl="0" w:tplc="7E503414">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nsid w:val="1FBE00C1"/>
    <w:multiLevelType w:val="hybridMultilevel"/>
    <w:tmpl w:val="9918B73C"/>
    <w:lvl w:ilvl="0" w:tplc="9FD8B852">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160"/>
        </w:tabs>
        <w:ind w:left="1160" w:hanging="360"/>
      </w:pPr>
      <w:rPr>
        <w:rFonts w:eastAsia="Arial Unicode MS" w:hint="eastAsia"/>
        <w:b w:val="0"/>
        <w:i w:val="0"/>
        <w:sz w:val="20"/>
        <w:szCs w:val="20"/>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4BA273F"/>
    <w:multiLevelType w:val="hybridMultilevel"/>
    <w:tmpl w:val="BF5CE742"/>
    <w:lvl w:ilvl="0" w:tplc="7E503414">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265D057B"/>
    <w:multiLevelType w:val="hybridMultilevel"/>
    <w:tmpl w:val="DDA47712"/>
    <w:lvl w:ilvl="0" w:tplc="0409000F">
      <w:start w:val="1"/>
      <w:numFmt w:val="decimal"/>
      <w:lvlText w:val="%1."/>
      <w:lvlJc w:val="left"/>
      <w:pPr>
        <w:tabs>
          <w:tab w:val="num" w:pos="950"/>
        </w:tabs>
        <w:ind w:left="950" w:hanging="360"/>
      </w:pPr>
    </w:lvl>
    <w:lvl w:ilvl="1" w:tplc="04090019" w:tentative="1">
      <w:start w:val="1"/>
      <w:numFmt w:val="lowerLetter"/>
      <w:lvlText w:val="%2."/>
      <w:lvlJc w:val="left"/>
      <w:pPr>
        <w:tabs>
          <w:tab w:val="num" w:pos="1670"/>
        </w:tabs>
        <w:ind w:left="1670" w:hanging="360"/>
      </w:pPr>
    </w:lvl>
    <w:lvl w:ilvl="2" w:tplc="0409001B" w:tentative="1">
      <w:start w:val="1"/>
      <w:numFmt w:val="lowerRoman"/>
      <w:lvlText w:val="%3."/>
      <w:lvlJc w:val="right"/>
      <w:pPr>
        <w:tabs>
          <w:tab w:val="num" w:pos="2390"/>
        </w:tabs>
        <w:ind w:left="2390" w:hanging="180"/>
      </w:pPr>
    </w:lvl>
    <w:lvl w:ilvl="3" w:tplc="0409000F" w:tentative="1">
      <w:start w:val="1"/>
      <w:numFmt w:val="decimal"/>
      <w:lvlText w:val="%4."/>
      <w:lvlJc w:val="left"/>
      <w:pPr>
        <w:tabs>
          <w:tab w:val="num" w:pos="3110"/>
        </w:tabs>
        <w:ind w:left="3110" w:hanging="360"/>
      </w:pPr>
    </w:lvl>
    <w:lvl w:ilvl="4" w:tplc="04090019" w:tentative="1">
      <w:start w:val="1"/>
      <w:numFmt w:val="lowerLetter"/>
      <w:lvlText w:val="%5."/>
      <w:lvlJc w:val="left"/>
      <w:pPr>
        <w:tabs>
          <w:tab w:val="num" w:pos="3830"/>
        </w:tabs>
        <w:ind w:left="3830" w:hanging="360"/>
      </w:pPr>
    </w:lvl>
    <w:lvl w:ilvl="5" w:tplc="0409001B" w:tentative="1">
      <w:start w:val="1"/>
      <w:numFmt w:val="lowerRoman"/>
      <w:lvlText w:val="%6."/>
      <w:lvlJc w:val="right"/>
      <w:pPr>
        <w:tabs>
          <w:tab w:val="num" w:pos="4550"/>
        </w:tabs>
        <w:ind w:left="4550" w:hanging="180"/>
      </w:pPr>
    </w:lvl>
    <w:lvl w:ilvl="6" w:tplc="0409000F" w:tentative="1">
      <w:start w:val="1"/>
      <w:numFmt w:val="decimal"/>
      <w:lvlText w:val="%7."/>
      <w:lvlJc w:val="left"/>
      <w:pPr>
        <w:tabs>
          <w:tab w:val="num" w:pos="5270"/>
        </w:tabs>
        <w:ind w:left="5270" w:hanging="360"/>
      </w:pPr>
    </w:lvl>
    <w:lvl w:ilvl="7" w:tplc="04090019" w:tentative="1">
      <w:start w:val="1"/>
      <w:numFmt w:val="lowerLetter"/>
      <w:lvlText w:val="%8."/>
      <w:lvlJc w:val="left"/>
      <w:pPr>
        <w:tabs>
          <w:tab w:val="num" w:pos="5990"/>
        </w:tabs>
        <w:ind w:left="5990" w:hanging="360"/>
      </w:pPr>
    </w:lvl>
    <w:lvl w:ilvl="8" w:tplc="0409001B" w:tentative="1">
      <w:start w:val="1"/>
      <w:numFmt w:val="lowerRoman"/>
      <w:lvlText w:val="%9."/>
      <w:lvlJc w:val="right"/>
      <w:pPr>
        <w:tabs>
          <w:tab w:val="num" w:pos="6710"/>
        </w:tabs>
        <w:ind w:left="6710" w:hanging="180"/>
      </w:pPr>
    </w:lvl>
  </w:abstractNum>
  <w:abstractNum w:abstractNumId="7">
    <w:nsid w:val="2956036D"/>
    <w:multiLevelType w:val="hybridMultilevel"/>
    <w:tmpl w:val="F73C422E"/>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421FEC"/>
    <w:multiLevelType w:val="hybridMultilevel"/>
    <w:tmpl w:val="97E80392"/>
    <w:lvl w:ilvl="0" w:tplc="A460942C">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1CF0FD2"/>
    <w:multiLevelType w:val="hybridMultilevel"/>
    <w:tmpl w:val="A1E2D83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2047331"/>
    <w:multiLevelType w:val="hybridMultilevel"/>
    <w:tmpl w:val="EFD2CA3A"/>
    <w:lvl w:ilvl="0" w:tplc="2E4EC5F4">
      <w:start w:val="1"/>
      <w:numFmt w:val="bullet"/>
      <w:lvlText w:val=""/>
      <w:lvlJc w:val="left"/>
      <w:pPr>
        <w:tabs>
          <w:tab w:val="num" w:pos="950"/>
        </w:tabs>
        <w:ind w:left="950" w:hanging="360"/>
      </w:pPr>
      <w:rPr>
        <w:rFonts w:ascii="Symbol" w:hAnsi="Symbol" w:hint="default"/>
        <w:b w:val="0"/>
        <w:i w:val="0"/>
        <w:sz w:val="20"/>
      </w:rPr>
    </w:lvl>
    <w:lvl w:ilvl="1" w:tplc="04090019" w:tentative="1">
      <w:start w:val="1"/>
      <w:numFmt w:val="lowerLetter"/>
      <w:lvlText w:val="%2."/>
      <w:lvlJc w:val="left"/>
      <w:pPr>
        <w:tabs>
          <w:tab w:val="num" w:pos="1670"/>
        </w:tabs>
        <w:ind w:left="1670" w:hanging="360"/>
      </w:pPr>
    </w:lvl>
    <w:lvl w:ilvl="2" w:tplc="0409001B" w:tentative="1">
      <w:start w:val="1"/>
      <w:numFmt w:val="lowerRoman"/>
      <w:lvlText w:val="%3."/>
      <w:lvlJc w:val="right"/>
      <w:pPr>
        <w:tabs>
          <w:tab w:val="num" w:pos="2390"/>
        </w:tabs>
        <w:ind w:left="2390" w:hanging="180"/>
      </w:pPr>
    </w:lvl>
    <w:lvl w:ilvl="3" w:tplc="0409000F" w:tentative="1">
      <w:start w:val="1"/>
      <w:numFmt w:val="decimal"/>
      <w:lvlText w:val="%4."/>
      <w:lvlJc w:val="left"/>
      <w:pPr>
        <w:tabs>
          <w:tab w:val="num" w:pos="3110"/>
        </w:tabs>
        <w:ind w:left="3110" w:hanging="360"/>
      </w:pPr>
    </w:lvl>
    <w:lvl w:ilvl="4" w:tplc="04090019" w:tentative="1">
      <w:start w:val="1"/>
      <w:numFmt w:val="lowerLetter"/>
      <w:lvlText w:val="%5."/>
      <w:lvlJc w:val="left"/>
      <w:pPr>
        <w:tabs>
          <w:tab w:val="num" w:pos="3830"/>
        </w:tabs>
        <w:ind w:left="3830" w:hanging="360"/>
      </w:pPr>
    </w:lvl>
    <w:lvl w:ilvl="5" w:tplc="0409001B" w:tentative="1">
      <w:start w:val="1"/>
      <w:numFmt w:val="lowerRoman"/>
      <w:lvlText w:val="%6."/>
      <w:lvlJc w:val="right"/>
      <w:pPr>
        <w:tabs>
          <w:tab w:val="num" w:pos="4550"/>
        </w:tabs>
        <w:ind w:left="4550" w:hanging="180"/>
      </w:pPr>
    </w:lvl>
    <w:lvl w:ilvl="6" w:tplc="0409000F" w:tentative="1">
      <w:start w:val="1"/>
      <w:numFmt w:val="decimal"/>
      <w:lvlText w:val="%7."/>
      <w:lvlJc w:val="left"/>
      <w:pPr>
        <w:tabs>
          <w:tab w:val="num" w:pos="5270"/>
        </w:tabs>
        <w:ind w:left="5270" w:hanging="360"/>
      </w:pPr>
    </w:lvl>
    <w:lvl w:ilvl="7" w:tplc="04090019" w:tentative="1">
      <w:start w:val="1"/>
      <w:numFmt w:val="lowerLetter"/>
      <w:lvlText w:val="%8."/>
      <w:lvlJc w:val="left"/>
      <w:pPr>
        <w:tabs>
          <w:tab w:val="num" w:pos="5990"/>
        </w:tabs>
        <w:ind w:left="5990" w:hanging="360"/>
      </w:pPr>
    </w:lvl>
    <w:lvl w:ilvl="8" w:tplc="0409001B" w:tentative="1">
      <w:start w:val="1"/>
      <w:numFmt w:val="lowerRoman"/>
      <w:lvlText w:val="%9."/>
      <w:lvlJc w:val="right"/>
      <w:pPr>
        <w:tabs>
          <w:tab w:val="num" w:pos="6710"/>
        </w:tabs>
        <w:ind w:left="6710" w:hanging="180"/>
      </w:pPr>
    </w:lvl>
  </w:abstractNum>
  <w:abstractNum w:abstractNumId="12">
    <w:nsid w:val="34264D6D"/>
    <w:multiLevelType w:val="hybridMultilevel"/>
    <w:tmpl w:val="01F4412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DD140C2"/>
    <w:multiLevelType w:val="hybridMultilevel"/>
    <w:tmpl w:val="10C832D0"/>
    <w:lvl w:ilvl="0" w:tplc="A0880148">
      <w:start w:val="1"/>
      <w:numFmt w:val="bullet"/>
      <w:lvlText w:val=""/>
      <w:lvlJc w:val="left"/>
      <w:pPr>
        <w:tabs>
          <w:tab w:val="num" w:pos="720"/>
        </w:tabs>
        <w:ind w:left="720" w:hanging="360"/>
      </w:pPr>
      <w:rPr>
        <w:rFonts w:ascii="Wingdings" w:hAnsi="Wingdings" w:hint="default"/>
      </w:rPr>
    </w:lvl>
    <w:lvl w:ilvl="1" w:tplc="629C6DA8" w:tentative="1">
      <w:start w:val="1"/>
      <w:numFmt w:val="bullet"/>
      <w:lvlText w:val=""/>
      <w:lvlJc w:val="left"/>
      <w:pPr>
        <w:tabs>
          <w:tab w:val="num" w:pos="1440"/>
        </w:tabs>
        <w:ind w:left="1440" w:hanging="360"/>
      </w:pPr>
      <w:rPr>
        <w:rFonts w:ascii="Wingdings" w:hAnsi="Wingdings" w:hint="default"/>
      </w:rPr>
    </w:lvl>
    <w:lvl w:ilvl="2" w:tplc="43F802C8" w:tentative="1">
      <w:start w:val="1"/>
      <w:numFmt w:val="bullet"/>
      <w:lvlText w:val=""/>
      <w:lvlJc w:val="left"/>
      <w:pPr>
        <w:tabs>
          <w:tab w:val="num" w:pos="2160"/>
        </w:tabs>
        <w:ind w:left="2160" w:hanging="360"/>
      </w:pPr>
      <w:rPr>
        <w:rFonts w:ascii="Wingdings" w:hAnsi="Wingdings" w:hint="default"/>
      </w:rPr>
    </w:lvl>
    <w:lvl w:ilvl="3" w:tplc="0B24D09E" w:tentative="1">
      <w:start w:val="1"/>
      <w:numFmt w:val="bullet"/>
      <w:lvlText w:val=""/>
      <w:lvlJc w:val="left"/>
      <w:pPr>
        <w:tabs>
          <w:tab w:val="num" w:pos="2880"/>
        </w:tabs>
        <w:ind w:left="2880" w:hanging="360"/>
      </w:pPr>
      <w:rPr>
        <w:rFonts w:ascii="Wingdings" w:hAnsi="Wingdings" w:hint="default"/>
      </w:rPr>
    </w:lvl>
    <w:lvl w:ilvl="4" w:tplc="D5E8C1B0" w:tentative="1">
      <w:start w:val="1"/>
      <w:numFmt w:val="bullet"/>
      <w:lvlText w:val=""/>
      <w:lvlJc w:val="left"/>
      <w:pPr>
        <w:tabs>
          <w:tab w:val="num" w:pos="3600"/>
        </w:tabs>
        <w:ind w:left="3600" w:hanging="360"/>
      </w:pPr>
      <w:rPr>
        <w:rFonts w:ascii="Wingdings" w:hAnsi="Wingdings" w:hint="default"/>
      </w:rPr>
    </w:lvl>
    <w:lvl w:ilvl="5" w:tplc="2A822498" w:tentative="1">
      <w:start w:val="1"/>
      <w:numFmt w:val="bullet"/>
      <w:lvlText w:val=""/>
      <w:lvlJc w:val="left"/>
      <w:pPr>
        <w:tabs>
          <w:tab w:val="num" w:pos="4320"/>
        </w:tabs>
        <w:ind w:left="4320" w:hanging="360"/>
      </w:pPr>
      <w:rPr>
        <w:rFonts w:ascii="Wingdings" w:hAnsi="Wingdings" w:hint="default"/>
      </w:rPr>
    </w:lvl>
    <w:lvl w:ilvl="6" w:tplc="647EA4AA" w:tentative="1">
      <w:start w:val="1"/>
      <w:numFmt w:val="bullet"/>
      <w:lvlText w:val=""/>
      <w:lvlJc w:val="left"/>
      <w:pPr>
        <w:tabs>
          <w:tab w:val="num" w:pos="5040"/>
        </w:tabs>
        <w:ind w:left="5040" w:hanging="360"/>
      </w:pPr>
      <w:rPr>
        <w:rFonts w:ascii="Wingdings" w:hAnsi="Wingdings" w:hint="default"/>
      </w:rPr>
    </w:lvl>
    <w:lvl w:ilvl="7" w:tplc="C19AD262" w:tentative="1">
      <w:start w:val="1"/>
      <w:numFmt w:val="bullet"/>
      <w:lvlText w:val=""/>
      <w:lvlJc w:val="left"/>
      <w:pPr>
        <w:tabs>
          <w:tab w:val="num" w:pos="5760"/>
        </w:tabs>
        <w:ind w:left="5760" w:hanging="360"/>
      </w:pPr>
      <w:rPr>
        <w:rFonts w:ascii="Wingdings" w:hAnsi="Wingdings" w:hint="default"/>
      </w:rPr>
    </w:lvl>
    <w:lvl w:ilvl="8" w:tplc="93B40C86" w:tentative="1">
      <w:start w:val="1"/>
      <w:numFmt w:val="bullet"/>
      <w:lvlText w:val=""/>
      <w:lvlJc w:val="left"/>
      <w:pPr>
        <w:tabs>
          <w:tab w:val="num" w:pos="6480"/>
        </w:tabs>
        <w:ind w:left="6480" w:hanging="360"/>
      </w:pPr>
      <w:rPr>
        <w:rFonts w:ascii="Wingdings" w:hAnsi="Wingdings" w:hint="default"/>
      </w:rPr>
    </w:lvl>
  </w:abstractNum>
  <w:abstractNum w:abstractNumId="14">
    <w:nsid w:val="420749C9"/>
    <w:multiLevelType w:val="multilevel"/>
    <w:tmpl w:val="9918B73C"/>
    <w:lvl w:ilvl="0">
      <w:start w:val="1"/>
      <w:numFmt w:val="lowerLetter"/>
      <w:lvlText w:val="%1)"/>
      <w:lvlJc w:val="left"/>
      <w:pPr>
        <w:tabs>
          <w:tab w:val="num" w:pos="576"/>
        </w:tabs>
        <w:ind w:left="576" w:hanging="360"/>
      </w:pPr>
      <w:rPr>
        <w:rFonts w:ascii="Times New Roman" w:hAnsi="Times New Roman" w:hint="default"/>
        <w:b w:val="0"/>
        <w:i w:val="0"/>
        <w:sz w:val="24"/>
      </w:rPr>
    </w:lvl>
    <w:lvl w:ilvl="1">
      <w:start w:val="1"/>
      <w:numFmt w:val="decimal"/>
      <w:lvlText w:val="%2)"/>
      <w:lvlJc w:val="left"/>
      <w:pPr>
        <w:tabs>
          <w:tab w:val="num" w:pos="1160"/>
        </w:tabs>
        <w:ind w:left="1160" w:hanging="360"/>
      </w:pPr>
      <w:rPr>
        <w:rFonts w:eastAsia="Arial Unicode MS" w:hint="eastAsia"/>
        <w:b w:val="0"/>
        <w:i w:val="0"/>
        <w:sz w:val="20"/>
        <w:szCs w:val="20"/>
      </w:r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nsid w:val="42B97CDD"/>
    <w:multiLevelType w:val="hybridMultilevel"/>
    <w:tmpl w:val="7D5E0350"/>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6AA0145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340258"/>
    <w:multiLevelType w:val="hybridMultilevel"/>
    <w:tmpl w:val="B4EC413E"/>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08A5020"/>
    <w:multiLevelType w:val="hybridMultilevel"/>
    <w:tmpl w:val="EEBC49AA"/>
    <w:lvl w:ilvl="0" w:tplc="EDF8CE9E">
      <w:start w:val="9"/>
      <w:numFmt w:val="lowerLetter"/>
      <w:lvlText w:val="%1)"/>
      <w:lvlJc w:val="left"/>
      <w:pPr>
        <w:tabs>
          <w:tab w:val="num" w:pos="1570"/>
        </w:tabs>
        <w:ind w:left="1570" w:hanging="360"/>
      </w:pPr>
      <w:rPr>
        <w:rFonts w:hint="default"/>
      </w:rPr>
    </w:lvl>
    <w:lvl w:ilvl="1" w:tplc="5C603472">
      <w:start w:val="2"/>
      <w:numFmt w:val="lowerRoman"/>
      <w:lvlText w:val="%2)"/>
      <w:lvlJc w:val="left"/>
      <w:pPr>
        <w:tabs>
          <w:tab w:val="num" w:pos="2650"/>
        </w:tabs>
        <w:ind w:left="2650" w:hanging="720"/>
      </w:pPr>
      <w:rPr>
        <w:rFonts w:hint="default"/>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0">
    <w:nsid w:val="61206155"/>
    <w:multiLevelType w:val="hybridMultilevel"/>
    <w:tmpl w:val="8C308034"/>
    <w:lvl w:ilvl="0" w:tplc="A460942C">
      <w:numFmt w:val="bullet"/>
      <w:lvlText w:val="-"/>
      <w:lvlJc w:val="left"/>
      <w:pPr>
        <w:ind w:left="780" w:hanging="420"/>
      </w:pPr>
      <w:rPr>
        <w:rFonts w:ascii="Times New Roman" w:eastAsia="Times New Roman" w:hAnsi="Times New Roman"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nsid w:val="63BF7454"/>
    <w:multiLevelType w:val="hybridMultilevel"/>
    <w:tmpl w:val="8684F3F4"/>
    <w:lvl w:ilvl="0" w:tplc="80D26CDA">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3A3639"/>
    <w:multiLevelType w:val="hybridMultilevel"/>
    <w:tmpl w:val="4742386A"/>
    <w:lvl w:ilvl="0" w:tplc="AD6235E4">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5D30B70"/>
    <w:multiLevelType w:val="hybridMultilevel"/>
    <w:tmpl w:val="FAD6740C"/>
    <w:lvl w:ilvl="0" w:tplc="7A160EC2">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8913E1"/>
    <w:multiLevelType w:val="hybridMultilevel"/>
    <w:tmpl w:val="BC8E25BA"/>
    <w:lvl w:ilvl="0" w:tplc="D4EC0CF6">
      <w:start w:val="1"/>
      <w:numFmt w:val="bullet"/>
      <w:lvlText w:val="•"/>
      <w:lvlJc w:val="left"/>
      <w:pPr>
        <w:tabs>
          <w:tab w:val="num" w:pos="720"/>
        </w:tabs>
        <w:ind w:left="720" w:hanging="360"/>
      </w:pPr>
      <w:rPr>
        <w:rFonts w:ascii="Times New Roman" w:hAnsi="Times New Roman" w:hint="default"/>
      </w:rPr>
    </w:lvl>
    <w:lvl w:ilvl="1" w:tplc="7BAA8C40" w:tentative="1">
      <w:start w:val="1"/>
      <w:numFmt w:val="bullet"/>
      <w:lvlText w:val="•"/>
      <w:lvlJc w:val="left"/>
      <w:pPr>
        <w:tabs>
          <w:tab w:val="num" w:pos="1440"/>
        </w:tabs>
        <w:ind w:left="1440" w:hanging="360"/>
      </w:pPr>
      <w:rPr>
        <w:rFonts w:ascii="Times New Roman" w:hAnsi="Times New Roman" w:hint="default"/>
      </w:rPr>
    </w:lvl>
    <w:lvl w:ilvl="2" w:tplc="E7B817D4" w:tentative="1">
      <w:start w:val="1"/>
      <w:numFmt w:val="bullet"/>
      <w:lvlText w:val="•"/>
      <w:lvlJc w:val="left"/>
      <w:pPr>
        <w:tabs>
          <w:tab w:val="num" w:pos="2160"/>
        </w:tabs>
        <w:ind w:left="2160" w:hanging="360"/>
      </w:pPr>
      <w:rPr>
        <w:rFonts w:ascii="Times New Roman" w:hAnsi="Times New Roman" w:hint="default"/>
      </w:rPr>
    </w:lvl>
    <w:lvl w:ilvl="3" w:tplc="A2785248" w:tentative="1">
      <w:start w:val="1"/>
      <w:numFmt w:val="bullet"/>
      <w:lvlText w:val="•"/>
      <w:lvlJc w:val="left"/>
      <w:pPr>
        <w:tabs>
          <w:tab w:val="num" w:pos="2880"/>
        </w:tabs>
        <w:ind w:left="2880" w:hanging="360"/>
      </w:pPr>
      <w:rPr>
        <w:rFonts w:ascii="Times New Roman" w:hAnsi="Times New Roman" w:hint="default"/>
      </w:rPr>
    </w:lvl>
    <w:lvl w:ilvl="4" w:tplc="0D3622A4" w:tentative="1">
      <w:start w:val="1"/>
      <w:numFmt w:val="bullet"/>
      <w:lvlText w:val="•"/>
      <w:lvlJc w:val="left"/>
      <w:pPr>
        <w:tabs>
          <w:tab w:val="num" w:pos="3600"/>
        </w:tabs>
        <w:ind w:left="3600" w:hanging="360"/>
      </w:pPr>
      <w:rPr>
        <w:rFonts w:ascii="Times New Roman" w:hAnsi="Times New Roman" w:hint="default"/>
      </w:rPr>
    </w:lvl>
    <w:lvl w:ilvl="5" w:tplc="6CEE4D1A" w:tentative="1">
      <w:start w:val="1"/>
      <w:numFmt w:val="bullet"/>
      <w:lvlText w:val="•"/>
      <w:lvlJc w:val="left"/>
      <w:pPr>
        <w:tabs>
          <w:tab w:val="num" w:pos="4320"/>
        </w:tabs>
        <w:ind w:left="4320" w:hanging="360"/>
      </w:pPr>
      <w:rPr>
        <w:rFonts w:ascii="Times New Roman" w:hAnsi="Times New Roman" w:hint="default"/>
      </w:rPr>
    </w:lvl>
    <w:lvl w:ilvl="6" w:tplc="6812108A" w:tentative="1">
      <w:start w:val="1"/>
      <w:numFmt w:val="bullet"/>
      <w:lvlText w:val="•"/>
      <w:lvlJc w:val="left"/>
      <w:pPr>
        <w:tabs>
          <w:tab w:val="num" w:pos="5040"/>
        </w:tabs>
        <w:ind w:left="5040" w:hanging="360"/>
      </w:pPr>
      <w:rPr>
        <w:rFonts w:ascii="Times New Roman" w:hAnsi="Times New Roman" w:hint="default"/>
      </w:rPr>
    </w:lvl>
    <w:lvl w:ilvl="7" w:tplc="BB1C9016" w:tentative="1">
      <w:start w:val="1"/>
      <w:numFmt w:val="bullet"/>
      <w:lvlText w:val="•"/>
      <w:lvlJc w:val="left"/>
      <w:pPr>
        <w:tabs>
          <w:tab w:val="num" w:pos="5760"/>
        </w:tabs>
        <w:ind w:left="5760" w:hanging="360"/>
      </w:pPr>
      <w:rPr>
        <w:rFonts w:ascii="Times New Roman" w:hAnsi="Times New Roman" w:hint="default"/>
      </w:rPr>
    </w:lvl>
    <w:lvl w:ilvl="8" w:tplc="4204DF32"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4"/>
  </w:num>
  <w:num w:numId="3">
    <w:abstractNumId w:val="0"/>
  </w:num>
  <w:num w:numId="4">
    <w:abstractNumId w:val="8"/>
  </w:num>
  <w:num w:numId="5">
    <w:abstractNumId w:val="16"/>
  </w:num>
  <w:num w:numId="6">
    <w:abstractNumId w:val="15"/>
  </w:num>
  <w:num w:numId="7">
    <w:abstractNumId w:val="10"/>
  </w:num>
  <w:num w:numId="8">
    <w:abstractNumId w:val="21"/>
  </w:num>
  <w:num w:numId="9">
    <w:abstractNumId w:val="3"/>
  </w:num>
  <w:num w:numId="10">
    <w:abstractNumId w:val="5"/>
  </w:num>
  <w:num w:numId="11">
    <w:abstractNumId w:val="12"/>
  </w:num>
  <w:num w:numId="12">
    <w:abstractNumId w:val="7"/>
  </w:num>
  <w:num w:numId="13">
    <w:abstractNumId w:val="22"/>
  </w:num>
  <w:num w:numId="14">
    <w:abstractNumId w:val="18"/>
  </w:num>
  <w:num w:numId="15">
    <w:abstractNumId w:val="2"/>
  </w:num>
  <w:num w:numId="16">
    <w:abstractNumId w:val="9"/>
  </w:num>
  <w:num w:numId="17">
    <w:abstractNumId w:val="20"/>
  </w:num>
  <w:num w:numId="18">
    <w:abstractNumId w:val="1"/>
  </w:num>
  <w:num w:numId="19">
    <w:abstractNumId w:val="4"/>
  </w:num>
  <w:num w:numId="20">
    <w:abstractNumId w:val="19"/>
  </w:num>
  <w:num w:numId="21">
    <w:abstractNumId w:val="6"/>
  </w:num>
  <w:num w:numId="22">
    <w:abstractNumId w:val="13"/>
  </w:num>
  <w:num w:numId="23">
    <w:abstractNumId w:val="14"/>
  </w:num>
  <w:num w:numId="24">
    <w:abstractNumId w:val="23"/>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61"/>
    <w:rsid w:val="00025696"/>
    <w:rsid w:val="00041E97"/>
    <w:rsid w:val="00082655"/>
    <w:rsid w:val="000836DF"/>
    <w:rsid w:val="00094F6C"/>
    <w:rsid w:val="00096030"/>
    <w:rsid w:val="000A799A"/>
    <w:rsid w:val="000C7C44"/>
    <w:rsid w:val="000D6726"/>
    <w:rsid w:val="0010431D"/>
    <w:rsid w:val="00126818"/>
    <w:rsid w:val="0013754A"/>
    <w:rsid w:val="001419D7"/>
    <w:rsid w:val="00144DCB"/>
    <w:rsid w:val="00152430"/>
    <w:rsid w:val="001575BC"/>
    <w:rsid w:val="00180824"/>
    <w:rsid w:val="00185A12"/>
    <w:rsid w:val="001A2084"/>
    <w:rsid w:val="001A3FD1"/>
    <w:rsid w:val="001B771F"/>
    <w:rsid w:val="001D5E78"/>
    <w:rsid w:val="001D66CF"/>
    <w:rsid w:val="001E3C37"/>
    <w:rsid w:val="001F7C1B"/>
    <w:rsid w:val="00216781"/>
    <w:rsid w:val="00226555"/>
    <w:rsid w:val="00232314"/>
    <w:rsid w:val="00234B92"/>
    <w:rsid w:val="002515AC"/>
    <w:rsid w:val="002614BC"/>
    <w:rsid w:val="00266A9B"/>
    <w:rsid w:val="00272961"/>
    <w:rsid w:val="00277791"/>
    <w:rsid w:val="00281D90"/>
    <w:rsid w:val="00282031"/>
    <w:rsid w:val="0029165C"/>
    <w:rsid w:val="002B5111"/>
    <w:rsid w:val="002C175C"/>
    <w:rsid w:val="002C2913"/>
    <w:rsid w:val="002F403B"/>
    <w:rsid w:val="00303216"/>
    <w:rsid w:val="00350D91"/>
    <w:rsid w:val="0036378B"/>
    <w:rsid w:val="00363D4D"/>
    <w:rsid w:val="003736EE"/>
    <w:rsid w:val="00380728"/>
    <w:rsid w:val="003837B2"/>
    <w:rsid w:val="0039097A"/>
    <w:rsid w:val="00396AA8"/>
    <w:rsid w:val="003B16DB"/>
    <w:rsid w:val="003B4C49"/>
    <w:rsid w:val="003C0709"/>
    <w:rsid w:val="004070CF"/>
    <w:rsid w:val="00434643"/>
    <w:rsid w:val="0043537B"/>
    <w:rsid w:val="004374BF"/>
    <w:rsid w:val="0043795C"/>
    <w:rsid w:val="00457969"/>
    <w:rsid w:val="00460E52"/>
    <w:rsid w:val="00485C56"/>
    <w:rsid w:val="004A010A"/>
    <w:rsid w:val="004B3F13"/>
    <w:rsid w:val="004B5D18"/>
    <w:rsid w:val="00527FBE"/>
    <w:rsid w:val="0053458E"/>
    <w:rsid w:val="00535ED5"/>
    <w:rsid w:val="005472AA"/>
    <w:rsid w:val="005479A7"/>
    <w:rsid w:val="00556590"/>
    <w:rsid w:val="00564DEA"/>
    <w:rsid w:val="00570513"/>
    <w:rsid w:val="00577D95"/>
    <w:rsid w:val="005855D1"/>
    <w:rsid w:val="005B66B6"/>
    <w:rsid w:val="005B6AD9"/>
    <w:rsid w:val="005B6B2C"/>
    <w:rsid w:val="005C050B"/>
    <w:rsid w:val="005C1043"/>
    <w:rsid w:val="005C38BD"/>
    <w:rsid w:val="005D13AD"/>
    <w:rsid w:val="005D74FA"/>
    <w:rsid w:val="00606D3B"/>
    <w:rsid w:val="006070FF"/>
    <w:rsid w:val="00623896"/>
    <w:rsid w:val="006636CC"/>
    <w:rsid w:val="0066521B"/>
    <w:rsid w:val="006B0789"/>
    <w:rsid w:val="007114A7"/>
    <w:rsid w:val="00727469"/>
    <w:rsid w:val="00734AF7"/>
    <w:rsid w:val="0073602F"/>
    <w:rsid w:val="00750533"/>
    <w:rsid w:val="00757DAC"/>
    <w:rsid w:val="00760C7D"/>
    <w:rsid w:val="007662C6"/>
    <w:rsid w:val="00781764"/>
    <w:rsid w:val="00794524"/>
    <w:rsid w:val="007A78D3"/>
    <w:rsid w:val="007B16BE"/>
    <w:rsid w:val="007D7F7B"/>
    <w:rsid w:val="007E0003"/>
    <w:rsid w:val="007E41E1"/>
    <w:rsid w:val="00827D91"/>
    <w:rsid w:val="00842C04"/>
    <w:rsid w:val="008441B2"/>
    <w:rsid w:val="008456D3"/>
    <w:rsid w:val="0084585E"/>
    <w:rsid w:val="00885520"/>
    <w:rsid w:val="008B7A79"/>
    <w:rsid w:val="008C02A4"/>
    <w:rsid w:val="008C3938"/>
    <w:rsid w:val="008F36C0"/>
    <w:rsid w:val="00903675"/>
    <w:rsid w:val="0091009E"/>
    <w:rsid w:val="00917FCE"/>
    <w:rsid w:val="009206CA"/>
    <w:rsid w:val="00935507"/>
    <w:rsid w:val="00954F9A"/>
    <w:rsid w:val="00970BBB"/>
    <w:rsid w:val="009719AD"/>
    <w:rsid w:val="00977B2F"/>
    <w:rsid w:val="00980792"/>
    <w:rsid w:val="009A33CD"/>
    <w:rsid w:val="009B7BD3"/>
    <w:rsid w:val="00A118AD"/>
    <w:rsid w:val="00A12230"/>
    <w:rsid w:val="00A273C5"/>
    <w:rsid w:val="00A32B40"/>
    <w:rsid w:val="00A42925"/>
    <w:rsid w:val="00A446C9"/>
    <w:rsid w:val="00A51E09"/>
    <w:rsid w:val="00A538F0"/>
    <w:rsid w:val="00A56ACF"/>
    <w:rsid w:val="00A647C3"/>
    <w:rsid w:val="00A64D71"/>
    <w:rsid w:val="00A6546C"/>
    <w:rsid w:val="00A7293E"/>
    <w:rsid w:val="00A91981"/>
    <w:rsid w:val="00AB0163"/>
    <w:rsid w:val="00AB5EB2"/>
    <w:rsid w:val="00AC1EDD"/>
    <w:rsid w:val="00AE53BF"/>
    <w:rsid w:val="00B10644"/>
    <w:rsid w:val="00B22F0C"/>
    <w:rsid w:val="00B274C4"/>
    <w:rsid w:val="00B371D6"/>
    <w:rsid w:val="00B426A9"/>
    <w:rsid w:val="00B47957"/>
    <w:rsid w:val="00B501B6"/>
    <w:rsid w:val="00B5129F"/>
    <w:rsid w:val="00B54C5D"/>
    <w:rsid w:val="00B617F4"/>
    <w:rsid w:val="00B6627E"/>
    <w:rsid w:val="00B76324"/>
    <w:rsid w:val="00B83BF6"/>
    <w:rsid w:val="00B8494A"/>
    <w:rsid w:val="00BA5587"/>
    <w:rsid w:val="00BA66C6"/>
    <w:rsid w:val="00BC12D5"/>
    <w:rsid w:val="00BD4D96"/>
    <w:rsid w:val="00BE171D"/>
    <w:rsid w:val="00BF720F"/>
    <w:rsid w:val="00C009DE"/>
    <w:rsid w:val="00C12A24"/>
    <w:rsid w:val="00C13A7C"/>
    <w:rsid w:val="00C40821"/>
    <w:rsid w:val="00C55583"/>
    <w:rsid w:val="00C600BF"/>
    <w:rsid w:val="00C835D3"/>
    <w:rsid w:val="00CB68E2"/>
    <w:rsid w:val="00CD09ED"/>
    <w:rsid w:val="00CD5698"/>
    <w:rsid w:val="00CE38B4"/>
    <w:rsid w:val="00CF5220"/>
    <w:rsid w:val="00CF569E"/>
    <w:rsid w:val="00D460EF"/>
    <w:rsid w:val="00D76C0C"/>
    <w:rsid w:val="00D81279"/>
    <w:rsid w:val="00D85B51"/>
    <w:rsid w:val="00D930C2"/>
    <w:rsid w:val="00D979EC"/>
    <w:rsid w:val="00DA22C0"/>
    <w:rsid w:val="00DC1241"/>
    <w:rsid w:val="00DC1254"/>
    <w:rsid w:val="00DC68C3"/>
    <w:rsid w:val="00DD2C9F"/>
    <w:rsid w:val="00DF01FF"/>
    <w:rsid w:val="00E01C54"/>
    <w:rsid w:val="00E14E8A"/>
    <w:rsid w:val="00E21879"/>
    <w:rsid w:val="00E22BDB"/>
    <w:rsid w:val="00E22D9A"/>
    <w:rsid w:val="00E23EFC"/>
    <w:rsid w:val="00E415A4"/>
    <w:rsid w:val="00E604DE"/>
    <w:rsid w:val="00E6091B"/>
    <w:rsid w:val="00E666BD"/>
    <w:rsid w:val="00E676A4"/>
    <w:rsid w:val="00E67BD0"/>
    <w:rsid w:val="00E777A9"/>
    <w:rsid w:val="00E803F8"/>
    <w:rsid w:val="00EA4558"/>
    <w:rsid w:val="00EA52EA"/>
    <w:rsid w:val="00EB4FF0"/>
    <w:rsid w:val="00EB6DB8"/>
    <w:rsid w:val="00F13DDF"/>
    <w:rsid w:val="00F477EA"/>
    <w:rsid w:val="00F51805"/>
    <w:rsid w:val="00F62F57"/>
    <w:rsid w:val="00F849FB"/>
    <w:rsid w:val="00FB19A4"/>
    <w:rsid w:val="00FB6EFA"/>
    <w:rsid w:val="00FC6FC0"/>
    <w:rsid w:val="00FD5602"/>
    <w:rsid w:val="00FF0F87"/>
    <w:rsid w:val="00FF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DC68C3"/>
    <w:pPr>
      <w:keepNext/>
      <w:outlineLvl w:val="0"/>
    </w:pPr>
    <w:rPr>
      <w:rFonts w:ascii="맑은 고딕" w:eastAsia="맑은 고딕" w:hAnsi="맑은 고딕"/>
      <w:sz w:val="28"/>
      <w:szCs w:val="28"/>
    </w:rPr>
  </w:style>
  <w:style w:type="paragraph" w:styleId="2">
    <w:name w:val="heading 2"/>
    <w:basedOn w:val="a"/>
    <w:next w:val="a"/>
    <w:link w:val="2Char"/>
    <w:qFormat/>
    <w:rsid w:val="00A6546C"/>
    <w:pPr>
      <w:keepNext/>
      <w:spacing w:before="240" w:after="60"/>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link w:val="Char"/>
    <w:rsid w:val="00DC68C3"/>
    <w:pPr>
      <w:tabs>
        <w:tab w:val="center" w:pos="4320"/>
        <w:tab w:val="right" w:pos="8640"/>
      </w:tabs>
    </w:pPr>
  </w:style>
  <w:style w:type="paragraph" w:styleId="a5">
    <w:name w:val="footer"/>
    <w:basedOn w:val="a"/>
    <w:rsid w:val="00DC68C3"/>
    <w:pPr>
      <w:tabs>
        <w:tab w:val="center" w:pos="4320"/>
        <w:tab w:val="right" w:pos="8640"/>
      </w:tabs>
    </w:pPr>
  </w:style>
  <w:style w:type="character" w:customStyle="1" w:styleId="2Char">
    <w:name w:val="제목 2 Char"/>
    <w:basedOn w:val="a0"/>
    <w:link w:val="2"/>
    <w:rsid w:val="00A6546C"/>
    <w:rPr>
      <w:rFonts w:ascii="Arial" w:eastAsia="Times New Roman" w:hAnsi="Arial" w:cs="Arial"/>
      <w:b/>
      <w:bCs/>
      <w:i/>
      <w:iCs/>
      <w:sz w:val="28"/>
      <w:szCs w:val="28"/>
      <w:lang w:eastAsia="en-US"/>
    </w:rPr>
  </w:style>
  <w:style w:type="character" w:styleId="a6">
    <w:name w:val="Hyperlink"/>
    <w:rsid w:val="00A6546C"/>
    <w:rPr>
      <w:rFonts w:cs="Times New Roman"/>
      <w:color w:val="0000FF"/>
      <w:u w:val="single"/>
    </w:rPr>
  </w:style>
  <w:style w:type="character" w:customStyle="1" w:styleId="Char0">
    <w:name w:val="각주 텍스트 Char"/>
    <w:aliases w:val="ALTS FOOTNOTE Char,Footnote Text Char1 Char,Footnote Text Char Char1 Char,Footnote Text Char4 Char Char Char,Footnote Text Char1 Char1 Char1 Char Char,Footnote Text Char Char1 Char1 Char Char Char,DNV-FT Char,fn Char"/>
    <w:basedOn w:val="a0"/>
    <w:link w:val="a7"/>
    <w:locked/>
    <w:rsid w:val="00A6546C"/>
    <w:rPr>
      <w:sz w:val="24"/>
      <w:lang w:val="en-GB" w:eastAsia="en-US"/>
    </w:rPr>
  </w:style>
  <w:style w:type="paragraph" w:styleId="a7">
    <w:name w:val="footnote text"/>
    <w:aliases w:val="ALTS FOOTNOTE,Footnote Text Char1,Footnote Text Char Char1,Footnote Text Char4 Char Char,Footnote Text Char1 Char1 Char1 Char,Footnote Text Char Char1 Char1 Char Char,Footnote Text Char1 Char1 Char1 Char Char Char1,DNV-FT,fn"/>
    <w:basedOn w:val="a"/>
    <w:link w:val="Char0"/>
    <w:rsid w:val="00A6546C"/>
    <w:pPr>
      <w:keepLines/>
      <w:tabs>
        <w:tab w:val="left" w:pos="255"/>
        <w:tab w:val="left" w:pos="794"/>
        <w:tab w:val="left" w:pos="1191"/>
        <w:tab w:val="left" w:pos="1588"/>
        <w:tab w:val="left" w:pos="1985"/>
      </w:tabs>
      <w:overflowPunct w:val="0"/>
      <w:autoSpaceDE w:val="0"/>
      <w:autoSpaceDN w:val="0"/>
      <w:adjustRightInd w:val="0"/>
      <w:spacing w:before="120"/>
      <w:ind w:left="255" w:hanging="255"/>
    </w:pPr>
    <w:rPr>
      <w:szCs w:val="20"/>
      <w:lang w:val="en-GB" w:eastAsia="en-US"/>
    </w:rPr>
  </w:style>
  <w:style w:type="character" w:customStyle="1" w:styleId="Char1">
    <w:name w:val="각주 텍스트 Char1"/>
    <w:basedOn w:val="a0"/>
    <w:rsid w:val="00A6546C"/>
    <w:rPr>
      <w:sz w:val="24"/>
      <w:szCs w:val="24"/>
      <w:lang w:eastAsia="ja-JP"/>
    </w:rPr>
  </w:style>
  <w:style w:type="character" w:styleId="a8">
    <w:name w:val="footnote reference"/>
    <w:aliases w:val="Appel note de bas de p,Footnote Reference/,Footnote symbol,Ref,de nota al pie"/>
    <w:basedOn w:val="a0"/>
    <w:rsid w:val="00A6546C"/>
    <w:rPr>
      <w:rFonts w:ascii="Times New Roman" w:hAnsi="Times New Roman" w:cs="Times New Roman" w:hint="default"/>
      <w:position w:val="6"/>
      <w:sz w:val="18"/>
    </w:rPr>
  </w:style>
  <w:style w:type="paragraph" w:styleId="a9">
    <w:name w:val="Balloon Text"/>
    <w:basedOn w:val="a"/>
    <w:link w:val="Char2"/>
    <w:rsid w:val="00DC68C3"/>
    <w:rPr>
      <w:rFonts w:ascii="맑은 고딕" w:eastAsia="맑은 고딕" w:hAnsi="맑은 고딕"/>
      <w:sz w:val="18"/>
      <w:szCs w:val="18"/>
    </w:rPr>
  </w:style>
  <w:style w:type="character" w:customStyle="1" w:styleId="Char2">
    <w:name w:val="풍선 도움말 텍스트 Char"/>
    <w:basedOn w:val="a0"/>
    <w:link w:val="a9"/>
    <w:rsid w:val="00CD5698"/>
    <w:rPr>
      <w:rFonts w:ascii="맑은 고딕" w:eastAsia="맑은 고딕" w:hAnsi="맑은 고딕"/>
      <w:sz w:val="18"/>
      <w:szCs w:val="18"/>
    </w:rPr>
  </w:style>
  <w:style w:type="character" w:customStyle="1" w:styleId="1Char">
    <w:name w:val="제목 1 Char"/>
    <w:basedOn w:val="a0"/>
    <w:link w:val="1"/>
    <w:rsid w:val="009719AD"/>
    <w:rPr>
      <w:rFonts w:ascii="맑은 고딕" w:eastAsia="맑은 고딕" w:hAnsi="맑은 고딕"/>
      <w:sz w:val="28"/>
      <w:szCs w:val="28"/>
    </w:rPr>
  </w:style>
  <w:style w:type="paragraph" w:styleId="aa">
    <w:name w:val="Plain Text"/>
    <w:basedOn w:val="a"/>
    <w:link w:val="Char3"/>
    <w:rsid w:val="004B5D18"/>
    <w:rPr>
      <w:rFonts w:ascii="Courier New" w:eastAsia="바탕" w:hAnsi="Courier New"/>
      <w:sz w:val="20"/>
      <w:szCs w:val="20"/>
      <w:lang w:val="x-none" w:eastAsia="x-none"/>
    </w:rPr>
  </w:style>
  <w:style w:type="character" w:customStyle="1" w:styleId="Char3">
    <w:name w:val="글자만 Char"/>
    <w:basedOn w:val="a0"/>
    <w:link w:val="aa"/>
    <w:uiPriority w:val="99"/>
    <w:rsid w:val="004B5D18"/>
    <w:rPr>
      <w:rFonts w:ascii="Courier New" w:eastAsia="바탕" w:hAnsi="Courier New"/>
      <w:lang w:val="x-none" w:eastAsia="x-none"/>
    </w:rPr>
  </w:style>
  <w:style w:type="character" w:styleId="ab">
    <w:name w:val="annotation reference"/>
    <w:rsid w:val="00DC68C3"/>
    <w:rPr>
      <w:sz w:val="16"/>
      <w:szCs w:val="16"/>
    </w:rPr>
  </w:style>
  <w:style w:type="paragraph" w:styleId="ac">
    <w:name w:val="annotation text"/>
    <w:basedOn w:val="a"/>
    <w:link w:val="Char4"/>
    <w:rsid w:val="00DC68C3"/>
    <w:rPr>
      <w:rFonts w:eastAsia="바탕"/>
      <w:sz w:val="20"/>
      <w:szCs w:val="20"/>
      <w:lang w:eastAsia="en-US"/>
    </w:rPr>
  </w:style>
  <w:style w:type="character" w:customStyle="1" w:styleId="Char4">
    <w:name w:val="메모 텍스트 Char"/>
    <w:basedOn w:val="a0"/>
    <w:link w:val="ac"/>
    <w:rsid w:val="004B5D18"/>
    <w:rPr>
      <w:rFonts w:eastAsia="바탕"/>
      <w:lang w:eastAsia="en-US"/>
    </w:rPr>
  </w:style>
  <w:style w:type="paragraph" w:styleId="ad">
    <w:name w:val="List Paragraph"/>
    <w:basedOn w:val="a"/>
    <w:uiPriority w:val="34"/>
    <w:qFormat/>
    <w:rsid w:val="004B5D18"/>
    <w:pPr>
      <w:ind w:leftChars="400" w:left="840"/>
    </w:pPr>
    <w:rPr>
      <w:rFonts w:ascii="MS PGothic" w:eastAsia="MS PGothic" w:hAnsi="MS PGothic" w:cs="MS PGothic"/>
    </w:rPr>
  </w:style>
  <w:style w:type="table" w:styleId="ae">
    <w:name w:val="Table Grid"/>
    <w:basedOn w:val="a1"/>
    <w:rsid w:val="00DC68C3"/>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c"/>
    <w:next w:val="ac"/>
    <w:link w:val="Char5"/>
    <w:rsid w:val="00DC68C3"/>
    <w:rPr>
      <w:b/>
      <w:bCs/>
    </w:rPr>
  </w:style>
  <w:style w:type="character" w:customStyle="1" w:styleId="Char5">
    <w:name w:val="메모 주제 Char"/>
    <w:basedOn w:val="Char4"/>
    <w:link w:val="af"/>
    <w:rsid w:val="00DC68C3"/>
    <w:rPr>
      <w:rFonts w:eastAsia="바탕"/>
      <w:b/>
      <w:bCs/>
      <w:lang w:eastAsia="en-US"/>
    </w:rPr>
  </w:style>
  <w:style w:type="character" w:styleId="af0">
    <w:name w:val="page number"/>
    <w:basedOn w:val="a0"/>
    <w:rsid w:val="00DC68C3"/>
  </w:style>
  <w:style w:type="paragraph" w:styleId="af1">
    <w:name w:val="Revision"/>
    <w:hidden/>
    <w:uiPriority w:val="99"/>
    <w:semiHidden/>
    <w:rsid w:val="00DC68C3"/>
    <w:rPr>
      <w:rFonts w:eastAsia="바탕"/>
      <w:sz w:val="24"/>
      <w:szCs w:val="24"/>
      <w:lang w:eastAsia="en-US"/>
    </w:rPr>
  </w:style>
  <w:style w:type="character" w:customStyle="1" w:styleId="Char">
    <w:name w:val="머리글 Char"/>
    <w:basedOn w:val="a0"/>
    <w:link w:val="a4"/>
    <w:rsid w:val="00DC68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DC68C3"/>
    <w:pPr>
      <w:keepNext/>
      <w:outlineLvl w:val="0"/>
    </w:pPr>
    <w:rPr>
      <w:rFonts w:ascii="맑은 고딕" w:eastAsia="맑은 고딕" w:hAnsi="맑은 고딕"/>
      <w:sz w:val="28"/>
      <w:szCs w:val="28"/>
    </w:rPr>
  </w:style>
  <w:style w:type="paragraph" w:styleId="2">
    <w:name w:val="heading 2"/>
    <w:basedOn w:val="a"/>
    <w:next w:val="a"/>
    <w:link w:val="2Char"/>
    <w:qFormat/>
    <w:rsid w:val="00A6546C"/>
    <w:pPr>
      <w:keepNext/>
      <w:spacing w:before="240" w:after="60"/>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link w:val="Char"/>
    <w:rsid w:val="00DC68C3"/>
    <w:pPr>
      <w:tabs>
        <w:tab w:val="center" w:pos="4320"/>
        <w:tab w:val="right" w:pos="8640"/>
      </w:tabs>
    </w:pPr>
  </w:style>
  <w:style w:type="paragraph" w:styleId="a5">
    <w:name w:val="footer"/>
    <w:basedOn w:val="a"/>
    <w:rsid w:val="00DC68C3"/>
    <w:pPr>
      <w:tabs>
        <w:tab w:val="center" w:pos="4320"/>
        <w:tab w:val="right" w:pos="8640"/>
      </w:tabs>
    </w:pPr>
  </w:style>
  <w:style w:type="character" w:customStyle="1" w:styleId="2Char">
    <w:name w:val="제목 2 Char"/>
    <w:basedOn w:val="a0"/>
    <w:link w:val="2"/>
    <w:rsid w:val="00A6546C"/>
    <w:rPr>
      <w:rFonts w:ascii="Arial" w:eastAsia="Times New Roman" w:hAnsi="Arial" w:cs="Arial"/>
      <w:b/>
      <w:bCs/>
      <w:i/>
      <w:iCs/>
      <w:sz w:val="28"/>
      <w:szCs w:val="28"/>
      <w:lang w:eastAsia="en-US"/>
    </w:rPr>
  </w:style>
  <w:style w:type="character" w:styleId="a6">
    <w:name w:val="Hyperlink"/>
    <w:rsid w:val="00A6546C"/>
    <w:rPr>
      <w:rFonts w:cs="Times New Roman"/>
      <w:color w:val="0000FF"/>
      <w:u w:val="single"/>
    </w:rPr>
  </w:style>
  <w:style w:type="character" w:customStyle="1" w:styleId="Char0">
    <w:name w:val="각주 텍스트 Char"/>
    <w:aliases w:val="ALTS FOOTNOTE Char,Footnote Text Char1 Char,Footnote Text Char Char1 Char,Footnote Text Char4 Char Char Char,Footnote Text Char1 Char1 Char1 Char Char,Footnote Text Char Char1 Char1 Char Char Char,DNV-FT Char,fn Char"/>
    <w:basedOn w:val="a0"/>
    <w:link w:val="a7"/>
    <w:locked/>
    <w:rsid w:val="00A6546C"/>
    <w:rPr>
      <w:sz w:val="24"/>
      <w:lang w:val="en-GB" w:eastAsia="en-US"/>
    </w:rPr>
  </w:style>
  <w:style w:type="paragraph" w:styleId="a7">
    <w:name w:val="footnote text"/>
    <w:aliases w:val="ALTS FOOTNOTE,Footnote Text Char1,Footnote Text Char Char1,Footnote Text Char4 Char Char,Footnote Text Char1 Char1 Char1 Char,Footnote Text Char Char1 Char1 Char Char,Footnote Text Char1 Char1 Char1 Char Char Char1,DNV-FT,fn"/>
    <w:basedOn w:val="a"/>
    <w:link w:val="Char0"/>
    <w:rsid w:val="00A6546C"/>
    <w:pPr>
      <w:keepLines/>
      <w:tabs>
        <w:tab w:val="left" w:pos="255"/>
        <w:tab w:val="left" w:pos="794"/>
        <w:tab w:val="left" w:pos="1191"/>
        <w:tab w:val="left" w:pos="1588"/>
        <w:tab w:val="left" w:pos="1985"/>
      </w:tabs>
      <w:overflowPunct w:val="0"/>
      <w:autoSpaceDE w:val="0"/>
      <w:autoSpaceDN w:val="0"/>
      <w:adjustRightInd w:val="0"/>
      <w:spacing w:before="120"/>
      <w:ind w:left="255" w:hanging="255"/>
    </w:pPr>
    <w:rPr>
      <w:szCs w:val="20"/>
      <w:lang w:val="en-GB" w:eastAsia="en-US"/>
    </w:rPr>
  </w:style>
  <w:style w:type="character" w:customStyle="1" w:styleId="Char1">
    <w:name w:val="각주 텍스트 Char1"/>
    <w:basedOn w:val="a0"/>
    <w:rsid w:val="00A6546C"/>
    <w:rPr>
      <w:sz w:val="24"/>
      <w:szCs w:val="24"/>
      <w:lang w:eastAsia="ja-JP"/>
    </w:rPr>
  </w:style>
  <w:style w:type="character" w:styleId="a8">
    <w:name w:val="footnote reference"/>
    <w:aliases w:val="Appel note de bas de p,Footnote Reference/,Footnote symbol,Ref,de nota al pie"/>
    <w:basedOn w:val="a0"/>
    <w:rsid w:val="00A6546C"/>
    <w:rPr>
      <w:rFonts w:ascii="Times New Roman" w:hAnsi="Times New Roman" w:cs="Times New Roman" w:hint="default"/>
      <w:position w:val="6"/>
      <w:sz w:val="18"/>
    </w:rPr>
  </w:style>
  <w:style w:type="paragraph" w:styleId="a9">
    <w:name w:val="Balloon Text"/>
    <w:basedOn w:val="a"/>
    <w:link w:val="Char2"/>
    <w:rsid w:val="00DC68C3"/>
    <w:rPr>
      <w:rFonts w:ascii="맑은 고딕" w:eastAsia="맑은 고딕" w:hAnsi="맑은 고딕"/>
      <w:sz w:val="18"/>
      <w:szCs w:val="18"/>
    </w:rPr>
  </w:style>
  <w:style w:type="character" w:customStyle="1" w:styleId="Char2">
    <w:name w:val="풍선 도움말 텍스트 Char"/>
    <w:basedOn w:val="a0"/>
    <w:link w:val="a9"/>
    <w:rsid w:val="00CD5698"/>
    <w:rPr>
      <w:rFonts w:ascii="맑은 고딕" w:eastAsia="맑은 고딕" w:hAnsi="맑은 고딕"/>
      <w:sz w:val="18"/>
      <w:szCs w:val="18"/>
    </w:rPr>
  </w:style>
  <w:style w:type="character" w:customStyle="1" w:styleId="1Char">
    <w:name w:val="제목 1 Char"/>
    <w:basedOn w:val="a0"/>
    <w:link w:val="1"/>
    <w:rsid w:val="009719AD"/>
    <w:rPr>
      <w:rFonts w:ascii="맑은 고딕" w:eastAsia="맑은 고딕" w:hAnsi="맑은 고딕"/>
      <w:sz w:val="28"/>
      <w:szCs w:val="28"/>
    </w:rPr>
  </w:style>
  <w:style w:type="paragraph" w:styleId="aa">
    <w:name w:val="Plain Text"/>
    <w:basedOn w:val="a"/>
    <w:link w:val="Char3"/>
    <w:rsid w:val="004B5D18"/>
    <w:rPr>
      <w:rFonts w:ascii="Courier New" w:eastAsia="바탕" w:hAnsi="Courier New"/>
      <w:sz w:val="20"/>
      <w:szCs w:val="20"/>
      <w:lang w:val="x-none" w:eastAsia="x-none"/>
    </w:rPr>
  </w:style>
  <w:style w:type="character" w:customStyle="1" w:styleId="Char3">
    <w:name w:val="글자만 Char"/>
    <w:basedOn w:val="a0"/>
    <w:link w:val="aa"/>
    <w:uiPriority w:val="99"/>
    <w:rsid w:val="004B5D18"/>
    <w:rPr>
      <w:rFonts w:ascii="Courier New" w:eastAsia="바탕" w:hAnsi="Courier New"/>
      <w:lang w:val="x-none" w:eastAsia="x-none"/>
    </w:rPr>
  </w:style>
  <w:style w:type="character" w:styleId="ab">
    <w:name w:val="annotation reference"/>
    <w:rsid w:val="00DC68C3"/>
    <w:rPr>
      <w:sz w:val="16"/>
      <w:szCs w:val="16"/>
    </w:rPr>
  </w:style>
  <w:style w:type="paragraph" w:styleId="ac">
    <w:name w:val="annotation text"/>
    <w:basedOn w:val="a"/>
    <w:link w:val="Char4"/>
    <w:rsid w:val="00DC68C3"/>
    <w:rPr>
      <w:rFonts w:eastAsia="바탕"/>
      <w:sz w:val="20"/>
      <w:szCs w:val="20"/>
      <w:lang w:eastAsia="en-US"/>
    </w:rPr>
  </w:style>
  <w:style w:type="character" w:customStyle="1" w:styleId="Char4">
    <w:name w:val="메모 텍스트 Char"/>
    <w:basedOn w:val="a0"/>
    <w:link w:val="ac"/>
    <w:rsid w:val="004B5D18"/>
    <w:rPr>
      <w:rFonts w:eastAsia="바탕"/>
      <w:lang w:eastAsia="en-US"/>
    </w:rPr>
  </w:style>
  <w:style w:type="paragraph" w:styleId="ad">
    <w:name w:val="List Paragraph"/>
    <w:basedOn w:val="a"/>
    <w:uiPriority w:val="34"/>
    <w:qFormat/>
    <w:rsid w:val="004B5D18"/>
    <w:pPr>
      <w:ind w:leftChars="400" w:left="840"/>
    </w:pPr>
    <w:rPr>
      <w:rFonts w:ascii="MS PGothic" w:eastAsia="MS PGothic" w:hAnsi="MS PGothic" w:cs="MS PGothic"/>
    </w:rPr>
  </w:style>
  <w:style w:type="table" w:styleId="ae">
    <w:name w:val="Table Grid"/>
    <w:basedOn w:val="a1"/>
    <w:rsid w:val="00DC68C3"/>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c"/>
    <w:next w:val="ac"/>
    <w:link w:val="Char5"/>
    <w:rsid w:val="00DC68C3"/>
    <w:rPr>
      <w:b/>
      <w:bCs/>
    </w:rPr>
  </w:style>
  <w:style w:type="character" w:customStyle="1" w:styleId="Char5">
    <w:name w:val="메모 주제 Char"/>
    <w:basedOn w:val="Char4"/>
    <w:link w:val="af"/>
    <w:rsid w:val="00DC68C3"/>
    <w:rPr>
      <w:rFonts w:eastAsia="바탕"/>
      <w:b/>
      <w:bCs/>
      <w:lang w:eastAsia="en-US"/>
    </w:rPr>
  </w:style>
  <w:style w:type="character" w:styleId="af0">
    <w:name w:val="page number"/>
    <w:basedOn w:val="a0"/>
    <w:rsid w:val="00DC68C3"/>
  </w:style>
  <w:style w:type="paragraph" w:styleId="af1">
    <w:name w:val="Revision"/>
    <w:hidden/>
    <w:uiPriority w:val="99"/>
    <w:semiHidden/>
    <w:rsid w:val="00DC68C3"/>
    <w:rPr>
      <w:rFonts w:eastAsia="바탕"/>
      <w:sz w:val="24"/>
      <w:szCs w:val="24"/>
      <w:lang w:eastAsia="en-US"/>
    </w:rPr>
  </w:style>
  <w:style w:type="character" w:customStyle="1" w:styleId="Char">
    <w:name w:val="머리글 Char"/>
    <w:basedOn w:val="a0"/>
    <w:link w:val="a4"/>
    <w:rsid w:val="00DC68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6774">
      <w:bodyDiv w:val="1"/>
      <w:marLeft w:val="0"/>
      <w:marRight w:val="0"/>
      <w:marTop w:val="0"/>
      <w:marBottom w:val="0"/>
      <w:divBdr>
        <w:top w:val="none" w:sz="0" w:space="0" w:color="auto"/>
        <w:left w:val="none" w:sz="0" w:space="0" w:color="auto"/>
        <w:bottom w:val="none" w:sz="0" w:space="0" w:color="auto"/>
        <w:right w:val="none" w:sz="0" w:space="0" w:color="auto"/>
      </w:divBdr>
      <w:divsChild>
        <w:div w:id="621887823">
          <w:marLeft w:val="0"/>
          <w:marRight w:val="0"/>
          <w:marTop w:val="0"/>
          <w:marBottom w:val="0"/>
          <w:divBdr>
            <w:top w:val="none" w:sz="0" w:space="0" w:color="auto"/>
            <w:left w:val="none" w:sz="0" w:space="0" w:color="auto"/>
            <w:bottom w:val="none" w:sz="0" w:space="0" w:color="auto"/>
            <w:right w:val="none" w:sz="0" w:space="0" w:color="auto"/>
          </w:divBdr>
          <w:divsChild>
            <w:div w:id="86077940">
              <w:marLeft w:val="0"/>
              <w:marRight w:val="0"/>
              <w:marTop w:val="0"/>
              <w:marBottom w:val="0"/>
              <w:divBdr>
                <w:top w:val="none" w:sz="0" w:space="0" w:color="auto"/>
                <w:left w:val="none" w:sz="0" w:space="0" w:color="auto"/>
                <w:bottom w:val="none" w:sz="0" w:space="0" w:color="auto"/>
                <w:right w:val="none" w:sz="0" w:space="0" w:color="auto"/>
              </w:divBdr>
            </w:div>
            <w:div w:id="283081260">
              <w:marLeft w:val="0"/>
              <w:marRight w:val="0"/>
              <w:marTop w:val="0"/>
              <w:marBottom w:val="0"/>
              <w:divBdr>
                <w:top w:val="none" w:sz="0" w:space="0" w:color="auto"/>
                <w:left w:val="none" w:sz="0" w:space="0" w:color="auto"/>
                <w:bottom w:val="none" w:sz="0" w:space="0" w:color="auto"/>
                <w:right w:val="none" w:sz="0" w:space="0" w:color="auto"/>
              </w:divBdr>
            </w:div>
            <w:div w:id="405299463">
              <w:marLeft w:val="0"/>
              <w:marRight w:val="0"/>
              <w:marTop w:val="0"/>
              <w:marBottom w:val="0"/>
              <w:divBdr>
                <w:top w:val="none" w:sz="0" w:space="0" w:color="auto"/>
                <w:left w:val="none" w:sz="0" w:space="0" w:color="auto"/>
                <w:bottom w:val="none" w:sz="0" w:space="0" w:color="auto"/>
                <w:right w:val="none" w:sz="0" w:space="0" w:color="auto"/>
              </w:divBdr>
            </w:div>
            <w:div w:id="920144788">
              <w:marLeft w:val="0"/>
              <w:marRight w:val="0"/>
              <w:marTop w:val="0"/>
              <w:marBottom w:val="0"/>
              <w:divBdr>
                <w:top w:val="none" w:sz="0" w:space="0" w:color="auto"/>
                <w:left w:val="none" w:sz="0" w:space="0" w:color="auto"/>
                <w:bottom w:val="none" w:sz="0" w:space="0" w:color="auto"/>
                <w:right w:val="none" w:sz="0" w:space="0" w:color="auto"/>
              </w:divBdr>
            </w:div>
            <w:div w:id="1196961722">
              <w:marLeft w:val="0"/>
              <w:marRight w:val="0"/>
              <w:marTop w:val="0"/>
              <w:marBottom w:val="0"/>
              <w:divBdr>
                <w:top w:val="none" w:sz="0" w:space="0" w:color="auto"/>
                <w:left w:val="none" w:sz="0" w:space="0" w:color="auto"/>
                <w:bottom w:val="none" w:sz="0" w:space="0" w:color="auto"/>
                <w:right w:val="none" w:sz="0" w:space="0" w:color="auto"/>
              </w:divBdr>
            </w:div>
            <w:div w:id="1241787627">
              <w:marLeft w:val="0"/>
              <w:marRight w:val="0"/>
              <w:marTop w:val="0"/>
              <w:marBottom w:val="0"/>
              <w:divBdr>
                <w:top w:val="none" w:sz="0" w:space="0" w:color="auto"/>
                <w:left w:val="none" w:sz="0" w:space="0" w:color="auto"/>
                <w:bottom w:val="none" w:sz="0" w:space="0" w:color="auto"/>
                <w:right w:val="none" w:sz="0" w:space="0" w:color="auto"/>
              </w:divBdr>
            </w:div>
            <w:div w:id="2021731722">
              <w:marLeft w:val="0"/>
              <w:marRight w:val="0"/>
              <w:marTop w:val="0"/>
              <w:marBottom w:val="0"/>
              <w:divBdr>
                <w:top w:val="none" w:sz="0" w:space="0" w:color="auto"/>
                <w:left w:val="none" w:sz="0" w:space="0" w:color="auto"/>
                <w:bottom w:val="none" w:sz="0" w:space="0" w:color="auto"/>
                <w:right w:val="none" w:sz="0" w:space="0" w:color="auto"/>
              </w:divBdr>
            </w:div>
            <w:div w:id="20402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620">
      <w:bodyDiv w:val="1"/>
      <w:marLeft w:val="0"/>
      <w:marRight w:val="0"/>
      <w:marTop w:val="0"/>
      <w:marBottom w:val="0"/>
      <w:divBdr>
        <w:top w:val="none" w:sz="0" w:space="0" w:color="auto"/>
        <w:left w:val="none" w:sz="0" w:space="0" w:color="auto"/>
        <w:bottom w:val="none" w:sz="0" w:space="0" w:color="auto"/>
        <w:right w:val="none" w:sz="0" w:space="0" w:color="auto"/>
      </w:divBdr>
      <w:divsChild>
        <w:div w:id="18319452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sc-la/201307/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hyperlink" Target="http://www.itu.int/en/ITU-T/Workshops-and-Seminars/gsw/201309/Pages/default.aspx" TargetMode="External"/><Relationship Id="rId2" Type="http://schemas.openxmlformats.org/officeDocument/2006/relationships/numbering" Target="numbering.xml"/><Relationship Id="rId16" Type="http://schemas.openxmlformats.org/officeDocument/2006/relationships/hyperlink" Target="http://www.itu.int/en/ITU-T/Workshops-and-Seminars/gsw/201309/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ound-mgmt/201307/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greenict/201307/Pages/default.aspx" TargetMode="External"/><Relationship Id="rId23" Type="http://schemas.openxmlformats.org/officeDocument/2006/relationships/customXml" Target="../customXml/item4.xml"/><Relationship Id="rId10" Type="http://schemas.openxmlformats.org/officeDocument/2006/relationships/hyperlink" Target="http://www.itu.int/en/ITU-T/Workshops-and-Seminars/sound-mgmt/201307/Pages/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en/ITU-T/climatechange/CC-WSIS/201305/Pages/default.aspx" TargetMode="External"/><Relationship Id="rId14" Type="http://schemas.openxmlformats.org/officeDocument/2006/relationships/hyperlink" Target="http://www.itu.int/en/ITU-T/Workshops-and-Seminars/emf/201307/Pages/default.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FFB7A-C50E-46B7-A8A7-D4B49EFC0F19}"/>
</file>

<file path=customXml/itemProps2.xml><?xml version="1.0" encoding="utf-8"?>
<ds:datastoreItem xmlns:ds="http://schemas.openxmlformats.org/officeDocument/2006/customXml" ds:itemID="{4CD3FBFA-C165-42BB-8B1D-73895491D949}"/>
</file>

<file path=customXml/itemProps3.xml><?xml version="1.0" encoding="utf-8"?>
<ds:datastoreItem xmlns:ds="http://schemas.openxmlformats.org/officeDocument/2006/customXml" ds:itemID="{33817FF0-7635-4039-873A-093E2D07852D}"/>
</file>

<file path=customXml/itemProps4.xml><?xml version="1.0" encoding="utf-8"?>
<ds:datastoreItem xmlns:ds="http://schemas.openxmlformats.org/officeDocument/2006/customXml" ds:itemID="{24A4CA29-B2ED-4D05-B48D-969BA2A94869}"/>
</file>

<file path=docProps/app.xml><?xml version="1.0" encoding="utf-8"?>
<Properties xmlns="http://schemas.openxmlformats.org/officeDocument/2006/extended-properties" xmlns:vt="http://schemas.openxmlformats.org/officeDocument/2006/docPropsVTypes">
  <Template>Normal.dotm</Template>
  <TotalTime>3</TotalTime>
  <Pages>12</Pages>
  <Words>3396</Words>
  <Characters>19363</Characters>
  <Application>Microsoft Office Word</Application>
  <DocSecurity>0</DocSecurity>
  <Lines>161</Lines>
  <Paragraphs>45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RESOLUTION GSC-13/M:  (Source) Title (Status)</vt:lpstr>
      <vt:lpstr>RESOLUTION GSC-13/M:  (Source) Title (Status)</vt:lpstr>
    </vt:vector>
  </TitlesOfParts>
  <Company>atis</Company>
  <LinksUpToDate>false</LinksUpToDate>
  <CharactersWithSpaces>22714</CharactersWithSpaces>
  <SharedDoc>false</SharedDoc>
  <HLinks>
    <vt:vector size="54" baseType="variant">
      <vt:variant>
        <vt:i4>1048607</vt:i4>
      </vt:variant>
      <vt:variant>
        <vt:i4>24</vt:i4>
      </vt:variant>
      <vt:variant>
        <vt:i4>0</vt:i4>
      </vt:variant>
      <vt:variant>
        <vt:i4>5</vt:i4>
      </vt:variant>
      <vt:variant>
        <vt:lpwstr>http://www.itu.int/en/ITU-T/Workshops-and-Seminars/gsw/201309/Pages/default.aspx</vt:lpwstr>
      </vt:variant>
      <vt:variant>
        <vt:lpwstr/>
      </vt:variant>
      <vt:variant>
        <vt:i4>1048607</vt:i4>
      </vt:variant>
      <vt:variant>
        <vt:i4>21</vt:i4>
      </vt:variant>
      <vt:variant>
        <vt:i4>0</vt:i4>
      </vt:variant>
      <vt:variant>
        <vt:i4>5</vt:i4>
      </vt:variant>
      <vt:variant>
        <vt:lpwstr>http://www.itu.int/en/ITU-T/Workshops-and-Seminars/gsw/201309/Pages/default.aspx</vt:lpwstr>
      </vt:variant>
      <vt:variant>
        <vt:lpwstr/>
      </vt:variant>
      <vt:variant>
        <vt:i4>1572871</vt:i4>
      </vt:variant>
      <vt:variant>
        <vt:i4>18</vt:i4>
      </vt:variant>
      <vt:variant>
        <vt:i4>0</vt:i4>
      </vt:variant>
      <vt:variant>
        <vt:i4>5</vt:i4>
      </vt:variant>
      <vt:variant>
        <vt:lpwstr>http://www.itu.int/en/ITU-T/Workshops-and-Seminars/greenict/201307/Pages/default.aspx</vt:lpwstr>
      </vt:variant>
      <vt:variant>
        <vt:lpwstr/>
      </vt:variant>
      <vt:variant>
        <vt:i4>196623</vt:i4>
      </vt:variant>
      <vt:variant>
        <vt:i4>15</vt:i4>
      </vt:variant>
      <vt:variant>
        <vt:i4>0</vt:i4>
      </vt:variant>
      <vt:variant>
        <vt:i4>5</vt:i4>
      </vt:variant>
      <vt:variant>
        <vt:lpwstr>http://www.itu.int/en/ITU-T/Workshops-and-Seminars/emf/201307/Pages/default.aspx</vt:lpwstr>
      </vt:variant>
      <vt:variant>
        <vt:lpwstr/>
      </vt:variant>
      <vt:variant>
        <vt:i4>7012402</vt:i4>
      </vt:variant>
      <vt:variant>
        <vt:i4>12</vt:i4>
      </vt:variant>
      <vt:variant>
        <vt:i4>0</vt:i4>
      </vt:variant>
      <vt:variant>
        <vt:i4>5</vt:i4>
      </vt:variant>
      <vt:variant>
        <vt:lpwstr>http://www.itu.int/en/ITU-T/Workshops-and-Seminars/ssc-la/201307/Pages/default.aspx</vt:lpwstr>
      </vt:variant>
      <vt:variant>
        <vt:lpwstr/>
      </vt:variant>
      <vt:variant>
        <vt:i4>393227</vt:i4>
      </vt:variant>
      <vt:variant>
        <vt:i4>9</vt:i4>
      </vt:variant>
      <vt:variant>
        <vt:i4>0</vt:i4>
      </vt:variant>
      <vt:variant>
        <vt:i4>5</vt:i4>
      </vt:variant>
      <vt:variant>
        <vt:lpwstr>http://www.itu.int/en/ITU-T/Workshops-and-Seminars/green-ict-standards/201305/Pages/default.aspx</vt:lpwstr>
      </vt:variant>
      <vt:variant>
        <vt:lpwstr/>
      </vt:variant>
      <vt:variant>
        <vt:i4>7667762</vt:i4>
      </vt:variant>
      <vt:variant>
        <vt:i4>6</vt:i4>
      </vt:variant>
      <vt:variant>
        <vt:i4>0</vt:i4>
      </vt:variant>
      <vt:variant>
        <vt:i4>5</vt:i4>
      </vt:variant>
      <vt:variant>
        <vt:lpwstr>http://www.itu.int/en/ITU-T/Workshops-and-Seminars/sound-mgmt/201307/Pages/default.aspx</vt:lpwstr>
      </vt:variant>
      <vt:variant>
        <vt:lpwstr/>
      </vt:variant>
      <vt:variant>
        <vt:i4>7667762</vt:i4>
      </vt:variant>
      <vt:variant>
        <vt:i4>3</vt:i4>
      </vt:variant>
      <vt:variant>
        <vt:i4>0</vt:i4>
      </vt:variant>
      <vt:variant>
        <vt:i4>5</vt:i4>
      </vt:variant>
      <vt:variant>
        <vt:lpwstr>http://www.itu.int/en/ITU-T/Workshops-and-Seminars/sound-mgmt/201307/Pages/default.aspx</vt:lpwstr>
      </vt:variant>
      <vt:variant>
        <vt:lpwstr/>
      </vt:variant>
      <vt:variant>
        <vt:i4>3866732</vt:i4>
      </vt:variant>
      <vt:variant>
        <vt:i4>0</vt:i4>
      </vt:variant>
      <vt:variant>
        <vt:i4>0</vt:i4>
      </vt:variant>
      <vt:variant>
        <vt:i4>5</vt:i4>
      </vt:variant>
      <vt:variant>
        <vt:lpwstr>http://www.itu.int/en/ITU-T/climatechange/CC-WSIS/201305/Pages/default.aspx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GSC-13/M:  (Source) Title (Status)</dc:title>
  <dc:creator>sbarclay</dc:creator>
  <cp:lastModifiedBy>ttA</cp:lastModifiedBy>
  <cp:revision>7</cp:revision>
  <cp:lastPrinted>2009-06-10T04:56:00Z</cp:lastPrinted>
  <dcterms:created xsi:type="dcterms:W3CDTF">2013-05-16T02:09:00Z</dcterms:created>
  <dcterms:modified xsi:type="dcterms:W3CDTF">2013-05-23T09:09:00Z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ies>
</file>