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6D4266">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6D4266">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E928C4">
            <w:pPr>
              <w:spacing w:before="120" w:line="276" w:lineRule="auto"/>
              <w:ind w:right="28"/>
              <w:jc w:val="right"/>
              <w:rPr>
                <w:b/>
                <w:bCs/>
              </w:rPr>
            </w:pPr>
            <w:r w:rsidRPr="00DF007D">
              <w:rPr>
                <w:b/>
                <w:bCs/>
                <w:sz w:val="40"/>
                <w:szCs w:val="40"/>
              </w:rPr>
              <w:t xml:space="preserve">Doc </w:t>
            </w:r>
            <w:r>
              <w:rPr>
                <w:b/>
                <w:bCs/>
                <w:sz w:val="40"/>
                <w:szCs w:val="40"/>
              </w:rPr>
              <w:t xml:space="preserve">217 </w:t>
            </w:r>
          </w:p>
        </w:tc>
      </w:tr>
      <w:tr w:rsidR="00E928C4" w:rsidRPr="00CA69A4" w:rsidTr="006D4266">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CA69A4" w:rsidRDefault="00E928C4" w:rsidP="00E928C4">
            <w:pPr>
              <w:spacing w:before="120" w:line="276" w:lineRule="auto"/>
              <w:jc w:val="right"/>
              <w:rPr>
                <w:b/>
                <w:bCs/>
              </w:rPr>
            </w:pPr>
            <w:r w:rsidRPr="00CA69A4">
              <w:rPr>
                <w:b/>
                <w:bCs/>
              </w:rPr>
              <w:t>English only</w:t>
            </w:r>
          </w:p>
          <w:p w:rsidR="00E928C4" w:rsidRPr="00CA69A4" w:rsidRDefault="00E928C4" w:rsidP="00E928C4">
            <w:pPr>
              <w:spacing w:before="120"/>
              <w:jc w:val="right"/>
              <w:rPr>
                <w:b/>
                <w:bCs/>
              </w:rPr>
            </w:pPr>
            <w:r w:rsidRPr="00CA69A4">
              <w:rPr>
                <w:b/>
                <w:bCs/>
              </w:rPr>
              <w:t>Original: English</w:t>
            </w:r>
          </w:p>
        </w:tc>
      </w:tr>
      <w:tr w:rsidR="00E928C4" w:rsidRPr="00CA69A4" w:rsidTr="006D4266">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E928C4" w:rsidRPr="00CA69A4" w:rsidRDefault="00523215" w:rsidP="00E928C4">
            <w:pPr>
              <w:spacing w:before="120"/>
            </w:pPr>
            <w:r>
              <w:t>ITU</w:t>
            </w:r>
          </w:p>
        </w:tc>
      </w:tr>
      <w:tr w:rsidR="00E928C4" w:rsidRPr="00CA69A4" w:rsidTr="006D4266">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D81ECE" w:rsidP="00D81ECE">
            <w:pPr>
              <w:tabs>
                <w:tab w:val="right" w:pos="9214"/>
              </w:tabs>
              <w:spacing w:before="120" w:after="120"/>
            </w:pPr>
            <w:r w:rsidRPr="00D81ECE">
              <w:t>Summary of the special meeting of ITU Accessibility Focal Points with invited Accessibility Experts</w:t>
            </w:r>
            <w:r>
              <w:t xml:space="preserve"> (Geneva, 17 July 2015)</w:t>
            </w:r>
          </w:p>
        </w:tc>
      </w:tr>
    </w:tbl>
    <w:p w:rsidR="006E1948" w:rsidRDefault="006E1948" w:rsidP="00BD5ECC">
      <w:pPr>
        <w:autoSpaceDE w:val="0"/>
        <w:autoSpaceDN w:val="0"/>
        <w:adjustRightInd w:val="0"/>
        <w:spacing w:before="120" w:after="120"/>
        <w:jc w:val="both"/>
        <w:rPr>
          <w:rFonts w:asciiTheme="majorBidi" w:hAnsiTheme="majorBidi" w:cstheme="majorBidi"/>
          <w:i/>
          <w:iCs/>
          <w:sz w:val="20"/>
          <w:szCs w:val="20"/>
        </w:rPr>
      </w:pPr>
    </w:p>
    <w:tbl>
      <w:tblPr>
        <w:tblW w:w="8820" w:type="dxa"/>
        <w:tblInd w:w="108" w:type="dxa"/>
        <w:tblLook w:val="01E0" w:firstRow="1" w:lastRow="1" w:firstColumn="1" w:lastColumn="1" w:noHBand="0" w:noVBand="0"/>
      </w:tblPr>
      <w:tblGrid>
        <w:gridCol w:w="2694"/>
        <w:gridCol w:w="6126"/>
      </w:tblGrid>
      <w:tr w:rsidR="006E1948" w:rsidRPr="003A5AE2" w:rsidTr="006D4266">
        <w:tc>
          <w:tcPr>
            <w:tcW w:w="2694" w:type="dxa"/>
            <w:hideMark/>
          </w:tcPr>
          <w:p w:rsidR="006E1948" w:rsidRPr="003A5AE2" w:rsidRDefault="006E1948" w:rsidP="006D4266">
            <w:pPr>
              <w:spacing w:before="120" w:after="120"/>
              <w:jc w:val="center"/>
              <w:rPr>
                <w:rFonts w:asciiTheme="majorBidi" w:hAnsiTheme="majorBidi" w:cstheme="majorBidi"/>
                <w:noProof/>
                <w:sz w:val="20"/>
                <w:szCs w:val="20"/>
              </w:rPr>
            </w:pPr>
            <w:r w:rsidRPr="003A5AE2">
              <w:rPr>
                <w:rFonts w:asciiTheme="majorBidi" w:hAnsiTheme="majorBidi" w:cstheme="majorBidi"/>
                <w:b/>
                <w:bCs/>
                <w:noProof/>
                <w:sz w:val="20"/>
                <w:szCs w:val="20"/>
                <w:lang w:val="en-GB"/>
              </w:rPr>
              <w:drawing>
                <wp:inline distT="0" distB="0" distL="0" distR="0" wp14:anchorId="14FA656A" wp14:editId="65115059">
                  <wp:extent cx="573405" cy="623935"/>
                  <wp:effectExtent l="0" t="0" r="0" b="5080"/>
                  <wp:docPr id="1" name="Picture 1" descr="itu-with-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with-no-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6" cy="624970"/>
                          </a:xfrm>
                          <a:prstGeom prst="rect">
                            <a:avLst/>
                          </a:prstGeom>
                          <a:noFill/>
                          <a:ln>
                            <a:noFill/>
                          </a:ln>
                        </pic:spPr>
                      </pic:pic>
                    </a:graphicData>
                  </a:graphic>
                </wp:inline>
              </w:drawing>
            </w:r>
          </w:p>
          <w:p w:rsidR="006E1948" w:rsidRPr="003A5AE2" w:rsidRDefault="006E1948" w:rsidP="006D4266">
            <w:pPr>
              <w:spacing w:before="120" w:after="120"/>
              <w:jc w:val="center"/>
              <w:rPr>
                <w:rFonts w:asciiTheme="majorBidi" w:hAnsiTheme="majorBidi" w:cstheme="majorBidi"/>
                <w:i/>
                <w:iCs/>
                <w:sz w:val="20"/>
                <w:szCs w:val="20"/>
              </w:rPr>
            </w:pPr>
            <w:r w:rsidRPr="003A5AE2">
              <w:rPr>
                <w:rFonts w:asciiTheme="majorBidi" w:hAnsiTheme="majorBidi" w:cstheme="majorBidi"/>
                <w:i/>
                <w:iCs/>
                <w:sz w:val="20"/>
                <w:szCs w:val="20"/>
              </w:rPr>
              <w:t>ITU Accessibility Task Force</w:t>
            </w:r>
          </w:p>
        </w:tc>
        <w:tc>
          <w:tcPr>
            <w:tcW w:w="6126" w:type="dxa"/>
            <w:hideMark/>
          </w:tcPr>
          <w:p w:rsidR="006E1948" w:rsidRPr="003A5AE2" w:rsidRDefault="006E1948" w:rsidP="006D4266">
            <w:pPr>
              <w:spacing w:before="120" w:after="120"/>
              <w:jc w:val="center"/>
              <w:rPr>
                <w:rFonts w:asciiTheme="majorBidi" w:hAnsiTheme="majorBidi" w:cstheme="majorBidi"/>
                <w:b/>
                <w:bCs/>
                <w:sz w:val="20"/>
                <w:szCs w:val="20"/>
              </w:rPr>
            </w:pPr>
            <w:r w:rsidRPr="003A5AE2">
              <w:rPr>
                <w:rFonts w:asciiTheme="majorBidi" w:hAnsiTheme="majorBidi" w:cstheme="majorBidi"/>
                <w:b/>
                <w:bCs/>
                <w:sz w:val="20"/>
                <w:szCs w:val="20"/>
              </w:rPr>
              <w:t>ITU Accessibility Task Force</w:t>
            </w:r>
          </w:p>
          <w:p w:rsidR="006E1948" w:rsidRPr="003A5AE2" w:rsidRDefault="006E1948" w:rsidP="006D4266">
            <w:pPr>
              <w:tabs>
                <w:tab w:val="right" w:pos="9214"/>
              </w:tabs>
              <w:spacing w:before="120" w:after="120"/>
              <w:jc w:val="center"/>
              <w:rPr>
                <w:rFonts w:asciiTheme="majorBidi" w:hAnsiTheme="majorBidi" w:cstheme="majorBidi"/>
                <w:b/>
                <w:bCs/>
                <w:sz w:val="20"/>
                <w:szCs w:val="20"/>
              </w:rPr>
            </w:pPr>
            <w:r w:rsidRPr="003A5AE2">
              <w:rPr>
                <w:rFonts w:asciiTheme="majorBidi" w:hAnsiTheme="majorBidi" w:cstheme="majorBidi"/>
                <w:b/>
                <w:bCs/>
                <w:sz w:val="20"/>
                <w:szCs w:val="20"/>
              </w:rPr>
              <w:t xml:space="preserve">Summary of the special meeting of </w:t>
            </w:r>
            <w:r>
              <w:rPr>
                <w:rFonts w:asciiTheme="majorBidi" w:hAnsiTheme="majorBidi" w:cstheme="majorBidi"/>
                <w:b/>
                <w:bCs/>
                <w:sz w:val="20"/>
                <w:szCs w:val="20"/>
              </w:rPr>
              <w:br/>
            </w:r>
            <w:r w:rsidRPr="003A5AE2">
              <w:rPr>
                <w:rFonts w:asciiTheme="majorBidi" w:hAnsiTheme="majorBidi" w:cstheme="majorBidi"/>
                <w:b/>
                <w:bCs/>
                <w:sz w:val="20"/>
                <w:szCs w:val="20"/>
              </w:rPr>
              <w:t>ITU Accessibility Focal Points with invited Accessibility Experts</w:t>
            </w:r>
          </w:p>
          <w:p w:rsidR="006E1948" w:rsidRPr="003A5AE2" w:rsidRDefault="006E1948" w:rsidP="006D4266">
            <w:pPr>
              <w:spacing w:before="120" w:after="120"/>
              <w:jc w:val="center"/>
              <w:rPr>
                <w:rFonts w:asciiTheme="majorBidi" w:hAnsiTheme="majorBidi" w:cstheme="majorBidi"/>
                <w:i/>
                <w:iCs/>
                <w:sz w:val="20"/>
                <w:szCs w:val="20"/>
              </w:rPr>
            </w:pPr>
            <w:r w:rsidRPr="003A5AE2">
              <w:rPr>
                <w:rFonts w:asciiTheme="majorBidi" w:hAnsiTheme="majorBidi" w:cstheme="majorBidi"/>
                <w:i/>
                <w:iCs/>
                <w:sz w:val="20"/>
                <w:szCs w:val="20"/>
              </w:rPr>
              <w:t>17 July 2015 / 14h00–15h00</w:t>
            </w:r>
          </w:p>
          <w:p w:rsidR="006E1948" w:rsidRPr="003A5AE2" w:rsidRDefault="006E1948" w:rsidP="006D4266">
            <w:pPr>
              <w:spacing w:before="120" w:after="120"/>
              <w:jc w:val="center"/>
              <w:rPr>
                <w:rFonts w:asciiTheme="majorBidi" w:hAnsiTheme="majorBidi" w:cstheme="majorBidi"/>
                <w:sz w:val="20"/>
                <w:szCs w:val="20"/>
              </w:rPr>
            </w:pPr>
            <w:r w:rsidRPr="003A5AE2">
              <w:rPr>
                <w:rFonts w:asciiTheme="majorBidi" w:hAnsiTheme="majorBidi" w:cstheme="majorBidi"/>
                <w:i/>
                <w:iCs/>
                <w:sz w:val="20"/>
                <w:szCs w:val="20"/>
              </w:rPr>
              <w:t>Meeting room 14</w:t>
            </w:r>
            <w:r w:rsidRPr="003A5AE2">
              <w:rPr>
                <w:rFonts w:asciiTheme="majorBidi" w:hAnsiTheme="majorBidi" w:cstheme="majorBidi"/>
                <w:i/>
                <w:iCs/>
                <w:sz w:val="20"/>
                <w:szCs w:val="20"/>
                <w:vertAlign w:val="superscript"/>
              </w:rPr>
              <w:t>th</w:t>
            </w:r>
            <w:r w:rsidRPr="003A5AE2">
              <w:rPr>
                <w:rFonts w:asciiTheme="majorBidi" w:hAnsiTheme="majorBidi" w:cstheme="majorBidi"/>
                <w:i/>
                <w:iCs/>
                <w:sz w:val="20"/>
                <w:szCs w:val="20"/>
              </w:rPr>
              <w:t xml:space="preserve"> floor ITU Tower, Geneva</w:t>
            </w:r>
          </w:p>
          <w:p w:rsidR="006E1948" w:rsidRPr="003A5AE2" w:rsidRDefault="006E1948" w:rsidP="006D4266">
            <w:pPr>
              <w:spacing w:before="120" w:after="120"/>
              <w:jc w:val="center"/>
              <w:rPr>
                <w:rFonts w:asciiTheme="majorBidi" w:hAnsiTheme="majorBidi" w:cstheme="majorBidi"/>
                <w:i/>
                <w:iCs/>
                <w:color w:val="FF0000"/>
                <w:sz w:val="20"/>
                <w:szCs w:val="20"/>
              </w:rPr>
            </w:pPr>
            <w:r w:rsidRPr="003A5AE2">
              <w:rPr>
                <w:rFonts w:asciiTheme="majorBidi" w:hAnsiTheme="majorBidi" w:cstheme="majorBidi"/>
                <w:i/>
                <w:iCs/>
                <w:color w:val="FF0000"/>
                <w:sz w:val="20"/>
                <w:szCs w:val="20"/>
              </w:rPr>
              <w:t xml:space="preserve">Document for internal use – version </w:t>
            </w:r>
            <w:r>
              <w:rPr>
                <w:rFonts w:asciiTheme="majorBidi" w:hAnsiTheme="majorBidi" w:cstheme="majorBidi"/>
                <w:i/>
                <w:iCs/>
                <w:color w:val="FF0000"/>
                <w:sz w:val="20"/>
                <w:szCs w:val="20"/>
              </w:rPr>
              <w:t>5 August</w:t>
            </w:r>
            <w:r w:rsidRPr="003A5AE2">
              <w:rPr>
                <w:rFonts w:asciiTheme="majorBidi" w:hAnsiTheme="majorBidi" w:cstheme="majorBidi"/>
                <w:i/>
                <w:iCs/>
                <w:color w:val="FF0000"/>
                <w:sz w:val="20"/>
                <w:szCs w:val="20"/>
              </w:rPr>
              <w:t>, 2015</w:t>
            </w:r>
          </w:p>
        </w:tc>
      </w:tr>
    </w:tbl>
    <w:p w:rsidR="006E1948" w:rsidRDefault="006E1948" w:rsidP="00BD5ECC">
      <w:pPr>
        <w:autoSpaceDE w:val="0"/>
        <w:autoSpaceDN w:val="0"/>
        <w:adjustRightInd w:val="0"/>
        <w:spacing w:before="120" w:after="120"/>
        <w:jc w:val="both"/>
        <w:rPr>
          <w:rFonts w:asciiTheme="majorBidi" w:hAnsiTheme="majorBidi" w:cstheme="majorBidi"/>
          <w:i/>
          <w:iCs/>
          <w:sz w:val="20"/>
          <w:szCs w:val="20"/>
        </w:rPr>
      </w:pPr>
    </w:p>
    <w:p w:rsidR="00F34305" w:rsidRDefault="007A1233" w:rsidP="00BD5ECC">
      <w:pPr>
        <w:autoSpaceDE w:val="0"/>
        <w:autoSpaceDN w:val="0"/>
        <w:adjustRightInd w:val="0"/>
        <w:spacing w:before="120" w:after="120"/>
        <w:jc w:val="both"/>
        <w:rPr>
          <w:rFonts w:asciiTheme="majorBidi" w:hAnsiTheme="majorBidi" w:cstheme="majorBidi"/>
          <w:i/>
          <w:iCs/>
          <w:sz w:val="20"/>
          <w:szCs w:val="20"/>
        </w:rPr>
      </w:pPr>
      <w:r w:rsidRPr="003A5AE2">
        <w:rPr>
          <w:rFonts w:asciiTheme="majorBidi" w:hAnsiTheme="majorBidi" w:cstheme="majorBidi"/>
          <w:i/>
          <w:iCs/>
          <w:sz w:val="20"/>
          <w:szCs w:val="20"/>
        </w:rPr>
        <w:t xml:space="preserve">The special </w:t>
      </w:r>
      <w:r w:rsidR="00F34305" w:rsidRPr="003A5AE2">
        <w:rPr>
          <w:rFonts w:asciiTheme="majorBidi" w:hAnsiTheme="majorBidi" w:cstheme="majorBidi"/>
          <w:i/>
          <w:iCs/>
          <w:sz w:val="20"/>
          <w:szCs w:val="20"/>
        </w:rPr>
        <w:t xml:space="preserve">meeting of ITU </w:t>
      </w:r>
      <w:r w:rsidR="003A5AE2" w:rsidRPr="003A5AE2">
        <w:rPr>
          <w:rFonts w:asciiTheme="majorBidi" w:hAnsiTheme="majorBidi" w:cstheme="majorBidi"/>
          <w:i/>
          <w:iCs/>
          <w:sz w:val="20"/>
          <w:szCs w:val="20"/>
        </w:rPr>
        <w:t xml:space="preserve">accessibility </w:t>
      </w:r>
      <w:r w:rsidR="003A5AE2">
        <w:rPr>
          <w:rFonts w:asciiTheme="majorBidi" w:hAnsiTheme="majorBidi" w:cstheme="majorBidi"/>
          <w:i/>
          <w:iCs/>
          <w:sz w:val="20"/>
          <w:szCs w:val="20"/>
        </w:rPr>
        <w:t xml:space="preserve">focal points with invited experts </w:t>
      </w:r>
      <w:r w:rsidR="00F34305" w:rsidRPr="003A5AE2">
        <w:rPr>
          <w:rFonts w:asciiTheme="majorBidi" w:hAnsiTheme="majorBidi" w:cstheme="majorBidi"/>
          <w:i/>
          <w:iCs/>
          <w:sz w:val="20"/>
          <w:szCs w:val="20"/>
        </w:rPr>
        <w:t xml:space="preserve">took place on </w:t>
      </w:r>
      <w:r w:rsidRPr="003A5AE2">
        <w:rPr>
          <w:rFonts w:asciiTheme="majorBidi" w:hAnsiTheme="majorBidi" w:cstheme="majorBidi"/>
          <w:i/>
          <w:iCs/>
          <w:sz w:val="20"/>
          <w:szCs w:val="20"/>
        </w:rPr>
        <w:t xml:space="preserve">17 of July </w:t>
      </w:r>
      <w:r w:rsidR="00F34305" w:rsidRPr="003A5AE2">
        <w:rPr>
          <w:rFonts w:asciiTheme="majorBidi" w:hAnsiTheme="majorBidi" w:cstheme="majorBidi"/>
          <w:i/>
          <w:iCs/>
          <w:sz w:val="20"/>
          <w:szCs w:val="20"/>
        </w:rPr>
        <w:t>2015</w:t>
      </w:r>
      <w:r w:rsidRPr="003A5AE2">
        <w:rPr>
          <w:rFonts w:asciiTheme="majorBidi" w:hAnsiTheme="majorBidi" w:cstheme="majorBidi"/>
          <w:i/>
          <w:iCs/>
          <w:sz w:val="20"/>
          <w:szCs w:val="20"/>
        </w:rPr>
        <w:t xml:space="preserve"> from 14:00 to 15</w:t>
      </w:r>
      <w:r w:rsidR="00F34305" w:rsidRPr="003A5AE2">
        <w:rPr>
          <w:rFonts w:asciiTheme="majorBidi" w:hAnsiTheme="majorBidi" w:cstheme="majorBidi"/>
          <w:i/>
          <w:iCs/>
          <w:sz w:val="20"/>
          <w:szCs w:val="20"/>
        </w:rPr>
        <w:t>:00, in the SG/DSG meeting room (14th floor of the Tower). The meeting was chaired by ITU Deputy-Secretary General</w:t>
      </w:r>
      <w:r w:rsidR="00D91C5A" w:rsidRPr="003A5AE2">
        <w:rPr>
          <w:rFonts w:asciiTheme="majorBidi" w:hAnsiTheme="majorBidi" w:cstheme="majorBidi"/>
          <w:i/>
          <w:iCs/>
          <w:sz w:val="20"/>
          <w:szCs w:val="20"/>
        </w:rPr>
        <w:t xml:space="preserve"> M. Johnson </w:t>
      </w:r>
      <w:r w:rsidR="00BD5ECC">
        <w:rPr>
          <w:rFonts w:asciiTheme="majorBidi" w:hAnsiTheme="majorBidi" w:cstheme="majorBidi"/>
          <w:i/>
          <w:iCs/>
          <w:sz w:val="20"/>
          <w:szCs w:val="20"/>
        </w:rPr>
        <w:t xml:space="preserve">and was attended </w:t>
      </w:r>
      <w:r w:rsidR="003A5AE2">
        <w:rPr>
          <w:rFonts w:asciiTheme="majorBidi" w:hAnsiTheme="majorBidi" w:cstheme="majorBidi"/>
          <w:i/>
          <w:iCs/>
          <w:sz w:val="20"/>
          <w:szCs w:val="20"/>
        </w:rPr>
        <w:t xml:space="preserve">by </w:t>
      </w:r>
      <w:r w:rsidR="00F34305" w:rsidRPr="003A5AE2">
        <w:rPr>
          <w:rFonts w:asciiTheme="majorBidi" w:hAnsiTheme="majorBidi" w:cstheme="majorBidi"/>
          <w:i/>
          <w:iCs/>
          <w:sz w:val="20"/>
          <w:szCs w:val="20"/>
        </w:rPr>
        <w:t xml:space="preserve">representatives from BR: J. Koizumi, TSB: R. Scholl, </w:t>
      </w:r>
      <w:r w:rsidR="00C104A7" w:rsidRPr="003A5AE2">
        <w:rPr>
          <w:rFonts w:asciiTheme="majorBidi" w:hAnsiTheme="majorBidi" w:cstheme="majorBidi"/>
          <w:i/>
          <w:iCs/>
          <w:sz w:val="20"/>
          <w:szCs w:val="20"/>
        </w:rPr>
        <w:t xml:space="preserve">Xiaoya Yang, </w:t>
      </w:r>
      <w:proofErr w:type="gramStart"/>
      <w:r w:rsidR="00F34305" w:rsidRPr="003A5AE2">
        <w:rPr>
          <w:rFonts w:asciiTheme="majorBidi" w:hAnsiTheme="majorBidi" w:cstheme="majorBidi"/>
          <w:i/>
          <w:iCs/>
          <w:sz w:val="20"/>
          <w:szCs w:val="20"/>
        </w:rPr>
        <w:t>BDT</w:t>
      </w:r>
      <w:proofErr w:type="gramEnd"/>
      <w:r w:rsidR="00F34305" w:rsidRPr="003A5AE2">
        <w:rPr>
          <w:rFonts w:asciiTheme="majorBidi" w:hAnsiTheme="majorBidi" w:cstheme="majorBidi"/>
          <w:i/>
          <w:iCs/>
          <w:sz w:val="20"/>
          <w:szCs w:val="20"/>
        </w:rPr>
        <w:t>: S. Schorr</w:t>
      </w:r>
      <w:r w:rsidR="00C104A7" w:rsidRPr="003A5AE2">
        <w:rPr>
          <w:rFonts w:asciiTheme="majorBidi" w:hAnsiTheme="majorBidi" w:cstheme="majorBidi"/>
          <w:i/>
          <w:iCs/>
          <w:sz w:val="20"/>
          <w:szCs w:val="20"/>
        </w:rPr>
        <w:t>, Roxana Widmer</w:t>
      </w:r>
      <w:r w:rsidR="00F34305" w:rsidRPr="003A5AE2">
        <w:rPr>
          <w:rFonts w:asciiTheme="majorBidi" w:hAnsiTheme="majorBidi" w:cstheme="majorBidi"/>
          <w:i/>
          <w:iCs/>
          <w:sz w:val="20"/>
          <w:szCs w:val="20"/>
        </w:rPr>
        <w:t xml:space="preserve"> and from the GS: SPM –JM. Diaz Batanero, </w:t>
      </w:r>
      <w:r w:rsidR="0009688D" w:rsidRPr="003A5AE2">
        <w:rPr>
          <w:rFonts w:asciiTheme="majorBidi" w:hAnsiTheme="majorBidi" w:cstheme="majorBidi"/>
          <w:i/>
          <w:iCs/>
          <w:sz w:val="20"/>
          <w:szCs w:val="20"/>
        </w:rPr>
        <w:t xml:space="preserve">Ilaha Rzayeva, </w:t>
      </w:r>
      <w:r w:rsidR="00F34305" w:rsidRPr="003A5AE2">
        <w:rPr>
          <w:rFonts w:asciiTheme="majorBidi" w:hAnsiTheme="majorBidi" w:cstheme="majorBidi"/>
          <w:i/>
          <w:iCs/>
          <w:sz w:val="20"/>
          <w:szCs w:val="20"/>
        </w:rPr>
        <w:t xml:space="preserve">S. </w:t>
      </w:r>
      <w:proofErr w:type="spellStart"/>
      <w:r w:rsidR="00F34305" w:rsidRPr="003A5AE2">
        <w:rPr>
          <w:rFonts w:asciiTheme="majorBidi" w:hAnsiTheme="majorBidi" w:cstheme="majorBidi"/>
          <w:i/>
          <w:iCs/>
          <w:sz w:val="20"/>
          <w:szCs w:val="20"/>
        </w:rPr>
        <w:t>Anderes</w:t>
      </w:r>
      <w:proofErr w:type="spellEnd"/>
      <w:r w:rsidR="00F34305" w:rsidRPr="003A5AE2">
        <w:rPr>
          <w:rFonts w:asciiTheme="majorBidi" w:hAnsiTheme="majorBidi" w:cstheme="majorBidi"/>
          <w:i/>
          <w:iCs/>
          <w:sz w:val="20"/>
          <w:szCs w:val="20"/>
        </w:rPr>
        <w:t xml:space="preserve">, BUD –T. </w:t>
      </w:r>
      <w:proofErr w:type="spellStart"/>
      <w:r w:rsidR="00F34305" w:rsidRPr="003A5AE2">
        <w:rPr>
          <w:rFonts w:asciiTheme="majorBidi" w:hAnsiTheme="majorBidi" w:cstheme="majorBidi"/>
          <w:i/>
          <w:iCs/>
          <w:sz w:val="20"/>
          <w:szCs w:val="20"/>
        </w:rPr>
        <w:t>Perewostchikow</w:t>
      </w:r>
      <w:proofErr w:type="spellEnd"/>
      <w:r w:rsidR="00F34305" w:rsidRPr="003A5AE2">
        <w:rPr>
          <w:rFonts w:asciiTheme="majorBidi" w:hAnsiTheme="majorBidi" w:cstheme="majorBidi"/>
          <w:i/>
          <w:iCs/>
          <w:sz w:val="20"/>
          <w:szCs w:val="20"/>
        </w:rPr>
        <w:t xml:space="preserve">, HRMD: E. </w:t>
      </w:r>
      <w:proofErr w:type="spellStart"/>
      <w:r w:rsidR="00F34305" w:rsidRPr="003A5AE2">
        <w:rPr>
          <w:rFonts w:asciiTheme="majorBidi" w:hAnsiTheme="majorBidi" w:cstheme="majorBidi"/>
          <w:i/>
          <w:iCs/>
          <w:sz w:val="20"/>
          <w:szCs w:val="20"/>
        </w:rPr>
        <w:t>Dahlen</w:t>
      </w:r>
      <w:proofErr w:type="spellEnd"/>
      <w:r w:rsidR="00F34305" w:rsidRPr="003A5AE2">
        <w:rPr>
          <w:rFonts w:asciiTheme="majorBidi" w:hAnsiTheme="majorBidi" w:cstheme="majorBidi"/>
          <w:i/>
          <w:iCs/>
          <w:sz w:val="20"/>
          <w:szCs w:val="20"/>
        </w:rPr>
        <w:t xml:space="preserve"> and IS: F. Faugier. </w:t>
      </w:r>
      <w:r w:rsidR="00BD5ECC">
        <w:rPr>
          <w:rFonts w:asciiTheme="majorBidi" w:hAnsiTheme="majorBidi" w:cstheme="majorBidi"/>
          <w:i/>
          <w:iCs/>
          <w:sz w:val="20"/>
          <w:szCs w:val="20"/>
        </w:rPr>
        <w:t>The following experts were invited to the meeting:</w:t>
      </w:r>
    </w:p>
    <w:p w:rsidR="00BD5ECC" w:rsidRPr="00BD5ECC" w:rsidRDefault="00BD5ECC" w:rsidP="00BD5ECC">
      <w:pPr>
        <w:pStyle w:val="ListParagraph"/>
        <w:numPr>
          <w:ilvl w:val="0"/>
          <w:numId w:val="8"/>
        </w:numPr>
        <w:autoSpaceDE w:val="0"/>
        <w:autoSpaceDN w:val="0"/>
        <w:adjustRightInd w:val="0"/>
        <w:spacing w:before="120" w:after="120"/>
        <w:contextualSpacing w:val="0"/>
        <w:jc w:val="both"/>
        <w:rPr>
          <w:rFonts w:asciiTheme="majorBidi" w:hAnsiTheme="majorBidi" w:cstheme="majorBidi"/>
          <w:i/>
          <w:iCs/>
          <w:sz w:val="20"/>
          <w:szCs w:val="20"/>
        </w:rPr>
      </w:pPr>
      <w:r w:rsidRPr="00BD5ECC">
        <w:rPr>
          <w:rFonts w:asciiTheme="majorBidi" w:hAnsiTheme="majorBidi" w:cstheme="majorBidi"/>
          <w:i/>
          <w:iCs/>
          <w:sz w:val="20"/>
          <w:szCs w:val="20"/>
        </w:rPr>
        <w:t>Axel Leblois, President and Executive Director, G3ICT</w:t>
      </w:r>
    </w:p>
    <w:p w:rsidR="00BD5ECC" w:rsidRPr="00BD5ECC" w:rsidRDefault="00BD5ECC" w:rsidP="00BD5ECC">
      <w:pPr>
        <w:pStyle w:val="ListParagraph"/>
        <w:numPr>
          <w:ilvl w:val="0"/>
          <w:numId w:val="8"/>
        </w:numPr>
        <w:autoSpaceDE w:val="0"/>
        <w:autoSpaceDN w:val="0"/>
        <w:adjustRightInd w:val="0"/>
        <w:spacing w:before="120" w:after="120"/>
        <w:contextualSpacing w:val="0"/>
        <w:jc w:val="both"/>
        <w:rPr>
          <w:rFonts w:asciiTheme="majorBidi" w:hAnsiTheme="majorBidi" w:cstheme="majorBidi"/>
          <w:i/>
          <w:iCs/>
          <w:sz w:val="20"/>
          <w:szCs w:val="20"/>
        </w:rPr>
      </w:pPr>
      <w:r w:rsidRPr="00BD5ECC">
        <w:rPr>
          <w:rFonts w:asciiTheme="majorBidi" w:hAnsiTheme="majorBidi" w:cstheme="majorBidi"/>
          <w:i/>
          <w:iCs/>
          <w:sz w:val="20"/>
          <w:szCs w:val="20"/>
        </w:rPr>
        <w:t>Andrea Saks, Chair, ITU-T Joint Coordination Activity on Accessibility and Human Factors (JCA-AHF)</w:t>
      </w:r>
    </w:p>
    <w:p w:rsidR="008B4C27" w:rsidRPr="003A5AE2" w:rsidRDefault="00482684" w:rsidP="00BD5ECC">
      <w:pPr>
        <w:pStyle w:val="Heading1"/>
        <w:numPr>
          <w:ilvl w:val="0"/>
          <w:numId w:val="1"/>
        </w:numPr>
        <w:shd w:val="clear" w:color="auto" w:fill="DEEAF6" w:themeFill="accent1" w:themeFillTint="33"/>
        <w:spacing w:before="360" w:after="120"/>
        <w:ind w:left="357" w:hanging="357"/>
        <w:rPr>
          <w:rFonts w:asciiTheme="majorBidi" w:hAnsiTheme="majorBidi"/>
          <w:color w:val="auto"/>
          <w:sz w:val="20"/>
          <w:szCs w:val="20"/>
        </w:rPr>
      </w:pPr>
      <w:r>
        <w:rPr>
          <w:rFonts w:asciiTheme="majorBidi" w:hAnsiTheme="majorBidi"/>
          <w:color w:val="auto"/>
          <w:sz w:val="20"/>
          <w:szCs w:val="20"/>
        </w:rPr>
        <w:t>Background and opening remarks</w:t>
      </w:r>
    </w:p>
    <w:p w:rsidR="00D01A3A" w:rsidRDefault="00D01A3A" w:rsidP="00BD5ECC">
      <w:pPr>
        <w:spacing w:before="120" w:after="120"/>
        <w:jc w:val="both"/>
        <w:rPr>
          <w:rFonts w:asciiTheme="majorBidi" w:hAnsiTheme="majorBidi" w:cstheme="majorBidi"/>
          <w:sz w:val="20"/>
          <w:szCs w:val="20"/>
        </w:rPr>
      </w:pPr>
      <w:r w:rsidRPr="00D01A3A">
        <w:rPr>
          <w:rFonts w:asciiTheme="majorBidi" w:hAnsiTheme="majorBidi" w:cstheme="majorBidi"/>
          <w:sz w:val="20"/>
          <w:szCs w:val="20"/>
        </w:rPr>
        <w:t xml:space="preserve">The meeting began with opening remarks </w:t>
      </w:r>
      <w:r>
        <w:rPr>
          <w:rFonts w:asciiTheme="majorBidi" w:hAnsiTheme="majorBidi" w:cstheme="majorBidi"/>
          <w:sz w:val="20"/>
          <w:szCs w:val="20"/>
        </w:rPr>
        <w:t xml:space="preserve">from the </w:t>
      </w:r>
      <w:r w:rsidRPr="00D01A3A">
        <w:rPr>
          <w:rFonts w:asciiTheme="majorBidi" w:hAnsiTheme="majorBidi" w:cstheme="majorBidi"/>
          <w:sz w:val="20"/>
          <w:szCs w:val="20"/>
        </w:rPr>
        <w:t>DSG</w:t>
      </w:r>
      <w:r>
        <w:rPr>
          <w:rFonts w:asciiTheme="majorBidi" w:hAnsiTheme="majorBidi" w:cstheme="majorBidi"/>
          <w:sz w:val="20"/>
          <w:szCs w:val="20"/>
        </w:rPr>
        <w:t>, who presented the background of Resolution 175 (Rev. Busan 2014)</w:t>
      </w:r>
      <w:r>
        <w:rPr>
          <w:rStyle w:val="FootnoteReference"/>
          <w:rFonts w:asciiTheme="majorBidi" w:hAnsiTheme="majorBidi" w:cstheme="majorBidi"/>
          <w:sz w:val="20"/>
          <w:szCs w:val="20"/>
        </w:rPr>
        <w:footnoteReference w:id="1"/>
      </w:r>
      <w:r w:rsidR="005E7091">
        <w:rPr>
          <w:rFonts w:asciiTheme="majorBidi" w:hAnsiTheme="majorBidi" w:cstheme="majorBidi"/>
          <w:sz w:val="20"/>
          <w:szCs w:val="20"/>
        </w:rPr>
        <w:t>, which defines</w:t>
      </w:r>
      <w:r>
        <w:rPr>
          <w:rFonts w:asciiTheme="majorBidi" w:hAnsiTheme="majorBidi" w:cstheme="majorBidi"/>
          <w:sz w:val="20"/>
          <w:szCs w:val="20"/>
        </w:rPr>
        <w:t xml:space="preserve"> ITU’s mandate in the area of ICT accessibilit</w:t>
      </w:r>
      <w:r w:rsidR="005E7091">
        <w:rPr>
          <w:rFonts w:asciiTheme="majorBidi" w:hAnsiTheme="majorBidi" w:cstheme="majorBidi"/>
          <w:sz w:val="20"/>
          <w:szCs w:val="20"/>
        </w:rPr>
        <w:t>y, and Resolution 200 (Busan 2014</w:t>
      </w:r>
      <w:r>
        <w:rPr>
          <w:rFonts w:asciiTheme="majorBidi" w:hAnsiTheme="majorBidi" w:cstheme="majorBidi"/>
          <w:sz w:val="20"/>
          <w:szCs w:val="20"/>
        </w:rPr>
        <w:t>), which introduced the Connect 2020 Agenda for all ITU Membership</w:t>
      </w:r>
      <w:r>
        <w:rPr>
          <w:rStyle w:val="FootnoteReference"/>
          <w:rFonts w:asciiTheme="majorBidi" w:hAnsiTheme="majorBidi" w:cstheme="majorBidi"/>
          <w:sz w:val="20"/>
          <w:szCs w:val="20"/>
        </w:rPr>
        <w:footnoteReference w:id="2"/>
      </w:r>
      <w:r>
        <w:rPr>
          <w:rFonts w:asciiTheme="majorBidi" w:hAnsiTheme="majorBidi" w:cstheme="majorBidi"/>
          <w:sz w:val="20"/>
          <w:szCs w:val="20"/>
        </w:rPr>
        <w:t>.</w:t>
      </w:r>
    </w:p>
    <w:p w:rsidR="006A1A07" w:rsidRDefault="00D01A3A" w:rsidP="005E7091">
      <w:pPr>
        <w:spacing w:before="120" w:after="120"/>
        <w:jc w:val="both"/>
        <w:rPr>
          <w:rFonts w:asciiTheme="majorBidi" w:hAnsiTheme="majorBidi" w:cstheme="majorBidi"/>
          <w:sz w:val="20"/>
          <w:szCs w:val="20"/>
        </w:rPr>
      </w:pPr>
      <w:r>
        <w:rPr>
          <w:rFonts w:asciiTheme="majorBidi" w:hAnsiTheme="majorBidi" w:cstheme="majorBidi"/>
          <w:sz w:val="20"/>
          <w:szCs w:val="20"/>
        </w:rPr>
        <w:t xml:space="preserve">On his opening intervention, the DSG </w:t>
      </w:r>
      <w:r w:rsidR="006A1A07">
        <w:rPr>
          <w:rFonts w:asciiTheme="majorBidi" w:hAnsiTheme="majorBidi" w:cstheme="majorBidi"/>
          <w:sz w:val="20"/>
          <w:szCs w:val="20"/>
        </w:rPr>
        <w:t xml:space="preserve">highlighted some of the </w:t>
      </w:r>
      <w:r w:rsidR="005E7091">
        <w:rPr>
          <w:rFonts w:asciiTheme="majorBidi" w:hAnsiTheme="majorBidi" w:cstheme="majorBidi"/>
          <w:sz w:val="20"/>
          <w:szCs w:val="20"/>
        </w:rPr>
        <w:t>provisions</w:t>
      </w:r>
      <w:r w:rsidR="006A1A07">
        <w:rPr>
          <w:rFonts w:asciiTheme="majorBidi" w:hAnsiTheme="majorBidi" w:cstheme="majorBidi"/>
          <w:sz w:val="20"/>
          <w:szCs w:val="20"/>
        </w:rPr>
        <w:t xml:space="preserve"> of </w:t>
      </w:r>
      <w:r w:rsidR="005E7091">
        <w:rPr>
          <w:rFonts w:asciiTheme="majorBidi" w:hAnsiTheme="majorBidi" w:cstheme="majorBidi"/>
          <w:sz w:val="20"/>
          <w:szCs w:val="20"/>
        </w:rPr>
        <w:t>Res 175</w:t>
      </w:r>
      <w:r w:rsidR="006A1A07">
        <w:rPr>
          <w:rFonts w:asciiTheme="majorBidi" w:hAnsiTheme="majorBidi" w:cstheme="majorBidi"/>
          <w:sz w:val="20"/>
          <w:szCs w:val="20"/>
        </w:rPr>
        <w:t>, such as:</w:t>
      </w:r>
    </w:p>
    <w:p w:rsidR="00CF1FB9" w:rsidRPr="00CF1FB9" w:rsidRDefault="00CF1FB9" w:rsidP="00CF1FB9">
      <w:pPr>
        <w:pStyle w:val="ListParagraph"/>
        <w:numPr>
          <w:ilvl w:val="0"/>
          <w:numId w:val="7"/>
        </w:numPr>
        <w:spacing w:before="120" w:after="120"/>
        <w:contextualSpacing w:val="0"/>
        <w:jc w:val="both"/>
        <w:rPr>
          <w:rFonts w:asciiTheme="majorBidi" w:hAnsiTheme="majorBidi" w:cstheme="majorBidi"/>
          <w:sz w:val="20"/>
          <w:szCs w:val="20"/>
        </w:rPr>
      </w:pPr>
      <w:r w:rsidRPr="00CF1FB9">
        <w:rPr>
          <w:rFonts w:asciiTheme="majorBidi" w:hAnsiTheme="majorBidi" w:cstheme="majorBidi"/>
          <w:sz w:val="20"/>
          <w:szCs w:val="20"/>
        </w:rPr>
        <w:t>to involve persons with disabilities and persons with specific needs in the work of ITU so that they may collaborate in the adoption of a comprehensive action plan in order to extend access to telecommunications/ICTs, in</w:t>
      </w:r>
      <w:r>
        <w:rPr>
          <w:rFonts w:asciiTheme="majorBidi" w:hAnsiTheme="majorBidi" w:cstheme="majorBidi"/>
          <w:sz w:val="20"/>
          <w:szCs w:val="20"/>
        </w:rPr>
        <w:t xml:space="preserve"> </w:t>
      </w:r>
      <w:r w:rsidRPr="00CF1FB9">
        <w:rPr>
          <w:rFonts w:asciiTheme="majorBidi" w:hAnsiTheme="majorBidi" w:cstheme="majorBidi"/>
          <w:sz w:val="20"/>
          <w:szCs w:val="20"/>
        </w:rPr>
        <w:t xml:space="preserve">collaboration with external entities and bodies concerned with this topic; </w:t>
      </w:r>
    </w:p>
    <w:p w:rsidR="00EC0764" w:rsidRDefault="00CF1FB9" w:rsidP="00CF1FB9">
      <w:pPr>
        <w:pStyle w:val="ListParagraph"/>
        <w:numPr>
          <w:ilvl w:val="0"/>
          <w:numId w:val="7"/>
        </w:numPr>
        <w:spacing w:before="120" w:after="120"/>
        <w:contextualSpacing w:val="0"/>
        <w:jc w:val="both"/>
        <w:rPr>
          <w:rFonts w:asciiTheme="majorBidi" w:hAnsiTheme="majorBidi" w:cstheme="majorBidi"/>
          <w:sz w:val="20"/>
          <w:szCs w:val="20"/>
        </w:rPr>
      </w:pPr>
      <w:r>
        <w:rPr>
          <w:rFonts w:asciiTheme="majorBidi" w:hAnsiTheme="majorBidi" w:cstheme="majorBidi"/>
          <w:sz w:val="20"/>
          <w:szCs w:val="20"/>
        </w:rPr>
        <w:t>t</w:t>
      </w:r>
      <w:r w:rsidR="00D01A3A" w:rsidRPr="006A1A07">
        <w:rPr>
          <w:rFonts w:asciiTheme="majorBidi" w:hAnsiTheme="majorBidi" w:cstheme="majorBidi"/>
          <w:sz w:val="20"/>
          <w:szCs w:val="20"/>
        </w:rPr>
        <w:t xml:space="preserve">he importance of gathering </w:t>
      </w:r>
      <w:r w:rsidR="00AB638D" w:rsidRPr="006A1A07">
        <w:rPr>
          <w:rFonts w:asciiTheme="majorBidi" w:hAnsiTheme="majorBidi" w:cstheme="majorBidi"/>
          <w:sz w:val="20"/>
          <w:szCs w:val="20"/>
        </w:rPr>
        <w:t>statistics</w:t>
      </w:r>
      <w:r w:rsidR="00D01A3A" w:rsidRPr="006A1A07">
        <w:rPr>
          <w:rFonts w:asciiTheme="majorBidi" w:hAnsiTheme="majorBidi" w:cstheme="majorBidi"/>
          <w:sz w:val="20"/>
          <w:szCs w:val="20"/>
        </w:rPr>
        <w:t xml:space="preserve"> on use of ICTs by persons with disabilities</w:t>
      </w:r>
      <w:r w:rsidR="00AB638D" w:rsidRPr="006A1A07">
        <w:rPr>
          <w:rFonts w:asciiTheme="majorBidi" w:hAnsiTheme="majorBidi" w:cstheme="majorBidi"/>
          <w:sz w:val="20"/>
          <w:szCs w:val="20"/>
        </w:rPr>
        <w:t xml:space="preserve">, which is relevant to </w:t>
      </w:r>
      <w:r w:rsidR="006A1A07" w:rsidRPr="006A1A07">
        <w:rPr>
          <w:rFonts w:asciiTheme="majorBidi" w:hAnsiTheme="majorBidi" w:cstheme="majorBidi"/>
          <w:sz w:val="20"/>
          <w:szCs w:val="20"/>
        </w:rPr>
        <w:t xml:space="preserve">the </w:t>
      </w:r>
      <w:r w:rsidR="00AB638D" w:rsidRPr="006A1A07">
        <w:rPr>
          <w:rFonts w:asciiTheme="majorBidi" w:hAnsiTheme="majorBidi" w:cstheme="majorBidi"/>
          <w:sz w:val="20"/>
          <w:szCs w:val="20"/>
        </w:rPr>
        <w:t xml:space="preserve">Connect 2020 </w:t>
      </w:r>
      <w:r w:rsidR="006A1A07" w:rsidRPr="006A1A07">
        <w:rPr>
          <w:rFonts w:asciiTheme="majorBidi" w:hAnsiTheme="majorBidi" w:cstheme="majorBidi"/>
          <w:sz w:val="20"/>
          <w:szCs w:val="20"/>
        </w:rPr>
        <w:t xml:space="preserve">accessibility </w:t>
      </w:r>
      <w:r w:rsidR="00AB638D" w:rsidRPr="006A1A07">
        <w:rPr>
          <w:rFonts w:asciiTheme="majorBidi" w:hAnsiTheme="majorBidi" w:cstheme="majorBidi"/>
          <w:sz w:val="20"/>
          <w:szCs w:val="20"/>
        </w:rPr>
        <w:t>target</w:t>
      </w:r>
      <w:r w:rsidR="00EC0764">
        <w:rPr>
          <w:rFonts w:asciiTheme="majorBidi" w:hAnsiTheme="majorBidi" w:cstheme="majorBidi"/>
          <w:sz w:val="20"/>
          <w:szCs w:val="20"/>
        </w:rPr>
        <w:t xml:space="preserve">: </w:t>
      </w:r>
    </w:p>
    <w:p w:rsidR="006A1A07" w:rsidRPr="00EC0764" w:rsidRDefault="00EC0764" w:rsidP="00EC0764">
      <w:pPr>
        <w:pStyle w:val="ListParagraph"/>
        <w:spacing w:before="120" w:after="120"/>
        <w:ind w:left="1440"/>
        <w:contextualSpacing w:val="0"/>
        <w:jc w:val="both"/>
        <w:rPr>
          <w:rFonts w:asciiTheme="majorBidi" w:hAnsiTheme="majorBidi" w:cstheme="majorBidi"/>
          <w:i/>
          <w:iCs/>
          <w:sz w:val="20"/>
          <w:szCs w:val="20"/>
        </w:rPr>
      </w:pPr>
      <w:r w:rsidRPr="00EC0764">
        <w:rPr>
          <w:rFonts w:asciiTheme="majorBidi" w:hAnsiTheme="majorBidi" w:cstheme="majorBidi"/>
          <w:i/>
          <w:iCs/>
          <w:sz w:val="20"/>
          <w:szCs w:val="20"/>
          <w:highlight w:val="lightGray"/>
        </w:rPr>
        <w:t>Target 2.5.B: Enabling environments ensuring accessible telecommunication/ICT for persons with disabilities should be established in all countries by 2020</w:t>
      </w:r>
      <w:r w:rsidR="006A1A07" w:rsidRPr="00EC0764">
        <w:rPr>
          <w:rFonts w:asciiTheme="majorBidi" w:hAnsiTheme="majorBidi" w:cstheme="majorBidi"/>
          <w:i/>
          <w:iCs/>
          <w:sz w:val="20"/>
          <w:szCs w:val="20"/>
          <w:highlight w:val="lightGray"/>
        </w:rPr>
        <w:t>;</w:t>
      </w:r>
    </w:p>
    <w:p w:rsidR="006A1A07" w:rsidRPr="006A1A07" w:rsidRDefault="006A1A07" w:rsidP="00BD5ECC">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 xml:space="preserve">the need to </w:t>
      </w:r>
      <w:r w:rsidR="00AB638D" w:rsidRPr="006A1A07">
        <w:rPr>
          <w:rFonts w:asciiTheme="majorBidi" w:hAnsiTheme="majorBidi" w:cstheme="majorBidi"/>
          <w:sz w:val="20"/>
          <w:szCs w:val="20"/>
        </w:rPr>
        <w:t xml:space="preserve">boost cooperation with </w:t>
      </w:r>
      <w:r w:rsidRPr="006A1A07">
        <w:rPr>
          <w:rFonts w:asciiTheme="majorBidi" w:hAnsiTheme="majorBidi" w:cstheme="majorBidi"/>
          <w:sz w:val="20"/>
          <w:szCs w:val="20"/>
        </w:rPr>
        <w:t xml:space="preserve">other organizations to promote the inclusion of </w:t>
      </w:r>
      <w:r w:rsidR="00AB638D" w:rsidRPr="006A1A07">
        <w:rPr>
          <w:rFonts w:asciiTheme="majorBidi" w:hAnsiTheme="majorBidi" w:cstheme="majorBidi"/>
          <w:sz w:val="20"/>
          <w:szCs w:val="20"/>
        </w:rPr>
        <w:t>accessibility in their agendas</w:t>
      </w:r>
      <w:r>
        <w:rPr>
          <w:rFonts w:asciiTheme="majorBidi" w:hAnsiTheme="majorBidi" w:cstheme="majorBidi"/>
          <w:sz w:val="20"/>
          <w:szCs w:val="20"/>
        </w:rPr>
        <w:t>;</w:t>
      </w:r>
    </w:p>
    <w:p w:rsidR="00482684" w:rsidRDefault="00482684" w:rsidP="00BD5ECC">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the importance of r</w:t>
      </w:r>
      <w:r w:rsidR="003B5B4F">
        <w:rPr>
          <w:rFonts w:asciiTheme="majorBidi" w:hAnsiTheme="majorBidi" w:cstheme="majorBidi"/>
          <w:sz w:val="20"/>
          <w:szCs w:val="20"/>
        </w:rPr>
        <w:t>eaching the</w:t>
      </w:r>
      <w:r>
        <w:rPr>
          <w:rFonts w:asciiTheme="majorBidi" w:hAnsiTheme="majorBidi" w:cstheme="majorBidi"/>
          <w:sz w:val="20"/>
          <w:szCs w:val="20"/>
        </w:rPr>
        <w:t xml:space="preserve"> ITU-wide coordination on accessibility;</w:t>
      </w:r>
    </w:p>
    <w:p w:rsidR="00A94438" w:rsidRDefault="00482684" w:rsidP="00BD5ECC">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 xml:space="preserve">the need to </w:t>
      </w:r>
      <w:r w:rsidR="00407439" w:rsidRPr="003A5AE2">
        <w:rPr>
          <w:rFonts w:asciiTheme="majorBidi" w:hAnsiTheme="majorBidi" w:cstheme="majorBidi"/>
          <w:sz w:val="20"/>
          <w:szCs w:val="20"/>
        </w:rPr>
        <w:t xml:space="preserve">consider financial implications </w:t>
      </w:r>
      <w:r>
        <w:rPr>
          <w:rFonts w:asciiTheme="majorBidi" w:hAnsiTheme="majorBidi" w:cstheme="majorBidi"/>
          <w:sz w:val="20"/>
          <w:szCs w:val="20"/>
        </w:rPr>
        <w:t xml:space="preserve">of making ITU a fully accessible organization and </w:t>
      </w:r>
    </w:p>
    <w:p w:rsidR="00482684" w:rsidRDefault="00482684" w:rsidP="00BD5ECC">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 xml:space="preserve">the importance of promoting increased participation of persons with disabilities in ITU’s activities </w:t>
      </w:r>
      <w:r w:rsidR="00407439" w:rsidRPr="003A5AE2">
        <w:rPr>
          <w:rFonts w:asciiTheme="majorBidi" w:hAnsiTheme="majorBidi" w:cstheme="majorBidi"/>
          <w:sz w:val="20"/>
          <w:szCs w:val="20"/>
        </w:rPr>
        <w:t>(including offering fellowships</w:t>
      </w:r>
      <w:r>
        <w:rPr>
          <w:rFonts w:asciiTheme="majorBidi" w:hAnsiTheme="majorBidi" w:cstheme="majorBidi"/>
          <w:sz w:val="20"/>
          <w:szCs w:val="20"/>
        </w:rPr>
        <w:t xml:space="preserve"> when appropriate</w:t>
      </w:r>
      <w:r w:rsidR="00407439" w:rsidRPr="003A5AE2">
        <w:rPr>
          <w:rFonts w:asciiTheme="majorBidi" w:hAnsiTheme="majorBidi" w:cstheme="majorBidi"/>
          <w:sz w:val="20"/>
          <w:szCs w:val="20"/>
        </w:rPr>
        <w:t>)</w:t>
      </w:r>
      <w:r w:rsidR="00A94438">
        <w:rPr>
          <w:rFonts w:asciiTheme="majorBidi" w:hAnsiTheme="majorBidi" w:cstheme="majorBidi"/>
          <w:sz w:val="20"/>
          <w:szCs w:val="20"/>
        </w:rPr>
        <w:t>;</w:t>
      </w:r>
    </w:p>
    <w:p w:rsidR="00482684" w:rsidRDefault="00482684" w:rsidP="00BD5ECC">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 xml:space="preserve">the importance of disseminating </w:t>
      </w:r>
      <w:r w:rsidR="00407439" w:rsidRPr="003A5AE2">
        <w:rPr>
          <w:rFonts w:asciiTheme="majorBidi" w:hAnsiTheme="majorBidi" w:cstheme="majorBidi"/>
          <w:sz w:val="20"/>
          <w:szCs w:val="20"/>
        </w:rPr>
        <w:t xml:space="preserve">best practices to promote </w:t>
      </w:r>
      <w:r>
        <w:rPr>
          <w:rFonts w:asciiTheme="majorBidi" w:hAnsiTheme="majorBidi" w:cstheme="majorBidi"/>
          <w:sz w:val="20"/>
          <w:szCs w:val="20"/>
        </w:rPr>
        <w:t xml:space="preserve">international </w:t>
      </w:r>
      <w:r w:rsidR="00407439" w:rsidRPr="003A5AE2">
        <w:rPr>
          <w:rFonts w:asciiTheme="majorBidi" w:hAnsiTheme="majorBidi" w:cstheme="majorBidi"/>
          <w:sz w:val="20"/>
          <w:szCs w:val="20"/>
        </w:rPr>
        <w:t>accessibility standards</w:t>
      </w:r>
      <w:r>
        <w:rPr>
          <w:rFonts w:asciiTheme="majorBidi" w:hAnsiTheme="majorBidi" w:cstheme="majorBidi"/>
          <w:sz w:val="20"/>
          <w:szCs w:val="20"/>
        </w:rPr>
        <w:t>;</w:t>
      </w:r>
    </w:p>
    <w:p w:rsidR="00482684" w:rsidRDefault="005E7091" w:rsidP="00A94438">
      <w:pPr>
        <w:spacing w:before="120" w:after="120"/>
        <w:jc w:val="both"/>
        <w:rPr>
          <w:rFonts w:asciiTheme="majorBidi" w:hAnsiTheme="majorBidi" w:cstheme="majorBidi"/>
          <w:sz w:val="20"/>
          <w:szCs w:val="20"/>
        </w:rPr>
      </w:pPr>
      <w:r>
        <w:rPr>
          <w:rFonts w:asciiTheme="majorBidi" w:hAnsiTheme="majorBidi" w:cstheme="majorBidi"/>
          <w:sz w:val="20"/>
          <w:szCs w:val="20"/>
        </w:rPr>
        <w:lastRenderedPageBreak/>
        <w:t xml:space="preserve">The DSG reminded that the objective of this meeting </w:t>
      </w:r>
      <w:r w:rsidR="00A94438">
        <w:rPr>
          <w:rFonts w:asciiTheme="majorBidi" w:hAnsiTheme="majorBidi" w:cstheme="majorBidi"/>
          <w:sz w:val="20"/>
          <w:szCs w:val="20"/>
        </w:rPr>
        <w:t>is</w:t>
      </w:r>
      <w:r>
        <w:rPr>
          <w:rFonts w:asciiTheme="majorBidi" w:hAnsiTheme="majorBidi" w:cstheme="majorBidi"/>
          <w:sz w:val="20"/>
          <w:szCs w:val="20"/>
        </w:rPr>
        <w:t xml:space="preserve"> to gather ideas on how to move ahead with the implementation of these provisions, as well as to exchange views on how to mobilize additional </w:t>
      </w:r>
      <w:r w:rsidR="00482684">
        <w:rPr>
          <w:rFonts w:asciiTheme="majorBidi" w:hAnsiTheme="majorBidi" w:cstheme="majorBidi"/>
          <w:sz w:val="20"/>
          <w:szCs w:val="20"/>
        </w:rPr>
        <w:t xml:space="preserve">resources for this </w:t>
      </w:r>
      <w:r>
        <w:rPr>
          <w:rFonts w:asciiTheme="majorBidi" w:hAnsiTheme="majorBidi" w:cstheme="majorBidi"/>
          <w:sz w:val="20"/>
          <w:szCs w:val="20"/>
        </w:rPr>
        <w:t xml:space="preserve">area of </w:t>
      </w:r>
      <w:r w:rsidR="00482684">
        <w:rPr>
          <w:rFonts w:asciiTheme="majorBidi" w:hAnsiTheme="majorBidi" w:cstheme="majorBidi"/>
          <w:sz w:val="20"/>
          <w:szCs w:val="20"/>
        </w:rPr>
        <w:t>activity</w:t>
      </w:r>
      <w:r>
        <w:rPr>
          <w:rFonts w:asciiTheme="majorBidi" w:hAnsiTheme="majorBidi" w:cstheme="majorBidi"/>
          <w:sz w:val="20"/>
          <w:szCs w:val="20"/>
        </w:rPr>
        <w:t xml:space="preserve"> and </w:t>
      </w:r>
      <w:r w:rsidR="003B5B4F">
        <w:rPr>
          <w:rFonts w:asciiTheme="majorBidi" w:hAnsiTheme="majorBidi" w:cstheme="majorBidi"/>
          <w:sz w:val="20"/>
          <w:szCs w:val="20"/>
        </w:rPr>
        <w:t>encourage additional</w:t>
      </w:r>
      <w:r w:rsidR="00482684">
        <w:rPr>
          <w:rFonts w:asciiTheme="majorBidi" w:hAnsiTheme="majorBidi" w:cstheme="majorBidi"/>
          <w:sz w:val="20"/>
          <w:szCs w:val="20"/>
        </w:rPr>
        <w:t xml:space="preserve"> contributions to the voluntary accessibility fund. After these remarks, the DSG gave the floor to the invited experts to share their views on the following agenda items.</w:t>
      </w:r>
    </w:p>
    <w:p w:rsidR="00482684" w:rsidRPr="00482684" w:rsidRDefault="00482684" w:rsidP="00BD5ECC">
      <w:pPr>
        <w:pStyle w:val="Heading1"/>
        <w:numPr>
          <w:ilvl w:val="0"/>
          <w:numId w:val="1"/>
        </w:numPr>
        <w:shd w:val="clear" w:color="auto" w:fill="DEEAF6" w:themeFill="accent1" w:themeFillTint="33"/>
        <w:spacing w:before="360" w:after="120"/>
        <w:ind w:left="357" w:hanging="357"/>
        <w:rPr>
          <w:rFonts w:asciiTheme="majorBidi" w:hAnsiTheme="majorBidi"/>
          <w:color w:val="auto"/>
          <w:sz w:val="20"/>
          <w:szCs w:val="20"/>
        </w:rPr>
      </w:pPr>
      <w:r w:rsidRPr="003A5AE2">
        <w:rPr>
          <w:rFonts w:asciiTheme="majorBidi" w:hAnsiTheme="majorBidi"/>
          <w:color w:val="auto"/>
          <w:sz w:val="20"/>
          <w:szCs w:val="20"/>
        </w:rPr>
        <w:t xml:space="preserve">ITU’s Work to </w:t>
      </w:r>
      <w:r w:rsidR="00A94438">
        <w:rPr>
          <w:rFonts w:asciiTheme="majorBidi" w:hAnsiTheme="majorBidi"/>
          <w:color w:val="auto"/>
          <w:sz w:val="20"/>
          <w:szCs w:val="20"/>
        </w:rPr>
        <w:t>P</w:t>
      </w:r>
      <w:r w:rsidRPr="003A5AE2">
        <w:rPr>
          <w:rFonts w:asciiTheme="majorBidi" w:hAnsiTheme="majorBidi"/>
          <w:color w:val="auto"/>
          <w:sz w:val="20"/>
          <w:szCs w:val="20"/>
        </w:rPr>
        <w:t xml:space="preserve">romote ICT Accessibility </w:t>
      </w:r>
    </w:p>
    <w:p w:rsidR="00593C3D" w:rsidRPr="00593C3D" w:rsidRDefault="00593C3D" w:rsidP="00593C3D">
      <w:pPr>
        <w:spacing w:before="240" w:after="120"/>
        <w:jc w:val="both"/>
        <w:rPr>
          <w:rFonts w:asciiTheme="majorBidi" w:hAnsiTheme="majorBidi" w:cstheme="majorBidi"/>
          <w:sz w:val="20"/>
          <w:szCs w:val="20"/>
          <w:u w:val="single"/>
        </w:rPr>
      </w:pPr>
      <w:r w:rsidRPr="00593C3D">
        <w:rPr>
          <w:rFonts w:asciiTheme="majorBidi" w:hAnsiTheme="majorBidi" w:cstheme="majorBidi"/>
          <w:sz w:val="20"/>
          <w:szCs w:val="20"/>
          <w:u w:val="single"/>
        </w:rPr>
        <w:t>Experts view</w:t>
      </w:r>
    </w:p>
    <w:p w:rsidR="00006286" w:rsidRDefault="00BD5ECC" w:rsidP="00006286">
      <w:pPr>
        <w:spacing w:before="120" w:after="120"/>
        <w:jc w:val="both"/>
        <w:rPr>
          <w:rFonts w:asciiTheme="majorBidi" w:hAnsiTheme="majorBidi" w:cstheme="majorBidi"/>
          <w:sz w:val="20"/>
          <w:szCs w:val="20"/>
        </w:rPr>
      </w:pPr>
      <w:r>
        <w:rPr>
          <w:rFonts w:asciiTheme="majorBidi" w:hAnsiTheme="majorBidi" w:cstheme="majorBidi"/>
          <w:sz w:val="20"/>
          <w:szCs w:val="20"/>
        </w:rPr>
        <w:t>Axel Leb</w:t>
      </w:r>
      <w:r w:rsidR="007B230A">
        <w:rPr>
          <w:rFonts w:asciiTheme="majorBidi" w:hAnsiTheme="majorBidi" w:cstheme="majorBidi"/>
          <w:sz w:val="20"/>
          <w:szCs w:val="20"/>
        </w:rPr>
        <w:t>l</w:t>
      </w:r>
      <w:r>
        <w:rPr>
          <w:rFonts w:asciiTheme="majorBidi" w:hAnsiTheme="majorBidi" w:cstheme="majorBidi"/>
          <w:sz w:val="20"/>
          <w:szCs w:val="20"/>
        </w:rPr>
        <w:t>ois</w:t>
      </w:r>
      <w:r w:rsidR="00006286">
        <w:rPr>
          <w:rFonts w:asciiTheme="majorBidi" w:hAnsiTheme="majorBidi" w:cstheme="majorBidi"/>
          <w:sz w:val="20"/>
          <w:szCs w:val="20"/>
        </w:rPr>
        <w:t>, speaking as G3ICT Executive Director (but also as an ITU member) opened up the debate on ITU’s work to promote ICT accessibility, highlighting the following elements for the consideration of all participants:</w:t>
      </w:r>
    </w:p>
    <w:p w:rsidR="005E7091" w:rsidRPr="005E7091" w:rsidRDefault="00006286" w:rsidP="005E7091">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There is a unique o</w:t>
      </w:r>
      <w:r w:rsidR="00407439" w:rsidRPr="003A5AE2">
        <w:rPr>
          <w:rFonts w:asciiTheme="majorBidi" w:hAnsiTheme="majorBidi" w:cstheme="majorBidi"/>
          <w:sz w:val="20"/>
          <w:szCs w:val="20"/>
        </w:rPr>
        <w:t xml:space="preserve">pportunity for ITU to reinforce </w:t>
      </w:r>
      <w:r>
        <w:rPr>
          <w:rFonts w:asciiTheme="majorBidi" w:hAnsiTheme="majorBidi" w:cstheme="majorBidi"/>
          <w:sz w:val="20"/>
          <w:szCs w:val="20"/>
        </w:rPr>
        <w:t xml:space="preserve">its </w:t>
      </w:r>
      <w:r w:rsidR="00407439" w:rsidRPr="003A5AE2">
        <w:rPr>
          <w:rFonts w:asciiTheme="majorBidi" w:hAnsiTheme="majorBidi" w:cstheme="majorBidi"/>
          <w:sz w:val="20"/>
          <w:szCs w:val="20"/>
        </w:rPr>
        <w:t xml:space="preserve">leadership in the area of accessibility. </w:t>
      </w:r>
      <w:r w:rsidR="0015751B">
        <w:rPr>
          <w:rFonts w:asciiTheme="majorBidi" w:hAnsiTheme="majorBidi" w:cstheme="majorBidi"/>
          <w:sz w:val="20"/>
          <w:szCs w:val="20"/>
        </w:rPr>
        <w:t>As of today</w:t>
      </w:r>
      <w:r w:rsidR="00A94438">
        <w:rPr>
          <w:rFonts w:asciiTheme="majorBidi" w:hAnsiTheme="majorBidi" w:cstheme="majorBidi"/>
          <w:sz w:val="20"/>
          <w:szCs w:val="20"/>
        </w:rPr>
        <w:t>,</w:t>
      </w:r>
      <w:r w:rsidR="0015751B">
        <w:rPr>
          <w:rFonts w:asciiTheme="majorBidi" w:hAnsiTheme="majorBidi" w:cstheme="majorBidi"/>
          <w:sz w:val="20"/>
          <w:szCs w:val="20"/>
        </w:rPr>
        <w:t xml:space="preserve"> the United Nations Convention on the Rights of Persons with Disabilities (CRPD, agreed in 2006) has become an almost universal instrument, with </w:t>
      </w:r>
      <w:r w:rsidR="005E7091">
        <w:rPr>
          <w:rFonts w:asciiTheme="majorBidi" w:hAnsiTheme="majorBidi" w:cstheme="majorBidi"/>
          <w:sz w:val="20"/>
          <w:szCs w:val="20"/>
        </w:rPr>
        <w:t xml:space="preserve">adoption from </w:t>
      </w:r>
      <w:r w:rsidR="00407439" w:rsidRPr="003A5AE2">
        <w:rPr>
          <w:rFonts w:asciiTheme="majorBidi" w:hAnsiTheme="majorBidi" w:cstheme="majorBidi"/>
          <w:sz w:val="20"/>
          <w:szCs w:val="20"/>
        </w:rPr>
        <w:t xml:space="preserve">159 countries </w:t>
      </w:r>
      <w:r w:rsidR="005E7091">
        <w:rPr>
          <w:rFonts w:asciiTheme="majorBidi" w:hAnsiTheme="majorBidi" w:cstheme="majorBidi"/>
          <w:sz w:val="20"/>
          <w:szCs w:val="20"/>
        </w:rPr>
        <w:t>(most ITU members) and 87</w:t>
      </w:r>
      <w:r w:rsidR="00407439" w:rsidRPr="003A5AE2">
        <w:rPr>
          <w:rFonts w:asciiTheme="majorBidi" w:hAnsiTheme="majorBidi" w:cstheme="majorBidi"/>
          <w:sz w:val="20"/>
          <w:szCs w:val="20"/>
        </w:rPr>
        <w:t xml:space="preserve"> countries </w:t>
      </w:r>
      <w:r w:rsidR="005E7091">
        <w:rPr>
          <w:rFonts w:asciiTheme="majorBidi" w:hAnsiTheme="majorBidi" w:cstheme="majorBidi"/>
          <w:sz w:val="20"/>
          <w:szCs w:val="20"/>
        </w:rPr>
        <w:t xml:space="preserve">who have </w:t>
      </w:r>
      <w:r w:rsidR="00407439" w:rsidRPr="003A5AE2">
        <w:rPr>
          <w:rFonts w:asciiTheme="majorBidi" w:hAnsiTheme="majorBidi" w:cstheme="majorBidi"/>
          <w:sz w:val="20"/>
          <w:szCs w:val="20"/>
        </w:rPr>
        <w:t>ratified</w:t>
      </w:r>
      <w:r w:rsidR="005E7091">
        <w:rPr>
          <w:rFonts w:asciiTheme="majorBidi" w:hAnsiTheme="majorBidi" w:cstheme="majorBidi"/>
          <w:sz w:val="20"/>
          <w:szCs w:val="20"/>
        </w:rPr>
        <w:t xml:space="preserve"> the </w:t>
      </w:r>
      <w:r w:rsidR="00407439" w:rsidRPr="003A5AE2">
        <w:rPr>
          <w:rFonts w:asciiTheme="majorBidi" w:hAnsiTheme="majorBidi" w:cstheme="majorBidi"/>
          <w:sz w:val="20"/>
          <w:szCs w:val="20"/>
        </w:rPr>
        <w:t xml:space="preserve">optional protocol. </w:t>
      </w:r>
      <w:r w:rsidR="005E7091" w:rsidRPr="005E7091">
        <w:rPr>
          <w:rFonts w:asciiTheme="majorBidi" w:hAnsiTheme="majorBidi" w:cstheme="majorBidi"/>
          <w:sz w:val="20"/>
          <w:szCs w:val="20"/>
        </w:rPr>
        <w:t xml:space="preserve">With this level of adoption, the </w:t>
      </w:r>
      <w:r w:rsidR="00407439" w:rsidRPr="005E7091">
        <w:rPr>
          <w:rFonts w:asciiTheme="majorBidi" w:hAnsiTheme="majorBidi" w:cstheme="majorBidi"/>
          <w:sz w:val="20"/>
          <w:szCs w:val="20"/>
        </w:rPr>
        <w:t xml:space="preserve">CRPD </w:t>
      </w:r>
      <w:r w:rsidR="005E7091" w:rsidRPr="005E7091">
        <w:rPr>
          <w:rFonts w:asciiTheme="majorBidi" w:hAnsiTheme="majorBidi" w:cstheme="majorBidi"/>
          <w:sz w:val="20"/>
          <w:szCs w:val="20"/>
        </w:rPr>
        <w:t xml:space="preserve">has become the </w:t>
      </w:r>
      <w:r w:rsidR="00407439" w:rsidRPr="005E7091">
        <w:rPr>
          <w:rFonts w:asciiTheme="majorBidi" w:hAnsiTheme="majorBidi" w:cstheme="majorBidi"/>
          <w:sz w:val="20"/>
          <w:szCs w:val="20"/>
        </w:rPr>
        <w:t xml:space="preserve">global framework to protect </w:t>
      </w:r>
      <w:r w:rsidR="005E7091" w:rsidRPr="005E7091">
        <w:rPr>
          <w:rFonts w:asciiTheme="majorBidi" w:hAnsiTheme="majorBidi" w:cstheme="majorBidi"/>
          <w:sz w:val="20"/>
          <w:szCs w:val="20"/>
        </w:rPr>
        <w:t xml:space="preserve">the </w:t>
      </w:r>
      <w:r w:rsidR="00407439" w:rsidRPr="005E7091">
        <w:rPr>
          <w:rFonts w:asciiTheme="majorBidi" w:hAnsiTheme="majorBidi" w:cstheme="majorBidi"/>
          <w:sz w:val="20"/>
          <w:szCs w:val="20"/>
        </w:rPr>
        <w:t xml:space="preserve">rights of </w:t>
      </w:r>
      <w:r w:rsidR="005E7091" w:rsidRPr="005E7091">
        <w:rPr>
          <w:rFonts w:asciiTheme="majorBidi" w:hAnsiTheme="majorBidi" w:cstheme="majorBidi"/>
          <w:sz w:val="20"/>
          <w:szCs w:val="20"/>
        </w:rPr>
        <w:t>persons with disabilities (</w:t>
      </w:r>
      <w:r w:rsidR="00407439" w:rsidRPr="005E7091">
        <w:rPr>
          <w:rFonts w:asciiTheme="majorBidi" w:hAnsiTheme="majorBidi" w:cstheme="majorBidi"/>
          <w:sz w:val="20"/>
          <w:szCs w:val="20"/>
        </w:rPr>
        <w:t>PWDs</w:t>
      </w:r>
      <w:r w:rsidR="005E7091" w:rsidRPr="005E7091">
        <w:rPr>
          <w:rFonts w:asciiTheme="majorBidi" w:hAnsiTheme="majorBidi" w:cstheme="majorBidi"/>
          <w:sz w:val="20"/>
          <w:szCs w:val="20"/>
        </w:rPr>
        <w:t>)</w:t>
      </w:r>
      <w:r w:rsidR="00407439" w:rsidRPr="005E7091">
        <w:rPr>
          <w:rFonts w:asciiTheme="majorBidi" w:hAnsiTheme="majorBidi" w:cstheme="majorBidi"/>
          <w:sz w:val="20"/>
          <w:szCs w:val="20"/>
        </w:rPr>
        <w:t xml:space="preserve">. </w:t>
      </w:r>
    </w:p>
    <w:p w:rsidR="006F6EAD" w:rsidRPr="003A5AE2" w:rsidRDefault="005E7091" w:rsidP="006F6EAD">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6F6EAD">
        <w:rPr>
          <w:rFonts w:asciiTheme="majorBidi" w:hAnsiTheme="majorBidi" w:cstheme="majorBidi"/>
          <w:sz w:val="20"/>
          <w:szCs w:val="20"/>
        </w:rPr>
        <w:t xml:space="preserve">As part of their new obligations, parties </w:t>
      </w:r>
      <w:r w:rsidR="007414C7">
        <w:rPr>
          <w:rFonts w:asciiTheme="majorBidi" w:hAnsiTheme="majorBidi" w:cstheme="majorBidi"/>
          <w:sz w:val="20"/>
          <w:szCs w:val="20"/>
        </w:rPr>
        <w:t>of</w:t>
      </w:r>
      <w:r w:rsidRPr="006F6EAD">
        <w:rPr>
          <w:rFonts w:asciiTheme="majorBidi" w:hAnsiTheme="majorBidi" w:cstheme="majorBidi"/>
          <w:sz w:val="20"/>
          <w:szCs w:val="20"/>
        </w:rPr>
        <w:t xml:space="preserve"> the CRPD have defined a </w:t>
      </w:r>
      <w:r w:rsidR="00407439" w:rsidRPr="006F6EAD">
        <w:rPr>
          <w:rFonts w:asciiTheme="majorBidi" w:hAnsiTheme="majorBidi" w:cstheme="majorBidi"/>
          <w:sz w:val="20"/>
          <w:szCs w:val="20"/>
        </w:rPr>
        <w:t xml:space="preserve">designated government agency </w:t>
      </w:r>
      <w:r w:rsidRPr="006F6EAD">
        <w:rPr>
          <w:rFonts w:asciiTheme="majorBidi" w:hAnsiTheme="majorBidi" w:cstheme="majorBidi"/>
          <w:sz w:val="20"/>
          <w:szCs w:val="20"/>
        </w:rPr>
        <w:t xml:space="preserve">that will have </w:t>
      </w:r>
      <w:r w:rsidR="00407439" w:rsidRPr="006F6EAD">
        <w:rPr>
          <w:rFonts w:asciiTheme="majorBidi" w:hAnsiTheme="majorBidi" w:cstheme="majorBidi"/>
          <w:sz w:val="20"/>
          <w:szCs w:val="20"/>
        </w:rPr>
        <w:t xml:space="preserve">to implement and monitor </w:t>
      </w:r>
      <w:r w:rsidRPr="006F6EAD">
        <w:rPr>
          <w:rFonts w:asciiTheme="majorBidi" w:hAnsiTheme="majorBidi" w:cstheme="majorBidi"/>
          <w:sz w:val="20"/>
          <w:szCs w:val="20"/>
        </w:rPr>
        <w:t xml:space="preserve">the </w:t>
      </w:r>
      <w:r w:rsidR="00407439" w:rsidRPr="006F6EAD">
        <w:rPr>
          <w:rFonts w:asciiTheme="majorBidi" w:hAnsiTheme="majorBidi" w:cstheme="majorBidi"/>
          <w:sz w:val="20"/>
          <w:szCs w:val="20"/>
        </w:rPr>
        <w:t xml:space="preserve">implementation of </w:t>
      </w:r>
      <w:r w:rsidRPr="006F6EAD">
        <w:rPr>
          <w:rFonts w:asciiTheme="majorBidi" w:hAnsiTheme="majorBidi" w:cstheme="majorBidi"/>
          <w:sz w:val="20"/>
          <w:szCs w:val="20"/>
        </w:rPr>
        <w:t>the Convention</w:t>
      </w:r>
      <w:r w:rsidR="00407439" w:rsidRPr="006F6EAD">
        <w:rPr>
          <w:rFonts w:asciiTheme="majorBidi" w:hAnsiTheme="majorBidi" w:cstheme="majorBidi"/>
          <w:sz w:val="20"/>
          <w:szCs w:val="20"/>
        </w:rPr>
        <w:t>.</w:t>
      </w:r>
      <w:r w:rsidRPr="006F6EAD">
        <w:rPr>
          <w:rFonts w:asciiTheme="majorBidi" w:hAnsiTheme="majorBidi" w:cstheme="majorBidi"/>
          <w:sz w:val="20"/>
          <w:szCs w:val="20"/>
        </w:rPr>
        <w:t xml:space="preserve"> In most cases this agency is the </w:t>
      </w:r>
      <w:r w:rsidR="00407439" w:rsidRPr="006F6EAD">
        <w:rPr>
          <w:rFonts w:asciiTheme="majorBidi" w:hAnsiTheme="majorBidi" w:cstheme="majorBidi"/>
          <w:sz w:val="20"/>
          <w:szCs w:val="20"/>
        </w:rPr>
        <w:t xml:space="preserve">ministry of social affairs or an agency </w:t>
      </w:r>
      <w:r w:rsidRPr="006F6EAD">
        <w:rPr>
          <w:rFonts w:asciiTheme="majorBidi" w:hAnsiTheme="majorBidi" w:cstheme="majorBidi"/>
          <w:sz w:val="20"/>
          <w:szCs w:val="20"/>
        </w:rPr>
        <w:t xml:space="preserve">that reports to social affairs </w:t>
      </w:r>
      <w:r w:rsidR="00407439" w:rsidRPr="006F6EAD">
        <w:rPr>
          <w:rFonts w:asciiTheme="majorBidi" w:hAnsiTheme="majorBidi" w:cstheme="majorBidi"/>
          <w:sz w:val="20"/>
          <w:szCs w:val="20"/>
        </w:rPr>
        <w:t xml:space="preserve">or </w:t>
      </w:r>
      <w:r w:rsidRPr="006F6EAD">
        <w:rPr>
          <w:rFonts w:asciiTheme="majorBidi" w:hAnsiTheme="majorBidi" w:cstheme="majorBidi"/>
          <w:sz w:val="20"/>
          <w:szCs w:val="20"/>
        </w:rPr>
        <w:t>event</w:t>
      </w:r>
      <w:r w:rsidR="007414C7">
        <w:rPr>
          <w:rFonts w:asciiTheme="majorBidi" w:hAnsiTheme="majorBidi" w:cstheme="majorBidi"/>
          <w:sz w:val="20"/>
          <w:szCs w:val="20"/>
        </w:rPr>
        <w:t>s</w:t>
      </w:r>
      <w:r w:rsidRPr="006F6EAD">
        <w:rPr>
          <w:rFonts w:asciiTheme="majorBidi" w:hAnsiTheme="majorBidi" w:cstheme="majorBidi"/>
          <w:sz w:val="20"/>
          <w:szCs w:val="20"/>
        </w:rPr>
        <w:t xml:space="preserve"> to the prime minister. </w:t>
      </w:r>
      <w:r w:rsidR="006F6EAD" w:rsidRPr="006F6EAD">
        <w:rPr>
          <w:rFonts w:asciiTheme="majorBidi" w:hAnsiTheme="majorBidi" w:cstheme="majorBidi"/>
          <w:sz w:val="20"/>
          <w:szCs w:val="20"/>
        </w:rPr>
        <w:t xml:space="preserve">Ensuring the accessibility of public services will be one of the new </w:t>
      </w:r>
      <w:r w:rsidR="003B5B4F" w:rsidRPr="006F6EAD">
        <w:rPr>
          <w:rFonts w:asciiTheme="majorBidi" w:hAnsiTheme="majorBidi" w:cstheme="majorBidi"/>
          <w:sz w:val="20"/>
          <w:szCs w:val="20"/>
        </w:rPr>
        <w:t>obligations undertaken</w:t>
      </w:r>
      <w:r w:rsidR="006F6EAD" w:rsidRPr="006F6EAD">
        <w:rPr>
          <w:rFonts w:asciiTheme="majorBidi" w:hAnsiTheme="majorBidi" w:cstheme="majorBidi"/>
          <w:sz w:val="20"/>
          <w:szCs w:val="20"/>
        </w:rPr>
        <w:t xml:space="preserve"> by these agencies </w:t>
      </w:r>
      <w:r w:rsidR="003410DE" w:rsidRPr="006F6EAD">
        <w:rPr>
          <w:rFonts w:asciiTheme="majorBidi" w:hAnsiTheme="majorBidi" w:cstheme="majorBidi"/>
          <w:sz w:val="20"/>
          <w:szCs w:val="20"/>
        </w:rPr>
        <w:t>(</w:t>
      </w:r>
      <w:r w:rsidR="006F6EAD" w:rsidRPr="006F6EAD">
        <w:rPr>
          <w:rFonts w:asciiTheme="majorBidi" w:hAnsiTheme="majorBidi" w:cstheme="majorBidi"/>
          <w:sz w:val="20"/>
          <w:szCs w:val="20"/>
        </w:rPr>
        <w:t>including ensur</w:t>
      </w:r>
      <w:r w:rsidR="007414C7">
        <w:rPr>
          <w:rFonts w:asciiTheme="majorBidi" w:hAnsiTheme="majorBidi" w:cstheme="majorBidi"/>
          <w:sz w:val="20"/>
          <w:szCs w:val="20"/>
        </w:rPr>
        <w:t>ing</w:t>
      </w:r>
      <w:r w:rsidR="006F6EAD" w:rsidRPr="006F6EAD">
        <w:rPr>
          <w:rFonts w:asciiTheme="majorBidi" w:hAnsiTheme="majorBidi" w:cstheme="majorBidi"/>
          <w:sz w:val="20"/>
          <w:szCs w:val="20"/>
        </w:rPr>
        <w:t xml:space="preserve"> accessibility of </w:t>
      </w:r>
      <w:r w:rsidR="00407439" w:rsidRPr="006F6EAD">
        <w:rPr>
          <w:rFonts w:asciiTheme="majorBidi" w:hAnsiTheme="majorBidi" w:cstheme="majorBidi"/>
          <w:sz w:val="20"/>
          <w:szCs w:val="20"/>
        </w:rPr>
        <w:t>public website</w:t>
      </w:r>
      <w:r w:rsidR="006F6EAD" w:rsidRPr="006F6EAD">
        <w:rPr>
          <w:rFonts w:asciiTheme="majorBidi" w:hAnsiTheme="majorBidi" w:cstheme="majorBidi"/>
          <w:sz w:val="20"/>
          <w:szCs w:val="20"/>
        </w:rPr>
        <w:t>s</w:t>
      </w:r>
      <w:r w:rsidR="00407439" w:rsidRPr="006F6EAD">
        <w:rPr>
          <w:rFonts w:asciiTheme="majorBidi" w:hAnsiTheme="majorBidi" w:cstheme="majorBidi"/>
          <w:sz w:val="20"/>
          <w:szCs w:val="20"/>
        </w:rPr>
        <w:t xml:space="preserve">, </w:t>
      </w:r>
      <w:r w:rsidR="006F6EAD" w:rsidRPr="006F6EAD">
        <w:rPr>
          <w:rFonts w:asciiTheme="majorBidi" w:hAnsiTheme="majorBidi" w:cstheme="majorBidi"/>
          <w:sz w:val="20"/>
          <w:szCs w:val="20"/>
        </w:rPr>
        <w:t>etc.</w:t>
      </w:r>
      <w:r w:rsidR="00407439" w:rsidRPr="006F6EAD">
        <w:rPr>
          <w:rFonts w:asciiTheme="majorBidi" w:hAnsiTheme="majorBidi" w:cstheme="majorBidi"/>
          <w:sz w:val="20"/>
          <w:szCs w:val="20"/>
        </w:rPr>
        <w:t xml:space="preserve">). </w:t>
      </w:r>
      <w:r w:rsidR="006F6EAD">
        <w:rPr>
          <w:rFonts w:asciiTheme="majorBidi" w:hAnsiTheme="majorBidi" w:cstheme="majorBidi"/>
          <w:sz w:val="20"/>
          <w:szCs w:val="20"/>
        </w:rPr>
        <w:t>These agencies will have a strong p</w:t>
      </w:r>
      <w:r w:rsidR="006F6EAD" w:rsidRPr="003A5AE2">
        <w:rPr>
          <w:rFonts w:asciiTheme="majorBidi" w:hAnsiTheme="majorBidi" w:cstheme="majorBidi"/>
          <w:sz w:val="20"/>
          <w:szCs w:val="20"/>
        </w:rPr>
        <w:t xml:space="preserve">ressure to </w:t>
      </w:r>
      <w:r w:rsidR="006F6EAD">
        <w:rPr>
          <w:rFonts w:asciiTheme="majorBidi" w:hAnsiTheme="majorBidi" w:cstheme="majorBidi"/>
          <w:sz w:val="20"/>
          <w:szCs w:val="20"/>
        </w:rPr>
        <w:t xml:space="preserve">show progress in the </w:t>
      </w:r>
      <w:r w:rsidR="006F6EAD" w:rsidRPr="003A5AE2">
        <w:rPr>
          <w:rFonts w:asciiTheme="majorBidi" w:hAnsiTheme="majorBidi" w:cstheme="majorBidi"/>
          <w:sz w:val="20"/>
          <w:szCs w:val="20"/>
        </w:rPr>
        <w:t>implement</w:t>
      </w:r>
      <w:r w:rsidR="006F6EAD">
        <w:rPr>
          <w:rFonts w:asciiTheme="majorBidi" w:hAnsiTheme="majorBidi" w:cstheme="majorBidi"/>
          <w:sz w:val="20"/>
          <w:szCs w:val="20"/>
        </w:rPr>
        <w:t>ation of the</w:t>
      </w:r>
      <w:r w:rsidR="006F6EAD" w:rsidRPr="003A5AE2">
        <w:rPr>
          <w:rFonts w:asciiTheme="majorBidi" w:hAnsiTheme="majorBidi" w:cstheme="majorBidi"/>
          <w:sz w:val="20"/>
          <w:szCs w:val="20"/>
        </w:rPr>
        <w:t xml:space="preserve"> CRPD. </w:t>
      </w:r>
    </w:p>
    <w:p w:rsidR="006F6EAD" w:rsidRPr="003A5AE2" w:rsidRDefault="006F6EAD" w:rsidP="006F6EAD">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 xml:space="preserve">The ICT sector will be key in this process. </w:t>
      </w:r>
      <w:r w:rsidR="00407439" w:rsidRPr="003A5AE2">
        <w:rPr>
          <w:rFonts w:asciiTheme="majorBidi" w:hAnsiTheme="majorBidi" w:cstheme="majorBidi"/>
          <w:sz w:val="20"/>
          <w:szCs w:val="20"/>
        </w:rPr>
        <w:t xml:space="preserve">In many cases </w:t>
      </w:r>
      <w:r>
        <w:rPr>
          <w:rFonts w:asciiTheme="majorBidi" w:hAnsiTheme="majorBidi" w:cstheme="majorBidi"/>
          <w:sz w:val="20"/>
          <w:szCs w:val="20"/>
        </w:rPr>
        <w:t xml:space="preserve">the ministries </w:t>
      </w:r>
      <w:r w:rsidR="00407439" w:rsidRPr="003A5AE2">
        <w:rPr>
          <w:rFonts w:asciiTheme="majorBidi" w:hAnsiTheme="majorBidi" w:cstheme="majorBidi"/>
          <w:sz w:val="20"/>
          <w:szCs w:val="20"/>
        </w:rPr>
        <w:t>of telecom</w:t>
      </w:r>
      <w:r>
        <w:rPr>
          <w:rFonts w:asciiTheme="majorBidi" w:hAnsiTheme="majorBidi" w:cstheme="majorBidi"/>
          <w:sz w:val="20"/>
          <w:szCs w:val="20"/>
        </w:rPr>
        <w:t>munications and ICTs</w:t>
      </w:r>
      <w:r w:rsidR="00407439" w:rsidRPr="003A5AE2">
        <w:rPr>
          <w:rFonts w:asciiTheme="majorBidi" w:hAnsiTheme="majorBidi" w:cstheme="majorBidi"/>
          <w:sz w:val="20"/>
          <w:szCs w:val="20"/>
        </w:rPr>
        <w:t xml:space="preserve"> will be the reference for issues such as accessible websites. </w:t>
      </w:r>
      <w:r>
        <w:rPr>
          <w:rFonts w:asciiTheme="majorBidi" w:hAnsiTheme="majorBidi" w:cstheme="majorBidi"/>
          <w:sz w:val="20"/>
          <w:szCs w:val="20"/>
        </w:rPr>
        <w:t xml:space="preserve">In addition, </w:t>
      </w:r>
      <w:r w:rsidRPr="003A5AE2">
        <w:rPr>
          <w:rFonts w:asciiTheme="majorBidi" w:hAnsiTheme="majorBidi" w:cstheme="majorBidi"/>
          <w:sz w:val="20"/>
          <w:szCs w:val="20"/>
        </w:rPr>
        <w:t xml:space="preserve">in many countries the number of actors working on </w:t>
      </w:r>
      <w:r>
        <w:rPr>
          <w:rFonts w:asciiTheme="majorBidi" w:hAnsiTheme="majorBidi" w:cstheme="majorBidi"/>
          <w:sz w:val="20"/>
          <w:szCs w:val="20"/>
        </w:rPr>
        <w:t xml:space="preserve">the </w:t>
      </w:r>
      <w:r w:rsidRPr="003A5AE2">
        <w:rPr>
          <w:rFonts w:asciiTheme="majorBidi" w:hAnsiTheme="majorBidi" w:cstheme="majorBidi"/>
          <w:sz w:val="20"/>
          <w:szCs w:val="20"/>
        </w:rPr>
        <w:t xml:space="preserve">telecommunications </w:t>
      </w:r>
      <w:r>
        <w:rPr>
          <w:rFonts w:asciiTheme="majorBidi" w:hAnsiTheme="majorBidi" w:cstheme="majorBidi"/>
          <w:sz w:val="20"/>
          <w:szCs w:val="20"/>
        </w:rPr>
        <w:t xml:space="preserve">sector </w:t>
      </w:r>
      <w:r w:rsidRPr="003A5AE2">
        <w:rPr>
          <w:rFonts w:asciiTheme="majorBidi" w:hAnsiTheme="majorBidi" w:cstheme="majorBidi"/>
          <w:sz w:val="20"/>
          <w:szCs w:val="20"/>
        </w:rPr>
        <w:t xml:space="preserve">is </w:t>
      </w:r>
      <w:r>
        <w:rPr>
          <w:rFonts w:asciiTheme="majorBidi" w:hAnsiTheme="majorBidi" w:cstheme="majorBidi"/>
          <w:sz w:val="20"/>
          <w:szCs w:val="20"/>
        </w:rPr>
        <w:t>relatively small: t</w:t>
      </w:r>
      <w:r w:rsidRPr="003A5AE2">
        <w:rPr>
          <w:rFonts w:asciiTheme="majorBidi" w:hAnsiTheme="majorBidi" w:cstheme="majorBidi"/>
          <w:sz w:val="20"/>
          <w:szCs w:val="20"/>
        </w:rPr>
        <w:t xml:space="preserve">his means that by having the right policies and </w:t>
      </w:r>
      <w:proofErr w:type="spellStart"/>
      <w:r w:rsidRPr="003A5AE2">
        <w:rPr>
          <w:rFonts w:asciiTheme="majorBidi" w:hAnsiTheme="majorBidi" w:cstheme="majorBidi"/>
          <w:sz w:val="20"/>
          <w:szCs w:val="20"/>
        </w:rPr>
        <w:t>programmes</w:t>
      </w:r>
      <w:proofErr w:type="spellEnd"/>
      <w:r w:rsidRPr="003A5AE2">
        <w:rPr>
          <w:rFonts w:asciiTheme="majorBidi" w:hAnsiTheme="majorBidi" w:cstheme="majorBidi"/>
          <w:sz w:val="20"/>
          <w:szCs w:val="20"/>
        </w:rPr>
        <w:t xml:space="preserve"> it would be relatively easy to implement the articles of the convention</w:t>
      </w:r>
      <w:r>
        <w:rPr>
          <w:rFonts w:asciiTheme="majorBidi" w:hAnsiTheme="majorBidi" w:cstheme="majorBidi"/>
          <w:sz w:val="20"/>
          <w:szCs w:val="20"/>
        </w:rPr>
        <w:t xml:space="preserve"> relevant to ICTs</w:t>
      </w:r>
      <w:r w:rsidRPr="003A5AE2">
        <w:rPr>
          <w:rFonts w:asciiTheme="majorBidi" w:hAnsiTheme="majorBidi" w:cstheme="majorBidi"/>
          <w:sz w:val="20"/>
          <w:szCs w:val="20"/>
        </w:rPr>
        <w:t xml:space="preserve">. </w:t>
      </w:r>
    </w:p>
    <w:p w:rsidR="00407439" w:rsidRPr="003A5AE2" w:rsidRDefault="00407439" w:rsidP="006F6EAD">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3A5AE2">
        <w:rPr>
          <w:rFonts w:asciiTheme="majorBidi" w:hAnsiTheme="majorBidi" w:cstheme="majorBidi"/>
          <w:sz w:val="20"/>
          <w:szCs w:val="20"/>
        </w:rPr>
        <w:t>ITU can leverage its influence with these ministries to further adv</w:t>
      </w:r>
      <w:r w:rsidR="006F6EAD">
        <w:rPr>
          <w:rFonts w:asciiTheme="majorBidi" w:hAnsiTheme="majorBidi" w:cstheme="majorBidi"/>
          <w:sz w:val="20"/>
          <w:szCs w:val="20"/>
        </w:rPr>
        <w:t>ance implementation of the CRPD and promote policies to promote accessible services.</w:t>
      </w:r>
    </w:p>
    <w:p w:rsidR="006F6EAD" w:rsidRDefault="00407439" w:rsidP="006F6EAD">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6F6EAD">
        <w:rPr>
          <w:rFonts w:asciiTheme="majorBidi" w:hAnsiTheme="majorBidi" w:cstheme="majorBidi"/>
          <w:sz w:val="20"/>
          <w:szCs w:val="20"/>
        </w:rPr>
        <w:t xml:space="preserve">ITU </w:t>
      </w:r>
      <w:r w:rsidR="006F6EAD" w:rsidRPr="006F6EAD">
        <w:rPr>
          <w:rFonts w:asciiTheme="majorBidi" w:hAnsiTheme="majorBidi" w:cstheme="majorBidi"/>
          <w:sz w:val="20"/>
          <w:szCs w:val="20"/>
        </w:rPr>
        <w:t>can do this by highlighting the good work that has already</w:t>
      </w:r>
      <w:r w:rsidR="007414C7">
        <w:rPr>
          <w:rFonts w:asciiTheme="majorBidi" w:hAnsiTheme="majorBidi" w:cstheme="majorBidi"/>
          <w:sz w:val="20"/>
          <w:szCs w:val="20"/>
        </w:rPr>
        <w:t xml:space="preserve"> been</w:t>
      </w:r>
      <w:r w:rsidR="006F6EAD" w:rsidRPr="006F6EAD">
        <w:rPr>
          <w:rFonts w:asciiTheme="majorBidi" w:hAnsiTheme="majorBidi" w:cstheme="majorBidi"/>
          <w:sz w:val="20"/>
          <w:szCs w:val="20"/>
        </w:rPr>
        <w:t xml:space="preserve"> conducted </w:t>
      </w:r>
      <w:r w:rsidR="007414C7">
        <w:rPr>
          <w:rFonts w:asciiTheme="majorBidi" w:hAnsiTheme="majorBidi" w:cstheme="majorBidi"/>
          <w:sz w:val="20"/>
          <w:szCs w:val="20"/>
        </w:rPr>
        <w:t>in</w:t>
      </w:r>
      <w:r w:rsidR="006F6EAD" w:rsidRPr="006F6EAD">
        <w:rPr>
          <w:rFonts w:asciiTheme="majorBidi" w:hAnsiTheme="majorBidi" w:cstheme="majorBidi"/>
          <w:sz w:val="20"/>
          <w:szCs w:val="20"/>
        </w:rPr>
        <w:t xml:space="preserve"> this domain, such as </w:t>
      </w:r>
      <w:r w:rsidR="006F6EAD">
        <w:rPr>
          <w:rFonts w:asciiTheme="majorBidi" w:hAnsiTheme="majorBidi" w:cstheme="majorBidi"/>
          <w:sz w:val="20"/>
          <w:szCs w:val="20"/>
        </w:rPr>
        <w:t xml:space="preserve">the development of accessible ICT </w:t>
      </w:r>
      <w:r w:rsidRPr="006F6EAD">
        <w:rPr>
          <w:rFonts w:asciiTheme="majorBidi" w:hAnsiTheme="majorBidi" w:cstheme="majorBidi"/>
          <w:sz w:val="20"/>
          <w:szCs w:val="20"/>
        </w:rPr>
        <w:t>standards through ITU-T</w:t>
      </w:r>
      <w:r w:rsidR="006F6EAD">
        <w:rPr>
          <w:rFonts w:asciiTheme="majorBidi" w:hAnsiTheme="majorBidi" w:cstheme="majorBidi"/>
          <w:sz w:val="20"/>
          <w:szCs w:val="20"/>
        </w:rPr>
        <w:t xml:space="preserve"> and ITU-R, the promotion of </w:t>
      </w:r>
      <w:r w:rsidRPr="003A5AE2">
        <w:rPr>
          <w:rFonts w:asciiTheme="majorBidi" w:hAnsiTheme="majorBidi" w:cstheme="majorBidi"/>
          <w:sz w:val="20"/>
          <w:szCs w:val="20"/>
        </w:rPr>
        <w:t>ICT accessibility policies through ITU-D</w:t>
      </w:r>
      <w:r w:rsidR="006F6EAD">
        <w:rPr>
          <w:rFonts w:asciiTheme="majorBidi" w:hAnsiTheme="majorBidi" w:cstheme="majorBidi"/>
          <w:sz w:val="20"/>
          <w:szCs w:val="20"/>
        </w:rPr>
        <w:t xml:space="preserve"> or the publication of several reports with </w:t>
      </w:r>
      <w:r w:rsidRPr="003A5AE2">
        <w:rPr>
          <w:rFonts w:asciiTheme="majorBidi" w:hAnsiTheme="majorBidi" w:cstheme="majorBidi"/>
          <w:sz w:val="20"/>
          <w:szCs w:val="20"/>
        </w:rPr>
        <w:t>specific recommendations</w:t>
      </w:r>
      <w:r w:rsidR="006F6EAD">
        <w:rPr>
          <w:rFonts w:asciiTheme="majorBidi" w:hAnsiTheme="majorBidi" w:cstheme="majorBidi"/>
          <w:sz w:val="20"/>
          <w:szCs w:val="20"/>
        </w:rPr>
        <w:t xml:space="preserve"> on </w:t>
      </w:r>
      <w:r w:rsidRPr="003A5AE2">
        <w:rPr>
          <w:rFonts w:asciiTheme="majorBidi" w:hAnsiTheme="majorBidi" w:cstheme="majorBidi"/>
          <w:sz w:val="20"/>
          <w:szCs w:val="20"/>
        </w:rPr>
        <w:t>accessible TV, mobile</w:t>
      </w:r>
      <w:r w:rsidR="006F6EAD">
        <w:rPr>
          <w:rFonts w:asciiTheme="majorBidi" w:hAnsiTheme="majorBidi" w:cstheme="majorBidi"/>
          <w:sz w:val="20"/>
          <w:szCs w:val="20"/>
        </w:rPr>
        <w:t>, etc.</w:t>
      </w:r>
    </w:p>
    <w:p w:rsidR="006F6EAD" w:rsidRPr="003A5AE2" w:rsidRDefault="006F6EAD" w:rsidP="006F6EAD">
      <w:pPr>
        <w:pStyle w:val="ListParagraph"/>
        <w:numPr>
          <w:ilvl w:val="0"/>
          <w:numId w:val="7"/>
        </w:numPr>
        <w:spacing w:before="120" w:after="120"/>
        <w:ind w:left="714" w:hanging="357"/>
        <w:contextualSpacing w:val="0"/>
        <w:jc w:val="both"/>
        <w:rPr>
          <w:rFonts w:asciiTheme="majorBidi" w:hAnsiTheme="majorBidi" w:cstheme="majorBidi"/>
          <w:sz w:val="20"/>
          <w:szCs w:val="20"/>
        </w:rPr>
      </w:pPr>
      <w:r>
        <w:rPr>
          <w:rFonts w:asciiTheme="majorBidi" w:hAnsiTheme="majorBidi" w:cstheme="majorBidi"/>
          <w:sz w:val="20"/>
          <w:szCs w:val="20"/>
        </w:rPr>
        <w:t>By further promoting the implementation of</w:t>
      </w:r>
      <w:r w:rsidR="00407439" w:rsidRPr="003A5AE2">
        <w:rPr>
          <w:rFonts w:asciiTheme="majorBidi" w:hAnsiTheme="majorBidi" w:cstheme="majorBidi"/>
          <w:sz w:val="20"/>
          <w:szCs w:val="20"/>
        </w:rPr>
        <w:t xml:space="preserve"> these policies in all countries </w:t>
      </w:r>
      <w:r>
        <w:rPr>
          <w:rFonts w:asciiTheme="majorBidi" w:hAnsiTheme="majorBidi" w:cstheme="majorBidi"/>
          <w:sz w:val="20"/>
          <w:szCs w:val="20"/>
        </w:rPr>
        <w:t xml:space="preserve">ITU </w:t>
      </w:r>
      <w:r w:rsidR="00407439" w:rsidRPr="003A5AE2">
        <w:rPr>
          <w:rFonts w:asciiTheme="majorBidi" w:hAnsiTheme="majorBidi" w:cstheme="majorBidi"/>
          <w:sz w:val="20"/>
          <w:szCs w:val="20"/>
        </w:rPr>
        <w:t xml:space="preserve">would </w:t>
      </w:r>
      <w:r>
        <w:rPr>
          <w:rFonts w:asciiTheme="majorBidi" w:hAnsiTheme="majorBidi" w:cstheme="majorBidi"/>
          <w:sz w:val="20"/>
          <w:szCs w:val="20"/>
        </w:rPr>
        <w:t>transform</w:t>
      </w:r>
      <w:r w:rsidR="00407439" w:rsidRPr="003A5AE2">
        <w:rPr>
          <w:rFonts w:asciiTheme="majorBidi" w:hAnsiTheme="majorBidi" w:cstheme="majorBidi"/>
          <w:sz w:val="20"/>
          <w:szCs w:val="20"/>
        </w:rPr>
        <w:t xml:space="preserve"> the lives of millions of persons with disabilities. </w:t>
      </w:r>
      <w:r w:rsidRPr="003A5AE2">
        <w:rPr>
          <w:rFonts w:asciiTheme="majorBidi" w:hAnsiTheme="majorBidi" w:cstheme="majorBidi"/>
          <w:sz w:val="20"/>
          <w:szCs w:val="20"/>
        </w:rPr>
        <w:t xml:space="preserve">We have never had </w:t>
      </w:r>
      <w:proofErr w:type="gramStart"/>
      <w:r w:rsidRPr="003A5AE2">
        <w:rPr>
          <w:rFonts w:asciiTheme="majorBidi" w:hAnsiTheme="majorBidi" w:cstheme="majorBidi"/>
          <w:sz w:val="20"/>
          <w:szCs w:val="20"/>
        </w:rPr>
        <w:t>such  strong</w:t>
      </w:r>
      <w:proofErr w:type="gramEnd"/>
      <w:r w:rsidRPr="003A5AE2">
        <w:rPr>
          <w:rFonts w:asciiTheme="majorBidi" w:hAnsiTheme="majorBidi" w:cstheme="majorBidi"/>
          <w:sz w:val="20"/>
          <w:szCs w:val="20"/>
        </w:rPr>
        <w:t xml:space="preserve"> interest from countries in implementing accessible policies. ITU should not be shy about it. We have a lot to offer.</w:t>
      </w:r>
      <w:r w:rsidR="00593C3D">
        <w:rPr>
          <w:rFonts w:asciiTheme="majorBidi" w:hAnsiTheme="majorBidi" w:cstheme="majorBidi"/>
          <w:sz w:val="20"/>
          <w:szCs w:val="20"/>
        </w:rPr>
        <w:t xml:space="preserve"> </w:t>
      </w:r>
    </w:p>
    <w:p w:rsidR="00407439" w:rsidRPr="006F6EAD" w:rsidRDefault="006F6EAD" w:rsidP="000B2A3F">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6F6EAD">
        <w:rPr>
          <w:rFonts w:asciiTheme="majorBidi" w:hAnsiTheme="majorBidi" w:cstheme="majorBidi"/>
          <w:sz w:val="20"/>
          <w:szCs w:val="20"/>
        </w:rPr>
        <w:t xml:space="preserve">ITU has to involve </w:t>
      </w:r>
      <w:r w:rsidR="00407439" w:rsidRPr="006F6EAD">
        <w:rPr>
          <w:rFonts w:asciiTheme="majorBidi" w:hAnsiTheme="majorBidi" w:cstheme="majorBidi"/>
          <w:sz w:val="20"/>
          <w:szCs w:val="20"/>
        </w:rPr>
        <w:t>group</w:t>
      </w:r>
      <w:r>
        <w:rPr>
          <w:rFonts w:asciiTheme="majorBidi" w:hAnsiTheme="majorBidi" w:cstheme="majorBidi"/>
          <w:sz w:val="20"/>
          <w:szCs w:val="20"/>
        </w:rPr>
        <w:t>s of persons with disabilities in this work.</w:t>
      </w:r>
    </w:p>
    <w:p w:rsidR="00407439" w:rsidRDefault="00407439" w:rsidP="006F6EAD">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3A5AE2">
        <w:rPr>
          <w:rFonts w:asciiTheme="majorBidi" w:hAnsiTheme="majorBidi" w:cstheme="majorBidi"/>
          <w:sz w:val="20"/>
          <w:szCs w:val="20"/>
        </w:rPr>
        <w:t xml:space="preserve">As ITU member we are keen to </w:t>
      </w:r>
      <w:r w:rsidR="006F6EAD">
        <w:rPr>
          <w:rFonts w:asciiTheme="majorBidi" w:hAnsiTheme="majorBidi" w:cstheme="majorBidi"/>
          <w:sz w:val="20"/>
          <w:szCs w:val="20"/>
        </w:rPr>
        <w:t xml:space="preserve">continue </w:t>
      </w:r>
      <w:r w:rsidRPr="003A5AE2">
        <w:rPr>
          <w:rFonts w:asciiTheme="majorBidi" w:hAnsiTheme="majorBidi" w:cstheme="majorBidi"/>
          <w:sz w:val="20"/>
          <w:szCs w:val="20"/>
        </w:rPr>
        <w:t xml:space="preserve">support </w:t>
      </w:r>
      <w:r w:rsidR="006F6EAD">
        <w:rPr>
          <w:rFonts w:asciiTheme="majorBidi" w:hAnsiTheme="majorBidi" w:cstheme="majorBidi"/>
          <w:sz w:val="20"/>
          <w:szCs w:val="20"/>
        </w:rPr>
        <w:t xml:space="preserve">ITU in moving this forward and reinforce ITU’s role as a </w:t>
      </w:r>
      <w:r w:rsidRPr="003A5AE2">
        <w:rPr>
          <w:rFonts w:asciiTheme="majorBidi" w:hAnsiTheme="majorBidi" w:cstheme="majorBidi"/>
          <w:sz w:val="20"/>
          <w:szCs w:val="20"/>
        </w:rPr>
        <w:t xml:space="preserve">thought leader in the UN system about it. </w:t>
      </w:r>
    </w:p>
    <w:p w:rsidR="008E224C" w:rsidRPr="00593C3D" w:rsidRDefault="00593C3D" w:rsidP="0093199F">
      <w:pPr>
        <w:spacing w:before="240" w:after="120"/>
        <w:jc w:val="both"/>
        <w:rPr>
          <w:rFonts w:asciiTheme="majorBidi" w:hAnsiTheme="majorBidi" w:cstheme="majorBidi"/>
          <w:sz w:val="20"/>
          <w:szCs w:val="20"/>
          <w:u w:val="single"/>
        </w:rPr>
      </w:pPr>
      <w:bookmarkStart w:id="2" w:name="_GoBack"/>
      <w:bookmarkEnd w:id="2"/>
      <w:r w:rsidRPr="00593C3D">
        <w:rPr>
          <w:rFonts w:asciiTheme="majorBidi" w:hAnsiTheme="majorBidi" w:cstheme="majorBidi"/>
          <w:sz w:val="20"/>
          <w:szCs w:val="20"/>
          <w:u w:val="single"/>
        </w:rPr>
        <w:t xml:space="preserve">Open </w:t>
      </w:r>
      <w:r w:rsidR="00D04D57" w:rsidRPr="00593C3D">
        <w:rPr>
          <w:rFonts w:asciiTheme="majorBidi" w:hAnsiTheme="majorBidi" w:cstheme="majorBidi"/>
          <w:sz w:val="20"/>
          <w:szCs w:val="20"/>
          <w:u w:val="single"/>
        </w:rPr>
        <w:t>discussion</w:t>
      </w:r>
    </w:p>
    <w:p w:rsidR="0003186A" w:rsidRDefault="00593C3D" w:rsidP="0093199F">
      <w:pPr>
        <w:spacing w:before="120" w:after="120"/>
        <w:jc w:val="both"/>
        <w:rPr>
          <w:rFonts w:asciiTheme="majorBidi" w:hAnsiTheme="majorBidi" w:cstheme="majorBidi"/>
          <w:sz w:val="20"/>
          <w:szCs w:val="20"/>
        </w:rPr>
      </w:pPr>
      <w:r>
        <w:rPr>
          <w:rFonts w:asciiTheme="majorBidi" w:hAnsiTheme="majorBidi" w:cstheme="majorBidi"/>
          <w:sz w:val="20"/>
          <w:szCs w:val="20"/>
        </w:rPr>
        <w:lastRenderedPageBreak/>
        <w:t>After the experts’ intervention</w:t>
      </w:r>
      <w:r w:rsidR="00EC0764">
        <w:rPr>
          <w:rFonts w:asciiTheme="majorBidi" w:hAnsiTheme="majorBidi" w:cstheme="majorBidi"/>
          <w:sz w:val="20"/>
          <w:szCs w:val="20"/>
        </w:rPr>
        <w:t xml:space="preserve">, </w:t>
      </w:r>
      <w:r>
        <w:rPr>
          <w:rFonts w:asciiTheme="majorBidi" w:hAnsiTheme="majorBidi" w:cstheme="majorBidi"/>
          <w:sz w:val="20"/>
          <w:szCs w:val="20"/>
        </w:rPr>
        <w:t>the DSG opened</w:t>
      </w:r>
      <w:r w:rsidR="00752E1F">
        <w:rPr>
          <w:rFonts w:asciiTheme="majorBidi" w:hAnsiTheme="majorBidi" w:cstheme="majorBidi"/>
          <w:sz w:val="20"/>
          <w:szCs w:val="20"/>
        </w:rPr>
        <w:t xml:space="preserve"> the</w:t>
      </w:r>
      <w:r>
        <w:rPr>
          <w:rFonts w:asciiTheme="majorBidi" w:hAnsiTheme="majorBidi" w:cstheme="majorBidi"/>
          <w:sz w:val="20"/>
          <w:szCs w:val="20"/>
        </w:rPr>
        <w:t xml:space="preserve"> </w:t>
      </w:r>
      <w:r w:rsidR="0003186A">
        <w:rPr>
          <w:rFonts w:asciiTheme="majorBidi" w:hAnsiTheme="majorBidi" w:cstheme="majorBidi"/>
          <w:sz w:val="20"/>
          <w:szCs w:val="20"/>
        </w:rPr>
        <w:t>floor for the debate</w:t>
      </w:r>
      <w:r w:rsidR="00752E1F">
        <w:rPr>
          <w:rFonts w:asciiTheme="majorBidi" w:hAnsiTheme="majorBidi" w:cstheme="majorBidi"/>
          <w:sz w:val="20"/>
          <w:szCs w:val="20"/>
        </w:rPr>
        <w:t>,</w:t>
      </w:r>
      <w:r w:rsidR="00EC0764">
        <w:rPr>
          <w:rFonts w:asciiTheme="majorBidi" w:hAnsiTheme="majorBidi" w:cstheme="majorBidi"/>
          <w:sz w:val="20"/>
          <w:szCs w:val="20"/>
        </w:rPr>
        <w:t xml:space="preserve"> inviting all participants to reflect on the main actions needed to support the implementation of the Connect 2020 accessibility target</w:t>
      </w:r>
      <w:r w:rsidR="0003186A">
        <w:rPr>
          <w:rFonts w:asciiTheme="majorBidi" w:hAnsiTheme="majorBidi" w:cstheme="majorBidi"/>
          <w:sz w:val="20"/>
          <w:szCs w:val="20"/>
        </w:rPr>
        <w:t>:</w:t>
      </w:r>
    </w:p>
    <w:p w:rsidR="002D366C" w:rsidRPr="003A5AE2" w:rsidRDefault="002D366C" w:rsidP="002D366C">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2D366C">
        <w:rPr>
          <w:rFonts w:asciiTheme="majorBidi" w:hAnsiTheme="majorBidi" w:cstheme="majorBidi"/>
          <w:i/>
          <w:iCs/>
          <w:sz w:val="20"/>
          <w:szCs w:val="20"/>
        </w:rPr>
        <w:t xml:space="preserve">About the Connect 2020 target. </w:t>
      </w:r>
      <w:r w:rsidR="00752E1F">
        <w:rPr>
          <w:rFonts w:asciiTheme="majorBidi" w:hAnsiTheme="majorBidi" w:cstheme="majorBidi"/>
          <w:i/>
          <w:iCs/>
          <w:sz w:val="20"/>
          <w:szCs w:val="20"/>
        </w:rPr>
        <w:t xml:space="preserve">The </w:t>
      </w:r>
      <w:r w:rsidR="00752E1F">
        <w:rPr>
          <w:rFonts w:asciiTheme="majorBidi" w:hAnsiTheme="majorBidi" w:cstheme="majorBidi"/>
          <w:sz w:val="20"/>
          <w:szCs w:val="20"/>
        </w:rPr>
        <w:t>t</w:t>
      </w:r>
      <w:r w:rsidRPr="003A5AE2">
        <w:rPr>
          <w:rFonts w:asciiTheme="majorBidi" w:hAnsiTheme="majorBidi" w:cstheme="majorBidi"/>
          <w:sz w:val="20"/>
          <w:szCs w:val="20"/>
        </w:rPr>
        <w:t xml:space="preserve">arget was established to ensure that </w:t>
      </w:r>
      <w:r w:rsidR="00752E1F">
        <w:rPr>
          <w:rFonts w:asciiTheme="majorBidi" w:hAnsiTheme="majorBidi" w:cstheme="majorBidi"/>
          <w:sz w:val="20"/>
          <w:szCs w:val="20"/>
        </w:rPr>
        <w:t xml:space="preserve">an </w:t>
      </w:r>
      <w:r w:rsidRPr="003A5AE2">
        <w:rPr>
          <w:rFonts w:asciiTheme="majorBidi" w:hAnsiTheme="majorBidi" w:cstheme="majorBidi"/>
          <w:sz w:val="20"/>
          <w:szCs w:val="20"/>
        </w:rPr>
        <w:t xml:space="preserve">enabling environment exists. </w:t>
      </w:r>
      <w:r w:rsidR="00752E1F">
        <w:rPr>
          <w:rFonts w:asciiTheme="majorBidi" w:hAnsiTheme="majorBidi" w:cstheme="majorBidi"/>
          <w:sz w:val="20"/>
          <w:szCs w:val="20"/>
        </w:rPr>
        <w:t>The f</w:t>
      </w:r>
      <w:r w:rsidRPr="003A5AE2">
        <w:rPr>
          <w:rFonts w:asciiTheme="majorBidi" w:hAnsiTheme="majorBidi" w:cstheme="majorBidi"/>
          <w:sz w:val="20"/>
          <w:szCs w:val="20"/>
        </w:rPr>
        <w:t>irst step is to establish effective policies and regulations. ITU members took a practical approach</w:t>
      </w:r>
      <w:r>
        <w:rPr>
          <w:rFonts w:asciiTheme="majorBidi" w:hAnsiTheme="majorBidi" w:cstheme="majorBidi"/>
          <w:sz w:val="20"/>
          <w:szCs w:val="20"/>
        </w:rPr>
        <w:t>, since m</w:t>
      </w:r>
      <w:r w:rsidRPr="003A5AE2">
        <w:rPr>
          <w:rFonts w:asciiTheme="majorBidi" w:hAnsiTheme="majorBidi" w:cstheme="majorBidi"/>
          <w:sz w:val="20"/>
          <w:szCs w:val="20"/>
        </w:rPr>
        <w:t>easuring use of ICTs by PWDs is very challenging</w:t>
      </w:r>
      <w:r>
        <w:rPr>
          <w:rFonts w:asciiTheme="majorBidi" w:hAnsiTheme="majorBidi" w:cstheme="majorBidi"/>
          <w:sz w:val="20"/>
          <w:szCs w:val="20"/>
        </w:rPr>
        <w:t xml:space="preserve"> and </w:t>
      </w:r>
      <w:r w:rsidRPr="003A5AE2">
        <w:rPr>
          <w:rFonts w:asciiTheme="majorBidi" w:hAnsiTheme="majorBidi" w:cstheme="majorBidi"/>
          <w:sz w:val="20"/>
          <w:szCs w:val="20"/>
        </w:rPr>
        <w:t>would be very difficult to measure.</w:t>
      </w:r>
    </w:p>
    <w:p w:rsidR="006F3530" w:rsidRDefault="006F3530" w:rsidP="002D366C">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6F3530">
        <w:rPr>
          <w:rFonts w:asciiTheme="majorBidi" w:hAnsiTheme="majorBidi" w:cstheme="majorBidi"/>
          <w:i/>
          <w:iCs/>
          <w:sz w:val="20"/>
          <w:szCs w:val="20"/>
        </w:rPr>
        <w:t xml:space="preserve">The </w:t>
      </w:r>
      <w:r>
        <w:rPr>
          <w:rFonts w:asciiTheme="majorBidi" w:hAnsiTheme="majorBidi" w:cstheme="majorBidi"/>
          <w:i/>
          <w:iCs/>
          <w:sz w:val="20"/>
          <w:szCs w:val="20"/>
        </w:rPr>
        <w:t>importance of setting up the right process</w:t>
      </w:r>
      <w:r w:rsidRPr="006F3530">
        <w:rPr>
          <w:rFonts w:asciiTheme="majorBidi" w:hAnsiTheme="majorBidi" w:cstheme="majorBidi"/>
          <w:i/>
          <w:iCs/>
          <w:sz w:val="20"/>
          <w:szCs w:val="20"/>
        </w:rPr>
        <w:t xml:space="preserve">. </w:t>
      </w:r>
      <w:r w:rsidR="00752E1F">
        <w:rPr>
          <w:rFonts w:asciiTheme="majorBidi" w:hAnsiTheme="majorBidi" w:cstheme="majorBidi"/>
          <w:sz w:val="20"/>
          <w:szCs w:val="20"/>
        </w:rPr>
        <w:t>I</w:t>
      </w:r>
      <w:r w:rsidR="002D366C" w:rsidRPr="002D366C">
        <w:rPr>
          <w:rFonts w:asciiTheme="majorBidi" w:hAnsiTheme="majorBidi" w:cstheme="majorBidi"/>
          <w:sz w:val="20"/>
          <w:szCs w:val="20"/>
        </w:rPr>
        <w:t>t is important to highlight that p</w:t>
      </w:r>
      <w:r w:rsidR="00A04FDC">
        <w:rPr>
          <w:rFonts w:asciiTheme="majorBidi" w:hAnsiTheme="majorBidi" w:cstheme="majorBidi"/>
          <w:sz w:val="20"/>
          <w:szCs w:val="20"/>
        </w:rPr>
        <w:t>olicies alone don’t create results.</w:t>
      </w:r>
      <w:r>
        <w:rPr>
          <w:rFonts w:asciiTheme="majorBidi" w:hAnsiTheme="majorBidi" w:cstheme="majorBidi"/>
          <w:sz w:val="20"/>
          <w:szCs w:val="20"/>
        </w:rPr>
        <w:t xml:space="preserve"> It is important </w:t>
      </w:r>
      <w:r w:rsidR="00336427" w:rsidRPr="003A5AE2">
        <w:rPr>
          <w:rFonts w:asciiTheme="majorBidi" w:hAnsiTheme="majorBidi" w:cstheme="majorBidi"/>
          <w:sz w:val="20"/>
          <w:szCs w:val="20"/>
        </w:rPr>
        <w:t xml:space="preserve">to set up milestones, introduce verification </w:t>
      </w:r>
      <w:r>
        <w:rPr>
          <w:rFonts w:asciiTheme="majorBidi" w:hAnsiTheme="majorBidi" w:cstheme="majorBidi"/>
          <w:sz w:val="20"/>
          <w:szCs w:val="20"/>
        </w:rPr>
        <w:t xml:space="preserve">processes </w:t>
      </w:r>
      <w:r w:rsidR="00336427" w:rsidRPr="003A5AE2">
        <w:rPr>
          <w:rFonts w:asciiTheme="majorBidi" w:hAnsiTheme="majorBidi" w:cstheme="majorBidi"/>
          <w:sz w:val="20"/>
          <w:szCs w:val="20"/>
        </w:rPr>
        <w:t xml:space="preserve">and assess progress. Only when policies are in place and </w:t>
      </w:r>
      <w:r>
        <w:rPr>
          <w:rFonts w:asciiTheme="majorBidi" w:hAnsiTheme="majorBidi" w:cstheme="majorBidi"/>
          <w:sz w:val="20"/>
          <w:szCs w:val="20"/>
        </w:rPr>
        <w:t xml:space="preserve">the </w:t>
      </w:r>
      <w:r w:rsidR="00336427" w:rsidRPr="003A5AE2">
        <w:rPr>
          <w:rFonts w:asciiTheme="majorBidi" w:hAnsiTheme="majorBidi" w:cstheme="majorBidi"/>
          <w:sz w:val="20"/>
          <w:szCs w:val="20"/>
        </w:rPr>
        <w:t>right mechanism</w:t>
      </w:r>
      <w:r w:rsidR="00752E1F">
        <w:rPr>
          <w:rFonts w:asciiTheme="majorBidi" w:hAnsiTheme="majorBidi" w:cstheme="majorBidi"/>
          <w:sz w:val="20"/>
          <w:szCs w:val="20"/>
        </w:rPr>
        <w:t>s</w:t>
      </w:r>
      <w:r w:rsidR="00336427" w:rsidRPr="003A5AE2">
        <w:rPr>
          <w:rFonts w:asciiTheme="majorBidi" w:hAnsiTheme="majorBidi" w:cstheme="majorBidi"/>
          <w:sz w:val="20"/>
          <w:szCs w:val="20"/>
        </w:rPr>
        <w:t xml:space="preserve"> are implemented then this would set up the right roadmap. </w:t>
      </w:r>
    </w:p>
    <w:p w:rsidR="002D366C" w:rsidRDefault="002D366C" w:rsidP="002D366C">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2D366C">
        <w:rPr>
          <w:rFonts w:asciiTheme="majorBidi" w:hAnsiTheme="majorBidi" w:cstheme="majorBidi"/>
          <w:i/>
          <w:iCs/>
          <w:sz w:val="20"/>
          <w:szCs w:val="20"/>
        </w:rPr>
        <w:t>Measuring the Connect 2020 target.</w:t>
      </w:r>
      <w:r>
        <w:rPr>
          <w:rFonts w:asciiTheme="majorBidi" w:hAnsiTheme="majorBidi" w:cstheme="majorBidi"/>
          <w:sz w:val="20"/>
          <w:szCs w:val="20"/>
        </w:rPr>
        <w:t xml:space="preserve"> Measuring the Connect 2020 target will be done through the </w:t>
      </w:r>
      <w:r w:rsidR="008E224C" w:rsidRPr="003A5AE2">
        <w:rPr>
          <w:rFonts w:asciiTheme="majorBidi" w:hAnsiTheme="majorBidi" w:cstheme="majorBidi"/>
          <w:sz w:val="20"/>
          <w:szCs w:val="20"/>
        </w:rPr>
        <w:t xml:space="preserve">ITU regulatory </w:t>
      </w:r>
      <w:r>
        <w:rPr>
          <w:rFonts w:asciiTheme="majorBidi" w:hAnsiTheme="majorBidi" w:cstheme="majorBidi"/>
          <w:sz w:val="20"/>
          <w:szCs w:val="20"/>
        </w:rPr>
        <w:t>survey which from this year</w:t>
      </w:r>
      <w:r w:rsidR="008E224C" w:rsidRPr="003A5AE2">
        <w:rPr>
          <w:rFonts w:asciiTheme="majorBidi" w:hAnsiTheme="majorBidi" w:cstheme="majorBidi"/>
          <w:sz w:val="20"/>
          <w:szCs w:val="20"/>
        </w:rPr>
        <w:t xml:space="preserve"> has already introduc</w:t>
      </w:r>
      <w:r w:rsidR="00317157" w:rsidRPr="003A5AE2">
        <w:rPr>
          <w:rFonts w:asciiTheme="majorBidi" w:hAnsiTheme="majorBidi" w:cstheme="majorBidi"/>
          <w:sz w:val="20"/>
          <w:szCs w:val="20"/>
        </w:rPr>
        <w:t>ed the right question</w:t>
      </w:r>
      <w:r w:rsidR="00752E1F">
        <w:rPr>
          <w:rFonts w:asciiTheme="majorBidi" w:hAnsiTheme="majorBidi" w:cstheme="majorBidi"/>
          <w:sz w:val="20"/>
          <w:szCs w:val="20"/>
        </w:rPr>
        <w:t>,</w:t>
      </w:r>
      <w:r w:rsidR="00317157" w:rsidRPr="003A5AE2">
        <w:rPr>
          <w:rFonts w:asciiTheme="majorBidi" w:hAnsiTheme="majorBidi" w:cstheme="majorBidi"/>
          <w:sz w:val="20"/>
          <w:szCs w:val="20"/>
        </w:rPr>
        <w:t xml:space="preserve"> so that focal points</w:t>
      </w:r>
      <w:r w:rsidR="008E224C" w:rsidRPr="003A5AE2">
        <w:rPr>
          <w:rFonts w:asciiTheme="majorBidi" w:hAnsiTheme="majorBidi" w:cstheme="majorBidi"/>
          <w:sz w:val="20"/>
          <w:szCs w:val="20"/>
        </w:rPr>
        <w:t xml:space="preserve"> can measure implementation of the Connect 2020 goal, with language in line with the model policy. </w:t>
      </w:r>
      <w:r>
        <w:rPr>
          <w:rFonts w:asciiTheme="majorBidi" w:hAnsiTheme="majorBidi" w:cstheme="majorBidi"/>
          <w:sz w:val="20"/>
          <w:szCs w:val="20"/>
        </w:rPr>
        <w:t xml:space="preserve">Responses to the survey are currently being collected. </w:t>
      </w:r>
    </w:p>
    <w:p w:rsidR="008E224C" w:rsidRPr="003A5AE2" w:rsidRDefault="002D366C" w:rsidP="002D366C">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2D366C">
        <w:rPr>
          <w:rFonts w:asciiTheme="majorBidi" w:hAnsiTheme="majorBidi" w:cstheme="majorBidi"/>
          <w:i/>
          <w:iCs/>
          <w:sz w:val="20"/>
          <w:szCs w:val="20"/>
        </w:rPr>
        <w:t xml:space="preserve">The role of public procurement. </w:t>
      </w:r>
      <w:r w:rsidR="00317157" w:rsidRPr="003A5AE2">
        <w:rPr>
          <w:rFonts w:asciiTheme="majorBidi" w:hAnsiTheme="majorBidi" w:cstheme="majorBidi"/>
          <w:sz w:val="20"/>
          <w:szCs w:val="20"/>
        </w:rPr>
        <w:t xml:space="preserve">Public procurement </w:t>
      </w:r>
      <w:r>
        <w:rPr>
          <w:rFonts w:asciiTheme="majorBidi" w:hAnsiTheme="majorBidi" w:cstheme="majorBidi"/>
          <w:sz w:val="20"/>
          <w:szCs w:val="20"/>
        </w:rPr>
        <w:t xml:space="preserve">will be </w:t>
      </w:r>
      <w:r w:rsidR="00317157" w:rsidRPr="003A5AE2">
        <w:rPr>
          <w:rFonts w:asciiTheme="majorBidi" w:hAnsiTheme="majorBidi" w:cstheme="majorBidi"/>
          <w:sz w:val="20"/>
          <w:szCs w:val="20"/>
        </w:rPr>
        <w:t xml:space="preserve">an important element which has been </w:t>
      </w:r>
      <w:r w:rsidR="008E224C" w:rsidRPr="003A5AE2">
        <w:rPr>
          <w:rFonts w:asciiTheme="majorBidi" w:hAnsiTheme="majorBidi" w:cstheme="majorBidi"/>
          <w:sz w:val="20"/>
          <w:szCs w:val="20"/>
        </w:rPr>
        <w:t>already included</w:t>
      </w:r>
      <w:r w:rsidR="00317157" w:rsidRPr="003A5AE2">
        <w:rPr>
          <w:rFonts w:asciiTheme="majorBidi" w:hAnsiTheme="majorBidi" w:cstheme="majorBidi"/>
          <w:sz w:val="20"/>
          <w:szCs w:val="20"/>
        </w:rPr>
        <w:t xml:space="preserve"> in the survey. This year ITU is</w:t>
      </w:r>
      <w:r w:rsidR="008E224C" w:rsidRPr="003A5AE2">
        <w:rPr>
          <w:rFonts w:asciiTheme="majorBidi" w:hAnsiTheme="majorBidi" w:cstheme="majorBidi"/>
          <w:sz w:val="20"/>
          <w:szCs w:val="20"/>
        </w:rPr>
        <w:t xml:space="preserve"> doing training for procurement agencies on how they ca</w:t>
      </w:r>
      <w:r w:rsidR="00317157" w:rsidRPr="003A5AE2">
        <w:rPr>
          <w:rFonts w:asciiTheme="majorBidi" w:hAnsiTheme="majorBidi" w:cstheme="majorBidi"/>
          <w:sz w:val="20"/>
          <w:szCs w:val="20"/>
        </w:rPr>
        <w:t xml:space="preserve">n procure accessible equipment and </w:t>
      </w:r>
      <w:r w:rsidR="008E224C" w:rsidRPr="003A5AE2">
        <w:rPr>
          <w:rFonts w:asciiTheme="majorBidi" w:hAnsiTheme="majorBidi" w:cstheme="majorBidi"/>
          <w:sz w:val="20"/>
          <w:szCs w:val="20"/>
        </w:rPr>
        <w:t xml:space="preserve">will do this through the ITU academy. </w:t>
      </w:r>
      <w:r w:rsidR="00C91B5D">
        <w:rPr>
          <w:rFonts w:asciiTheme="majorBidi" w:hAnsiTheme="majorBidi" w:cstheme="majorBidi"/>
          <w:sz w:val="20"/>
          <w:szCs w:val="20"/>
        </w:rPr>
        <w:t>In addition</w:t>
      </w:r>
      <w:r w:rsidR="00752E1F">
        <w:rPr>
          <w:rFonts w:asciiTheme="majorBidi" w:hAnsiTheme="majorBidi" w:cstheme="majorBidi"/>
          <w:sz w:val="20"/>
          <w:szCs w:val="20"/>
        </w:rPr>
        <w:t>, the</w:t>
      </w:r>
      <w:r w:rsidR="00C91B5D">
        <w:rPr>
          <w:rFonts w:asciiTheme="majorBidi" w:hAnsiTheme="majorBidi" w:cstheme="majorBidi"/>
          <w:sz w:val="20"/>
          <w:szCs w:val="20"/>
        </w:rPr>
        <w:t xml:space="preserve"> ITU procurement department could also take the training to lead by example.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F81442" w:rsidRPr="003A5AE2" w:rsidTr="002D366C">
        <w:trPr>
          <w:trHeight w:val="540"/>
        </w:trPr>
        <w:tc>
          <w:tcPr>
            <w:tcW w:w="8647" w:type="dxa"/>
            <w:shd w:val="clear" w:color="auto" w:fill="5B9BD5" w:themeFill="accent1"/>
          </w:tcPr>
          <w:p w:rsidR="00F81442" w:rsidRPr="003A5AE2" w:rsidRDefault="00F81442" w:rsidP="00BD5ECC">
            <w:pPr>
              <w:spacing w:before="120" w:after="120"/>
              <w:rPr>
                <w:rFonts w:asciiTheme="majorBidi" w:hAnsiTheme="majorBidi" w:cstheme="majorBidi"/>
                <w:b/>
                <w:bCs/>
                <w:sz w:val="20"/>
                <w:szCs w:val="20"/>
                <w:shd w:val="pct15" w:color="auto" w:fill="FFFFFF"/>
              </w:rPr>
            </w:pPr>
            <w:r w:rsidRPr="003A5AE2">
              <w:rPr>
                <w:rFonts w:asciiTheme="majorBidi" w:hAnsiTheme="majorBidi" w:cstheme="majorBidi"/>
                <w:b/>
                <w:bCs/>
                <w:sz w:val="20"/>
                <w:szCs w:val="20"/>
              </w:rPr>
              <w:t>Recommendation</w:t>
            </w:r>
            <w:r w:rsidR="0042437D" w:rsidRPr="003A5AE2">
              <w:rPr>
                <w:rFonts w:asciiTheme="majorBidi" w:hAnsiTheme="majorBidi" w:cstheme="majorBidi"/>
                <w:b/>
                <w:bCs/>
                <w:sz w:val="20"/>
                <w:szCs w:val="20"/>
              </w:rPr>
              <w:t xml:space="preserve"> 1</w:t>
            </w:r>
            <w:r w:rsidRPr="003A5AE2">
              <w:rPr>
                <w:rFonts w:asciiTheme="majorBidi" w:hAnsiTheme="majorBidi" w:cstheme="majorBidi"/>
                <w:b/>
                <w:bCs/>
                <w:sz w:val="20"/>
                <w:szCs w:val="20"/>
              </w:rPr>
              <w:t xml:space="preserve">. </w:t>
            </w:r>
            <w:r w:rsidRPr="002D366C">
              <w:rPr>
                <w:rFonts w:asciiTheme="majorBidi" w:hAnsiTheme="majorBidi" w:cstheme="majorBidi"/>
                <w:sz w:val="20"/>
                <w:szCs w:val="20"/>
              </w:rPr>
              <w:t xml:space="preserve">We </w:t>
            </w:r>
            <w:proofErr w:type="gramStart"/>
            <w:r w:rsidRPr="002D366C">
              <w:rPr>
                <w:rFonts w:asciiTheme="majorBidi" w:hAnsiTheme="majorBidi" w:cstheme="majorBidi"/>
                <w:sz w:val="20"/>
                <w:szCs w:val="20"/>
              </w:rPr>
              <w:t>should  probably</w:t>
            </w:r>
            <w:proofErr w:type="gramEnd"/>
            <w:r w:rsidRPr="002D366C">
              <w:rPr>
                <w:rFonts w:asciiTheme="majorBidi" w:hAnsiTheme="majorBidi" w:cstheme="majorBidi"/>
                <w:sz w:val="20"/>
                <w:szCs w:val="20"/>
              </w:rPr>
              <w:t xml:space="preserve"> encourage our own procurement department to follow the training, so they can purchase accessible equipment.</w:t>
            </w:r>
          </w:p>
        </w:tc>
      </w:tr>
    </w:tbl>
    <w:p w:rsidR="00150FF3" w:rsidRPr="00A006FF" w:rsidRDefault="00D13E25" w:rsidP="00B65647">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A006FF">
        <w:rPr>
          <w:rFonts w:asciiTheme="majorBidi" w:hAnsiTheme="majorBidi" w:cstheme="majorBidi"/>
          <w:i/>
          <w:iCs/>
          <w:sz w:val="20"/>
          <w:szCs w:val="20"/>
        </w:rPr>
        <w:t xml:space="preserve">Continuing advocacy work. </w:t>
      </w:r>
      <w:r w:rsidR="00150FF3" w:rsidRPr="00A006FF">
        <w:rPr>
          <w:rFonts w:asciiTheme="majorBidi" w:hAnsiTheme="majorBidi" w:cstheme="majorBidi"/>
          <w:sz w:val="20"/>
          <w:szCs w:val="20"/>
        </w:rPr>
        <w:t>ITU</w:t>
      </w:r>
      <w:r w:rsidR="00150FF3" w:rsidRPr="00A006FF">
        <w:rPr>
          <w:rFonts w:asciiTheme="majorBidi" w:hAnsiTheme="majorBidi" w:cstheme="majorBidi"/>
          <w:i/>
          <w:iCs/>
          <w:sz w:val="20"/>
          <w:szCs w:val="20"/>
        </w:rPr>
        <w:t xml:space="preserve"> </w:t>
      </w:r>
      <w:r w:rsidR="00150FF3" w:rsidRPr="00A006FF">
        <w:rPr>
          <w:rFonts w:asciiTheme="majorBidi" w:hAnsiTheme="majorBidi" w:cstheme="majorBidi"/>
          <w:sz w:val="20"/>
          <w:szCs w:val="20"/>
        </w:rPr>
        <w:t xml:space="preserve">is conducting several activities on ICT accessibility at the regional level (e.g. capacity building in Arab countries, Americas, etc.). However, there </w:t>
      </w:r>
      <w:r w:rsidR="008D07B5" w:rsidRPr="00A006FF">
        <w:rPr>
          <w:rFonts w:asciiTheme="majorBidi" w:hAnsiTheme="majorBidi" w:cstheme="majorBidi"/>
          <w:sz w:val="20"/>
          <w:szCs w:val="20"/>
        </w:rPr>
        <w:t xml:space="preserve">is </w:t>
      </w:r>
      <w:r w:rsidR="00150FF3" w:rsidRPr="00A006FF">
        <w:rPr>
          <w:rFonts w:asciiTheme="majorBidi" w:hAnsiTheme="majorBidi" w:cstheme="majorBidi"/>
          <w:sz w:val="20"/>
          <w:szCs w:val="20"/>
        </w:rPr>
        <w:t xml:space="preserve">still </w:t>
      </w:r>
      <w:r w:rsidR="008D07B5" w:rsidRPr="00A006FF">
        <w:rPr>
          <w:rFonts w:asciiTheme="majorBidi" w:hAnsiTheme="majorBidi" w:cstheme="majorBidi"/>
          <w:sz w:val="20"/>
          <w:szCs w:val="20"/>
        </w:rPr>
        <w:t xml:space="preserve">a </w:t>
      </w:r>
      <w:r w:rsidR="008E224C" w:rsidRPr="00A006FF">
        <w:rPr>
          <w:rFonts w:asciiTheme="majorBidi" w:hAnsiTheme="majorBidi" w:cstheme="majorBidi"/>
          <w:sz w:val="20"/>
          <w:szCs w:val="20"/>
        </w:rPr>
        <w:t xml:space="preserve">need to engage in further advocacy to ensure that </w:t>
      </w:r>
      <w:r w:rsidR="00150FF3" w:rsidRPr="00A006FF">
        <w:rPr>
          <w:rFonts w:asciiTheme="majorBidi" w:hAnsiTheme="majorBidi" w:cstheme="majorBidi"/>
          <w:sz w:val="20"/>
          <w:szCs w:val="20"/>
        </w:rPr>
        <w:t xml:space="preserve">ITU Members </w:t>
      </w:r>
      <w:r w:rsidR="008E224C" w:rsidRPr="00A006FF">
        <w:rPr>
          <w:rFonts w:asciiTheme="majorBidi" w:hAnsiTheme="majorBidi" w:cstheme="majorBidi"/>
          <w:sz w:val="20"/>
          <w:szCs w:val="20"/>
        </w:rPr>
        <w:t xml:space="preserve">will take this work and take action. </w:t>
      </w:r>
      <w:r w:rsidR="00150FF3" w:rsidRPr="00A006FF">
        <w:rPr>
          <w:rFonts w:asciiTheme="majorBidi" w:hAnsiTheme="majorBidi" w:cstheme="majorBidi"/>
          <w:sz w:val="20"/>
          <w:szCs w:val="20"/>
        </w:rPr>
        <w:t>An element to encourage members would be to introduce some types of competition on being the first country to implement ICT Accessibility policies, similar to the process followed for the transition to digital TV.</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150FF3" w:rsidRPr="003A5AE2" w:rsidTr="00BC3257">
        <w:trPr>
          <w:trHeight w:val="540"/>
        </w:trPr>
        <w:tc>
          <w:tcPr>
            <w:tcW w:w="8647" w:type="dxa"/>
            <w:shd w:val="clear" w:color="auto" w:fill="5B9BD5" w:themeFill="accent1"/>
          </w:tcPr>
          <w:p w:rsidR="00150FF3" w:rsidRPr="003A5AE2" w:rsidRDefault="00150FF3" w:rsidP="008A3F53">
            <w:pPr>
              <w:spacing w:before="120" w:after="120"/>
              <w:rPr>
                <w:rFonts w:asciiTheme="majorBidi" w:hAnsiTheme="majorBidi" w:cstheme="majorBidi"/>
                <w:b/>
                <w:bCs/>
                <w:sz w:val="20"/>
                <w:szCs w:val="20"/>
                <w:shd w:val="pct15" w:color="auto" w:fill="FFFFFF"/>
              </w:rPr>
            </w:pPr>
            <w:r w:rsidRPr="003A5AE2">
              <w:rPr>
                <w:rFonts w:asciiTheme="majorBidi" w:hAnsiTheme="majorBidi" w:cstheme="majorBidi"/>
                <w:b/>
                <w:bCs/>
                <w:sz w:val="20"/>
                <w:szCs w:val="20"/>
              </w:rPr>
              <w:t>Recommendation</w:t>
            </w:r>
            <w:r w:rsidR="008A3F53">
              <w:rPr>
                <w:rFonts w:asciiTheme="majorBidi" w:hAnsiTheme="majorBidi" w:cstheme="majorBidi"/>
                <w:b/>
                <w:bCs/>
                <w:sz w:val="20"/>
                <w:szCs w:val="20"/>
              </w:rPr>
              <w:t xml:space="preserve"> 2</w:t>
            </w:r>
            <w:r w:rsidRPr="003A5AE2">
              <w:rPr>
                <w:rFonts w:asciiTheme="majorBidi" w:hAnsiTheme="majorBidi" w:cstheme="majorBidi"/>
                <w:b/>
                <w:bCs/>
                <w:sz w:val="20"/>
                <w:szCs w:val="20"/>
              </w:rPr>
              <w:t xml:space="preserve">. </w:t>
            </w:r>
            <w:r w:rsidR="008A3F53">
              <w:rPr>
                <w:rFonts w:asciiTheme="majorBidi" w:hAnsiTheme="majorBidi" w:cstheme="majorBidi"/>
                <w:sz w:val="20"/>
                <w:szCs w:val="20"/>
              </w:rPr>
              <w:t>Explore possibility of introducing a competition to encourage all ITU Members to introduce ICT accessibility policies by 2020</w:t>
            </w:r>
            <w:r w:rsidRPr="002D366C">
              <w:rPr>
                <w:rFonts w:asciiTheme="majorBidi" w:hAnsiTheme="majorBidi" w:cstheme="majorBidi"/>
                <w:sz w:val="20"/>
                <w:szCs w:val="20"/>
              </w:rPr>
              <w:t>.</w:t>
            </w:r>
          </w:p>
        </w:tc>
      </w:tr>
    </w:tbl>
    <w:p w:rsidR="008E224C" w:rsidRPr="00E26379" w:rsidRDefault="008E224C" w:rsidP="0003156B">
      <w:pPr>
        <w:pStyle w:val="ListParagraph"/>
        <w:numPr>
          <w:ilvl w:val="0"/>
          <w:numId w:val="7"/>
        </w:numPr>
        <w:spacing w:before="120" w:after="120"/>
        <w:contextualSpacing w:val="0"/>
        <w:jc w:val="both"/>
        <w:rPr>
          <w:rFonts w:asciiTheme="majorBidi" w:hAnsiTheme="majorBidi" w:cstheme="majorBidi"/>
          <w:sz w:val="20"/>
          <w:szCs w:val="20"/>
        </w:rPr>
      </w:pPr>
      <w:r w:rsidRPr="00E26379">
        <w:rPr>
          <w:rFonts w:asciiTheme="majorBidi" w:hAnsiTheme="majorBidi" w:cstheme="majorBidi"/>
          <w:i/>
          <w:iCs/>
          <w:sz w:val="20"/>
          <w:szCs w:val="20"/>
        </w:rPr>
        <w:t>On the Action Plan requested by Res 175</w:t>
      </w:r>
      <w:r w:rsidR="00E26379" w:rsidRPr="00E26379">
        <w:rPr>
          <w:rFonts w:asciiTheme="majorBidi" w:hAnsiTheme="majorBidi" w:cstheme="majorBidi"/>
          <w:i/>
          <w:iCs/>
          <w:sz w:val="20"/>
          <w:szCs w:val="20"/>
        </w:rPr>
        <w:t>:</w:t>
      </w:r>
      <w:r w:rsidR="00E26379">
        <w:rPr>
          <w:rFonts w:asciiTheme="majorBidi" w:hAnsiTheme="majorBidi" w:cstheme="majorBidi"/>
          <w:sz w:val="20"/>
          <w:szCs w:val="20"/>
        </w:rPr>
        <w:t xml:space="preserve"> The main concern of ITU is how </w:t>
      </w:r>
      <w:r w:rsidRPr="00E26379">
        <w:rPr>
          <w:rFonts w:asciiTheme="majorBidi" w:hAnsiTheme="majorBidi" w:cstheme="majorBidi"/>
          <w:sz w:val="20"/>
          <w:szCs w:val="20"/>
        </w:rPr>
        <w:t>to implem</w:t>
      </w:r>
      <w:r w:rsidR="00BA79A0">
        <w:rPr>
          <w:rFonts w:asciiTheme="majorBidi" w:hAnsiTheme="majorBidi" w:cstheme="majorBidi"/>
          <w:sz w:val="20"/>
          <w:szCs w:val="20"/>
        </w:rPr>
        <w:t>ent the</w:t>
      </w:r>
      <w:r w:rsidR="001B3C28" w:rsidRPr="00E26379">
        <w:rPr>
          <w:rFonts w:asciiTheme="majorBidi" w:hAnsiTheme="majorBidi" w:cstheme="majorBidi"/>
          <w:sz w:val="20"/>
          <w:szCs w:val="20"/>
        </w:rPr>
        <w:t xml:space="preserve"> comprehensive action plan</w:t>
      </w:r>
      <w:r w:rsidR="00BA79A0">
        <w:rPr>
          <w:rFonts w:asciiTheme="majorBidi" w:hAnsiTheme="majorBidi" w:cstheme="majorBidi"/>
          <w:sz w:val="20"/>
          <w:szCs w:val="20"/>
        </w:rPr>
        <w:t xml:space="preserve"> instructed by PP14.</w:t>
      </w:r>
      <w:r w:rsidR="00E26379">
        <w:rPr>
          <w:rFonts w:asciiTheme="majorBidi" w:hAnsiTheme="majorBidi" w:cstheme="majorBidi"/>
          <w:sz w:val="20"/>
          <w:szCs w:val="20"/>
        </w:rPr>
        <w:t xml:space="preserve"> </w:t>
      </w:r>
      <w:r w:rsidR="0003156B">
        <w:rPr>
          <w:rFonts w:asciiTheme="majorBidi" w:hAnsiTheme="majorBidi" w:cstheme="majorBidi"/>
          <w:sz w:val="20"/>
          <w:szCs w:val="20"/>
        </w:rPr>
        <w:t xml:space="preserve">To move ahead, </w:t>
      </w:r>
      <w:r w:rsidR="00E26379">
        <w:rPr>
          <w:rFonts w:asciiTheme="majorBidi" w:hAnsiTheme="majorBidi" w:cstheme="majorBidi"/>
          <w:sz w:val="20"/>
          <w:szCs w:val="20"/>
        </w:rPr>
        <w:t xml:space="preserve">ITU </w:t>
      </w:r>
      <w:r w:rsidR="0003156B">
        <w:rPr>
          <w:rFonts w:asciiTheme="majorBidi" w:hAnsiTheme="majorBidi" w:cstheme="majorBidi"/>
          <w:sz w:val="20"/>
          <w:szCs w:val="20"/>
        </w:rPr>
        <w:t>benefit</w:t>
      </w:r>
      <w:r w:rsidR="00A42DBF">
        <w:rPr>
          <w:rFonts w:asciiTheme="majorBidi" w:hAnsiTheme="majorBidi" w:cstheme="majorBidi"/>
          <w:sz w:val="20"/>
          <w:szCs w:val="20"/>
        </w:rPr>
        <w:t>s</w:t>
      </w:r>
      <w:r w:rsidR="0003156B">
        <w:rPr>
          <w:rFonts w:asciiTheme="majorBidi" w:hAnsiTheme="majorBidi" w:cstheme="majorBidi"/>
          <w:sz w:val="20"/>
          <w:szCs w:val="20"/>
        </w:rPr>
        <w:t xml:space="preserve"> from existing platforms and </w:t>
      </w:r>
      <w:r w:rsidR="00E26379">
        <w:rPr>
          <w:rFonts w:asciiTheme="majorBidi" w:hAnsiTheme="majorBidi" w:cstheme="majorBidi"/>
          <w:sz w:val="20"/>
          <w:szCs w:val="20"/>
        </w:rPr>
        <w:t>opportunities</w:t>
      </w:r>
      <w:r w:rsidR="0003156B">
        <w:rPr>
          <w:rFonts w:asciiTheme="majorBidi" w:hAnsiTheme="majorBidi" w:cstheme="majorBidi"/>
          <w:sz w:val="20"/>
          <w:szCs w:val="20"/>
        </w:rPr>
        <w:t>, such as b</w:t>
      </w:r>
      <w:r w:rsidR="00E26379">
        <w:rPr>
          <w:rFonts w:asciiTheme="majorBidi" w:hAnsiTheme="majorBidi" w:cstheme="majorBidi"/>
          <w:sz w:val="20"/>
          <w:szCs w:val="20"/>
        </w:rPr>
        <w:t xml:space="preserve">eing an active partner and participant of the </w:t>
      </w:r>
      <w:r w:rsidRPr="00E26379">
        <w:rPr>
          <w:rFonts w:asciiTheme="majorBidi" w:hAnsiTheme="majorBidi" w:cstheme="majorBidi"/>
          <w:sz w:val="20"/>
          <w:szCs w:val="20"/>
        </w:rPr>
        <w:t>UN venues such as the COSP of the CPRD</w:t>
      </w:r>
      <w:r w:rsidR="0003156B">
        <w:rPr>
          <w:rFonts w:asciiTheme="majorBidi" w:hAnsiTheme="majorBidi" w:cstheme="majorBidi"/>
          <w:sz w:val="20"/>
          <w:szCs w:val="20"/>
        </w:rPr>
        <w:t xml:space="preserve">. This conference provides a good platform to hold </w:t>
      </w:r>
      <w:r w:rsidRPr="00E26379">
        <w:rPr>
          <w:rFonts w:asciiTheme="majorBidi" w:hAnsiTheme="majorBidi" w:cstheme="majorBidi"/>
          <w:sz w:val="20"/>
          <w:szCs w:val="20"/>
        </w:rPr>
        <w:t>join</w:t>
      </w:r>
      <w:r w:rsidR="00A42DBF">
        <w:rPr>
          <w:rFonts w:asciiTheme="majorBidi" w:hAnsiTheme="majorBidi" w:cstheme="majorBidi"/>
          <w:sz w:val="20"/>
          <w:szCs w:val="20"/>
        </w:rPr>
        <w:t>t</w:t>
      </w:r>
      <w:r w:rsidRPr="00E26379">
        <w:rPr>
          <w:rFonts w:asciiTheme="majorBidi" w:hAnsiTheme="majorBidi" w:cstheme="majorBidi"/>
          <w:sz w:val="20"/>
          <w:szCs w:val="20"/>
        </w:rPr>
        <w:t xml:space="preserve"> session</w:t>
      </w:r>
      <w:r w:rsidR="0003156B">
        <w:rPr>
          <w:rFonts w:asciiTheme="majorBidi" w:hAnsiTheme="majorBidi" w:cstheme="majorBidi"/>
          <w:sz w:val="20"/>
          <w:szCs w:val="20"/>
        </w:rPr>
        <w:t>s and side events. ITU has done this in the past, and can continue doing it in the future</w:t>
      </w:r>
      <w:r w:rsidRPr="00E26379">
        <w:rPr>
          <w:rFonts w:asciiTheme="majorBidi" w:hAnsiTheme="majorBidi" w:cstheme="majorBidi"/>
          <w:sz w:val="20"/>
          <w:szCs w:val="20"/>
        </w:rPr>
        <w:t xml:space="preserve">. </w:t>
      </w:r>
    </w:p>
    <w:p w:rsidR="00BD24C1" w:rsidRPr="00D510BE" w:rsidRDefault="00E26379" w:rsidP="006E7E33">
      <w:pPr>
        <w:pStyle w:val="ListParagraph"/>
        <w:numPr>
          <w:ilvl w:val="0"/>
          <w:numId w:val="7"/>
        </w:numPr>
        <w:spacing w:before="120" w:after="120"/>
        <w:jc w:val="both"/>
        <w:rPr>
          <w:rFonts w:asciiTheme="majorBidi" w:hAnsiTheme="majorBidi" w:cstheme="majorBidi"/>
          <w:sz w:val="20"/>
          <w:szCs w:val="20"/>
        </w:rPr>
      </w:pPr>
      <w:r w:rsidRPr="00DC1CF6">
        <w:rPr>
          <w:rFonts w:asciiTheme="majorBidi" w:hAnsiTheme="majorBidi" w:cstheme="majorBidi"/>
          <w:i/>
          <w:iCs/>
          <w:sz w:val="20"/>
          <w:szCs w:val="20"/>
        </w:rPr>
        <w:t>On promoting the C</w:t>
      </w:r>
      <w:r w:rsidR="008E224C" w:rsidRPr="00DC1CF6">
        <w:rPr>
          <w:rFonts w:asciiTheme="majorBidi" w:hAnsiTheme="majorBidi" w:cstheme="majorBidi"/>
          <w:i/>
          <w:iCs/>
          <w:sz w:val="20"/>
          <w:szCs w:val="20"/>
        </w:rPr>
        <w:t>onnect 2020 target</w:t>
      </w:r>
      <w:r w:rsidRPr="00DC1CF6">
        <w:rPr>
          <w:rFonts w:asciiTheme="majorBidi" w:hAnsiTheme="majorBidi" w:cstheme="majorBidi"/>
          <w:i/>
          <w:iCs/>
          <w:sz w:val="20"/>
          <w:szCs w:val="20"/>
        </w:rPr>
        <w:t>:</w:t>
      </w:r>
      <w:r w:rsidRPr="00DC1CF6">
        <w:rPr>
          <w:rFonts w:asciiTheme="majorBidi" w:hAnsiTheme="majorBidi" w:cstheme="majorBidi"/>
          <w:sz w:val="20"/>
          <w:szCs w:val="20"/>
        </w:rPr>
        <w:t xml:space="preserve"> </w:t>
      </w:r>
      <w:r w:rsidR="0003156B">
        <w:rPr>
          <w:rFonts w:asciiTheme="majorBidi" w:hAnsiTheme="majorBidi" w:cstheme="majorBidi"/>
          <w:sz w:val="20"/>
          <w:szCs w:val="20"/>
        </w:rPr>
        <w:t xml:space="preserve">In line with the previous, ITU could reach out to </w:t>
      </w:r>
      <w:r w:rsidRPr="00DC1CF6">
        <w:rPr>
          <w:rFonts w:asciiTheme="majorBidi" w:hAnsiTheme="majorBidi" w:cstheme="majorBidi"/>
          <w:sz w:val="20"/>
          <w:szCs w:val="20"/>
        </w:rPr>
        <w:t>UNDESA secretariat to have</w:t>
      </w:r>
      <w:r w:rsidR="008E224C" w:rsidRPr="00DC1CF6">
        <w:rPr>
          <w:rFonts w:asciiTheme="majorBidi" w:hAnsiTheme="majorBidi" w:cstheme="majorBidi"/>
          <w:sz w:val="20"/>
          <w:szCs w:val="20"/>
        </w:rPr>
        <w:t xml:space="preserve"> a space in COSP to promote </w:t>
      </w:r>
      <w:r w:rsidR="006E7E33">
        <w:rPr>
          <w:rFonts w:asciiTheme="majorBidi" w:hAnsiTheme="majorBidi" w:cstheme="majorBidi"/>
          <w:sz w:val="20"/>
          <w:szCs w:val="20"/>
        </w:rPr>
        <w:t>the Connect 2020 agenda, the new model ICT accessibility policy and to mobilize country support.</w:t>
      </w:r>
      <w:r w:rsidR="00D510BE">
        <w:rPr>
          <w:rFonts w:asciiTheme="majorBidi" w:hAnsiTheme="majorBidi" w:cstheme="majorBidi"/>
          <w:sz w:val="20"/>
          <w:szCs w:val="20"/>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42437D" w:rsidRPr="003A5AE2" w:rsidTr="0003156B">
        <w:trPr>
          <w:trHeight w:val="707"/>
        </w:trPr>
        <w:tc>
          <w:tcPr>
            <w:tcW w:w="8647" w:type="dxa"/>
            <w:shd w:val="clear" w:color="auto" w:fill="5B9BD5" w:themeFill="accent1"/>
          </w:tcPr>
          <w:p w:rsidR="0042437D" w:rsidRPr="00D510BE" w:rsidRDefault="00E26379" w:rsidP="006E7E33">
            <w:pPr>
              <w:spacing w:before="120" w:after="120"/>
              <w:jc w:val="both"/>
              <w:rPr>
                <w:rFonts w:asciiTheme="majorBidi" w:hAnsiTheme="majorBidi" w:cstheme="majorBidi"/>
                <w:sz w:val="20"/>
                <w:szCs w:val="20"/>
              </w:rPr>
            </w:pPr>
            <w:r>
              <w:rPr>
                <w:rFonts w:asciiTheme="majorBidi" w:hAnsiTheme="majorBidi" w:cstheme="majorBidi"/>
                <w:b/>
                <w:bCs/>
                <w:sz w:val="20"/>
                <w:szCs w:val="20"/>
              </w:rPr>
              <w:t>Recommendation 3</w:t>
            </w:r>
            <w:r w:rsidR="0042437D" w:rsidRPr="003A5AE2">
              <w:rPr>
                <w:rFonts w:asciiTheme="majorBidi" w:hAnsiTheme="majorBidi" w:cstheme="majorBidi"/>
                <w:b/>
                <w:bCs/>
                <w:sz w:val="20"/>
                <w:szCs w:val="20"/>
              </w:rPr>
              <w:t xml:space="preserve">. </w:t>
            </w:r>
            <w:r w:rsidR="006E7E33" w:rsidRPr="006E7E33">
              <w:rPr>
                <w:rFonts w:asciiTheme="majorBidi" w:hAnsiTheme="majorBidi" w:cstheme="majorBidi"/>
                <w:sz w:val="20"/>
                <w:szCs w:val="20"/>
              </w:rPr>
              <w:t>ITU accessibility focal points to produce first draft of the action plan mandated by Res 175. ITU to explore involvement of other organizations.</w:t>
            </w:r>
          </w:p>
        </w:tc>
      </w:tr>
    </w:tbl>
    <w:p w:rsidR="001A359B" w:rsidRPr="001A359B" w:rsidRDefault="001A359B" w:rsidP="001A359B">
      <w:pPr>
        <w:pStyle w:val="Heading1"/>
        <w:numPr>
          <w:ilvl w:val="0"/>
          <w:numId w:val="1"/>
        </w:numPr>
        <w:shd w:val="clear" w:color="auto" w:fill="DEEAF6" w:themeFill="accent1" w:themeFillTint="33"/>
        <w:spacing w:before="360" w:after="120"/>
        <w:ind w:left="357" w:hanging="357"/>
        <w:rPr>
          <w:rFonts w:asciiTheme="majorBidi" w:hAnsiTheme="majorBidi"/>
          <w:color w:val="auto"/>
          <w:sz w:val="20"/>
          <w:szCs w:val="20"/>
        </w:rPr>
      </w:pPr>
      <w:r w:rsidRPr="001A359B">
        <w:rPr>
          <w:rFonts w:asciiTheme="majorBidi" w:hAnsiTheme="majorBidi"/>
          <w:color w:val="auto"/>
          <w:sz w:val="20"/>
          <w:szCs w:val="20"/>
        </w:rPr>
        <w:lastRenderedPageBreak/>
        <w:t>Making ITU a fully accessible organization: lessons learned and recommendations for the future</w:t>
      </w:r>
    </w:p>
    <w:p w:rsidR="0093199F" w:rsidRPr="00593C3D" w:rsidRDefault="0093199F" w:rsidP="0093199F">
      <w:pPr>
        <w:spacing w:before="240" w:after="120"/>
        <w:jc w:val="both"/>
        <w:rPr>
          <w:rFonts w:asciiTheme="majorBidi" w:hAnsiTheme="majorBidi" w:cstheme="majorBidi"/>
          <w:sz w:val="20"/>
          <w:szCs w:val="20"/>
          <w:u w:val="single"/>
        </w:rPr>
      </w:pPr>
      <w:r w:rsidRPr="00593C3D">
        <w:rPr>
          <w:rFonts w:asciiTheme="majorBidi" w:hAnsiTheme="majorBidi" w:cstheme="majorBidi"/>
          <w:sz w:val="20"/>
          <w:szCs w:val="20"/>
          <w:u w:val="single"/>
        </w:rPr>
        <w:t>Experts view</w:t>
      </w:r>
    </w:p>
    <w:p w:rsidR="0093199F" w:rsidRDefault="0093199F" w:rsidP="0093199F">
      <w:pPr>
        <w:spacing w:before="120" w:after="120"/>
        <w:jc w:val="both"/>
        <w:rPr>
          <w:rFonts w:asciiTheme="majorBidi" w:hAnsiTheme="majorBidi" w:cstheme="majorBidi"/>
          <w:sz w:val="20"/>
          <w:szCs w:val="20"/>
        </w:rPr>
      </w:pPr>
      <w:r>
        <w:rPr>
          <w:rFonts w:asciiTheme="majorBidi" w:hAnsiTheme="majorBidi" w:cstheme="majorBidi"/>
          <w:sz w:val="20"/>
          <w:szCs w:val="20"/>
        </w:rPr>
        <w:t xml:space="preserve">Andrea Saks, speaking as </w:t>
      </w:r>
      <w:r w:rsidRPr="0093199F">
        <w:rPr>
          <w:rFonts w:asciiTheme="majorBidi" w:hAnsiTheme="majorBidi" w:cstheme="majorBidi"/>
          <w:sz w:val="20"/>
          <w:szCs w:val="20"/>
        </w:rPr>
        <w:t>Chair, ITU-T Joint Coordination Activity on Accessibility and Human Factors (JCA-AHF)</w:t>
      </w:r>
      <w:r>
        <w:rPr>
          <w:rFonts w:asciiTheme="majorBidi" w:hAnsiTheme="majorBidi" w:cstheme="majorBidi"/>
          <w:sz w:val="20"/>
          <w:szCs w:val="20"/>
        </w:rPr>
        <w:t>, opened up the debate on the progress achieved in making ITU a fully accessible organization, highlighting the following elements for the consideration of all participants:</w:t>
      </w:r>
    </w:p>
    <w:p w:rsidR="008E224C" w:rsidRPr="0093199F" w:rsidRDefault="00DC1CF6" w:rsidP="0093199F">
      <w:pPr>
        <w:pStyle w:val="ListParagraph"/>
        <w:numPr>
          <w:ilvl w:val="0"/>
          <w:numId w:val="7"/>
        </w:numPr>
        <w:spacing w:before="120" w:after="120"/>
        <w:ind w:left="714" w:hanging="357"/>
        <w:contextualSpacing w:val="0"/>
        <w:jc w:val="both"/>
        <w:rPr>
          <w:rFonts w:asciiTheme="majorBidi" w:hAnsiTheme="majorBidi" w:cstheme="majorBidi"/>
          <w:sz w:val="20"/>
          <w:szCs w:val="20"/>
        </w:rPr>
      </w:pPr>
      <w:r w:rsidRPr="0093199F">
        <w:rPr>
          <w:rFonts w:asciiTheme="majorBidi" w:hAnsiTheme="majorBidi" w:cstheme="majorBidi"/>
          <w:sz w:val="20"/>
          <w:szCs w:val="20"/>
        </w:rPr>
        <w:t xml:space="preserve">ITU had </w:t>
      </w:r>
      <w:r w:rsidR="0093199F">
        <w:rPr>
          <w:rFonts w:asciiTheme="majorBidi" w:hAnsiTheme="majorBidi" w:cstheme="majorBidi"/>
          <w:sz w:val="20"/>
          <w:szCs w:val="20"/>
        </w:rPr>
        <w:t xml:space="preserve">made great progress in the last </w:t>
      </w:r>
      <w:r w:rsidRPr="0093199F">
        <w:rPr>
          <w:rFonts w:asciiTheme="majorBidi" w:hAnsiTheme="majorBidi" w:cstheme="majorBidi"/>
          <w:sz w:val="20"/>
          <w:szCs w:val="20"/>
        </w:rPr>
        <w:t xml:space="preserve">25 years working on accessibility, in particular with </w:t>
      </w:r>
      <w:r w:rsidR="0093199F">
        <w:rPr>
          <w:rFonts w:asciiTheme="majorBidi" w:hAnsiTheme="majorBidi" w:cstheme="majorBidi"/>
          <w:sz w:val="20"/>
          <w:szCs w:val="20"/>
        </w:rPr>
        <w:t xml:space="preserve">regards to the use of </w:t>
      </w:r>
      <w:r w:rsidRPr="0093199F">
        <w:rPr>
          <w:rFonts w:asciiTheme="majorBidi" w:hAnsiTheme="majorBidi" w:cstheme="majorBidi"/>
          <w:sz w:val="20"/>
          <w:szCs w:val="20"/>
        </w:rPr>
        <w:t>captioning</w:t>
      </w:r>
      <w:r w:rsidR="0093199F">
        <w:rPr>
          <w:rFonts w:asciiTheme="majorBidi" w:hAnsiTheme="majorBidi" w:cstheme="majorBidi"/>
          <w:sz w:val="20"/>
          <w:szCs w:val="20"/>
        </w:rPr>
        <w:t xml:space="preserve"> in meetings, producing accessible documents and making ITU </w:t>
      </w:r>
      <w:r w:rsidRPr="0093199F">
        <w:rPr>
          <w:rFonts w:asciiTheme="majorBidi" w:hAnsiTheme="majorBidi" w:cstheme="majorBidi"/>
          <w:sz w:val="20"/>
          <w:szCs w:val="20"/>
        </w:rPr>
        <w:t>facilities</w:t>
      </w:r>
      <w:r w:rsidR="0093199F">
        <w:rPr>
          <w:rFonts w:asciiTheme="majorBidi" w:hAnsiTheme="majorBidi" w:cstheme="majorBidi"/>
          <w:sz w:val="20"/>
          <w:szCs w:val="20"/>
        </w:rPr>
        <w:t xml:space="preserve"> more accessible</w:t>
      </w:r>
      <w:r w:rsidRPr="0093199F">
        <w:rPr>
          <w:rFonts w:asciiTheme="majorBidi" w:hAnsiTheme="majorBidi" w:cstheme="majorBidi"/>
          <w:sz w:val="20"/>
          <w:szCs w:val="20"/>
        </w:rPr>
        <w:t xml:space="preserve">. </w:t>
      </w:r>
      <w:r w:rsidR="0093199F">
        <w:rPr>
          <w:rFonts w:asciiTheme="majorBidi" w:hAnsiTheme="majorBidi" w:cstheme="majorBidi"/>
          <w:sz w:val="20"/>
          <w:szCs w:val="20"/>
        </w:rPr>
        <w:t xml:space="preserve">However, </w:t>
      </w:r>
      <w:r w:rsidR="002F3F13" w:rsidRPr="0093199F">
        <w:rPr>
          <w:rFonts w:asciiTheme="majorBidi" w:hAnsiTheme="majorBidi" w:cstheme="majorBidi"/>
          <w:sz w:val="20"/>
          <w:szCs w:val="20"/>
        </w:rPr>
        <w:t xml:space="preserve">ITU </w:t>
      </w:r>
      <w:r w:rsidR="0093199F">
        <w:rPr>
          <w:rFonts w:asciiTheme="majorBidi" w:hAnsiTheme="majorBidi" w:cstheme="majorBidi"/>
          <w:sz w:val="20"/>
          <w:szCs w:val="20"/>
        </w:rPr>
        <w:t xml:space="preserve">still has </w:t>
      </w:r>
      <w:r w:rsidR="002F3F13" w:rsidRPr="0093199F">
        <w:rPr>
          <w:rFonts w:asciiTheme="majorBidi" w:hAnsiTheme="majorBidi" w:cstheme="majorBidi"/>
          <w:sz w:val="20"/>
          <w:szCs w:val="20"/>
        </w:rPr>
        <w:t xml:space="preserve">ongoing </w:t>
      </w:r>
      <w:r w:rsidR="0093199F">
        <w:rPr>
          <w:rFonts w:asciiTheme="majorBidi" w:hAnsiTheme="majorBidi" w:cstheme="majorBidi"/>
          <w:sz w:val="20"/>
          <w:szCs w:val="20"/>
        </w:rPr>
        <w:t xml:space="preserve">challenges and </w:t>
      </w:r>
      <w:r w:rsidR="002F3F13" w:rsidRPr="0093199F">
        <w:rPr>
          <w:rFonts w:asciiTheme="majorBidi" w:hAnsiTheme="majorBidi" w:cstheme="majorBidi"/>
          <w:sz w:val="20"/>
          <w:szCs w:val="20"/>
        </w:rPr>
        <w:t xml:space="preserve">processes </w:t>
      </w:r>
      <w:r w:rsidR="0093199F">
        <w:rPr>
          <w:rFonts w:asciiTheme="majorBidi" w:hAnsiTheme="majorBidi" w:cstheme="majorBidi"/>
          <w:sz w:val="20"/>
          <w:szCs w:val="20"/>
        </w:rPr>
        <w:t xml:space="preserve">that require further improvements. Examples of this are mobilizing additional staff and </w:t>
      </w:r>
      <w:r w:rsidR="002F3F13" w:rsidRPr="0093199F">
        <w:rPr>
          <w:rFonts w:asciiTheme="majorBidi" w:hAnsiTheme="majorBidi" w:cstheme="majorBidi"/>
          <w:sz w:val="20"/>
          <w:szCs w:val="20"/>
        </w:rPr>
        <w:t>resources</w:t>
      </w:r>
      <w:r w:rsidR="0093199F">
        <w:rPr>
          <w:rFonts w:asciiTheme="majorBidi" w:hAnsiTheme="majorBidi" w:cstheme="majorBidi"/>
          <w:sz w:val="20"/>
          <w:szCs w:val="20"/>
        </w:rPr>
        <w:t xml:space="preserve"> to be dedicated to the issue of accessibility</w:t>
      </w:r>
      <w:r w:rsidR="002F3F13" w:rsidRPr="0093199F">
        <w:rPr>
          <w:rFonts w:asciiTheme="majorBidi" w:hAnsiTheme="majorBidi" w:cstheme="majorBidi"/>
          <w:sz w:val="20"/>
          <w:szCs w:val="20"/>
        </w:rPr>
        <w:t>,</w:t>
      </w:r>
      <w:r w:rsidR="0093199F">
        <w:rPr>
          <w:rFonts w:asciiTheme="majorBidi" w:hAnsiTheme="majorBidi" w:cstheme="majorBidi"/>
          <w:sz w:val="20"/>
          <w:szCs w:val="20"/>
        </w:rPr>
        <w:t xml:space="preserve"> continuing </w:t>
      </w:r>
      <w:r w:rsidR="00A42DBF">
        <w:rPr>
          <w:rFonts w:asciiTheme="majorBidi" w:hAnsiTheme="majorBidi" w:cstheme="majorBidi"/>
          <w:sz w:val="20"/>
          <w:szCs w:val="20"/>
        </w:rPr>
        <w:t xml:space="preserve">to </w:t>
      </w:r>
      <w:r w:rsidR="0093199F">
        <w:rPr>
          <w:rFonts w:asciiTheme="majorBidi" w:hAnsiTheme="majorBidi" w:cstheme="majorBidi"/>
          <w:sz w:val="20"/>
          <w:szCs w:val="20"/>
        </w:rPr>
        <w:t>rais</w:t>
      </w:r>
      <w:r w:rsidR="00A42DBF">
        <w:rPr>
          <w:rFonts w:asciiTheme="majorBidi" w:hAnsiTheme="majorBidi" w:cstheme="majorBidi"/>
          <w:sz w:val="20"/>
          <w:szCs w:val="20"/>
        </w:rPr>
        <w:t>e</w:t>
      </w:r>
      <w:r w:rsidR="0093199F">
        <w:rPr>
          <w:rFonts w:asciiTheme="majorBidi" w:hAnsiTheme="majorBidi" w:cstheme="majorBidi"/>
          <w:sz w:val="20"/>
          <w:szCs w:val="20"/>
        </w:rPr>
        <w:t xml:space="preserve"> </w:t>
      </w:r>
      <w:r w:rsidR="002F3F13" w:rsidRPr="0093199F">
        <w:rPr>
          <w:rFonts w:asciiTheme="majorBidi" w:hAnsiTheme="majorBidi" w:cstheme="majorBidi"/>
          <w:sz w:val="20"/>
          <w:szCs w:val="20"/>
        </w:rPr>
        <w:t>awareness of staff and delegates</w:t>
      </w:r>
      <w:r w:rsidR="0093199F">
        <w:rPr>
          <w:rFonts w:asciiTheme="majorBidi" w:hAnsiTheme="majorBidi" w:cstheme="majorBidi"/>
          <w:sz w:val="20"/>
          <w:szCs w:val="20"/>
        </w:rPr>
        <w:t xml:space="preserve">, as well as improving </w:t>
      </w:r>
      <w:r w:rsidR="008E224C" w:rsidRPr="002F3F13">
        <w:rPr>
          <w:rFonts w:asciiTheme="majorBidi" w:hAnsiTheme="majorBidi" w:cstheme="majorBidi"/>
          <w:sz w:val="20"/>
          <w:szCs w:val="20"/>
        </w:rPr>
        <w:t>coordination mechanisms to ensure accessibility throughout ITU, in particular considering the amount of the work of ITU.</w:t>
      </w:r>
    </w:p>
    <w:p w:rsidR="0093199F" w:rsidRDefault="00E3031A" w:rsidP="0093199F">
      <w:pPr>
        <w:pStyle w:val="ListParagraph"/>
        <w:numPr>
          <w:ilvl w:val="0"/>
          <w:numId w:val="10"/>
        </w:numPr>
        <w:spacing w:before="120" w:after="120"/>
        <w:jc w:val="both"/>
        <w:rPr>
          <w:rFonts w:asciiTheme="majorBidi" w:hAnsiTheme="majorBidi" w:cstheme="majorBidi"/>
          <w:sz w:val="20"/>
          <w:szCs w:val="20"/>
        </w:rPr>
      </w:pPr>
      <w:r>
        <w:rPr>
          <w:rFonts w:asciiTheme="majorBidi" w:hAnsiTheme="majorBidi" w:cstheme="majorBidi"/>
          <w:sz w:val="20"/>
          <w:szCs w:val="20"/>
        </w:rPr>
        <w:t xml:space="preserve">ITU should </w:t>
      </w:r>
      <w:r w:rsidR="0093199F">
        <w:rPr>
          <w:rFonts w:asciiTheme="majorBidi" w:hAnsiTheme="majorBidi" w:cstheme="majorBidi"/>
          <w:sz w:val="20"/>
          <w:szCs w:val="20"/>
        </w:rPr>
        <w:t xml:space="preserve">introduce a new </w:t>
      </w:r>
      <w:r>
        <w:rPr>
          <w:rFonts w:asciiTheme="majorBidi" w:hAnsiTheme="majorBidi" w:cstheme="majorBidi"/>
          <w:sz w:val="20"/>
          <w:szCs w:val="20"/>
        </w:rPr>
        <w:t xml:space="preserve">coordinating body on </w:t>
      </w:r>
      <w:r w:rsidR="008E224C" w:rsidRPr="00E3031A">
        <w:rPr>
          <w:rFonts w:asciiTheme="majorBidi" w:hAnsiTheme="majorBidi" w:cstheme="majorBidi"/>
          <w:sz w:val="20"/>
          <w:szCs w:val="20"/>
        </w:rPr>
        <w:t>accessibility</w:t>
      </w:r>
      <w:r w:rsidR="0093199F">
        <w:rPr>
          <w:rFonts w:asciiTheme="majorBidi" w:hAnsiTheme="majorBidi" w:cstheme="majorBidi"/>
          <w:sz w:val="20"/>
          <w:szCs w:val="20"/>
        </w:rPr>
        <w:t xml:space="preserve">, and allocate to this body </w:t>
      </w:r>
      <w:r w:rsidR="008E224C" w:rsidRPr="00E3031A">
        <w:rPr>
          <w:rFonts w:asciiTheme="majorBidi" w:hAnsiTheme="majorBidi" w:cstheme="majorBidi"/>
          <w:sz w:val="20"/>
          <w:szCs w:val="20"/>
        </w:rPr>
        <w:t xml:space="preserve">enough resources to cover </w:t>
      </w:r>
      <w:r w:rsidR="0093199F">
        <w:rPr>
          <w:rFonts w:asciiTheme="majorBidi" w:hAnsiTheme="majorBidi" w:cstheme="majorBidi"/>
          <w:sz w:val="20"/>
          <w:szCs w:val="20"/>
        </w:rPr>
        <w:t xml:space="preserve">the </w:t>
      </w:r>
      <w:r w:rsidR="008E224C" w:rsidRPr="00E3031A">
        <w:rPr>
          <w:rFonts w:asciiTheme="majorBidi" w:hAnsiTheme="majorBidi" w:cstheme="majorBidi"/>
          <w:sz w:val="20"/>
          <w:szCs w:val="20"/>
        </w:rPr>
        <w:t>increasing needs of accessibility</w:t>
      </w:r>
      <w:r w:rsidR="0093199F">
        <w:rPr>
          <w:rFonts w:asciiTheme="majorBidi" w:hAnsiTheme="majorBidi" w:cstheme="majorBidi"/>
          <w:sz w:val="20"/>
          <w:szCs w:val="20"/>
        </w:rPr>
        <w:t xml:space="preserve">. Such resources could be dedicated to mobilizing </w:t>
      </w:r>
      <w:r w:rsidR="008E224C" w:rsidRPr="00E3031A">
        <w:rPr>
          <w:rFonts w:asciiTheme="majorBidi" w:hAnsiTheme="majorBidi" w:cstheme="majorBidi"/>
          <w:sz w:val="20"/>
          <w:szCs w:val="20"/>
        </w:rPr>
        <w:t xml:space="preserve">experts </w:t>
      </w:r>
      <w:r w:rsidR="0093199F">
        <w:rPr>
          <w:rFonts w:asciiTheme="majorBidi" w:hAnsiTheme="majorBidi" w:cstheme="majorBidi"/>
          <w:sz w:val="20"/>
          <w:szCs w:val="20"/>
        </w:rPr>
        <w:t xml:space="preserve">to join ITU meetings, introduce new </w:t>
      </w:r>
      <w:proofErr w:type="spellStart"/>
      <w:r w:rsidR="008E224C" w:rsidRPr="00E3031A">
        <w:rPr>
          <w:rFonts w:asciiTheme="majorBidi" w:hAnsiTheme="majorBidi" w:cstheme="majorBidi"/>
          <w:sz w:val="20"/>
          <w:szCs w:val="20"/>
        </w:rPr>
        <w:t>programmes</w:t>
      </w:r>
      <w:proofErr w:type="spellEnd"/>
      <w:r w:rsidR="008E224C" w:rsidRPr="00E3031A">
        <w:rPr>
          <w:rFonts w:asciiTheme="majorBidi" w:hAnsiTheme="majorBidi" w:cstheme="majorBidi"/>
          <w:sz w:val="20"/>
          <w:szCs w:val="20"/>
        </w:rPr>
        <w:t xml:space="preserve"> </w:t>
      </w:r>
      <w:r w:rsidR="0093199F">
        <w:rPr>
          <w:rFonts w:asciiTheme="majorBidi" w:hAnsiTheme="majorBidi" w:cstheme="majorBidi"/>
          <w:sz w:val="20"/>
          <w:szCs w:val="20"/>
        </w:rPr>
        <w:t xml:space="preserve">to </w:t>
      </w:r>
      <w:r w:rsidR="008E224C" w:rsidRPr="00E3031A">
        <w:rPr>
          <w:rFonts w:asciiTheme="majorBidi" w:hAnsiTheme="majorBidi" w:cstheme="majorBidi"/>
          <w:sz w:val="20"/>
          <w:szCs w:val="20"/>
        </w:rPr>
        <w:t xml:space="preserve">help </w:t>
      </w:r>
      <w:r w:rsidR="0093199F">
        <w:rPr>
          <w:rFonts w:asciiTheme="majorBidi" w:hAnsiTheme="majorBidi" w:cstheme="majorBidi"/>
          <w:sz w:val="20"/>
          <w:szCs w:val="20"/>
        </w:rPr>
        <w:t xml:space="preserve">persons with disabilities </w:t>
      </w:r>
      <w:r w:rsidR="008E224C" w:rsidRPr="00E3031A">
        <w:rPr>
          <w:rFonts w:asciiTheme="majorBidi" w:hAnsiTheme="majorBidi" w:cstheme="majorBidi"/>
          <w:sz w:val="20"/>
          <w:szCs w:val="20"/>
        </w:rPr>
        <w:t xml:space="preserve">attend ITU, </w:t>
      </w:r>
      <w:r w:rsidR="0093199F">
        <w:rPr>
          <w:rFonts w:asciiTheme="majorBidi" w:hAnsiTheme="majorBidi" w:cstheme="majorBidi"/>
          <w:sz w:val="20"/>
          <w:szCs w:val="20"/>
        </w:rPr>
        <w:t xml:space="preserve">increasing </w:t>
      </w:r>
      <w:r w:rsidR="008E224C" w:rsidRPr="00E3031A">
        <w:rPr>
          <w:rFonts w:asciiTheme="majorBidi" w:hAnsiTheme="majorBidi" w:cstheme="majorBidi"/>
          <w:sz w:val="20"/>
          <w:szCs w:val="20"/>
        </w:rPr>
        <w:t>outreach</w:t>
      </w:r>
      <w:r w:rsidR="0093199F">
        <w:rPr>
          <w:rFonts w:asciiTheme="majorBidi" w:hAnsiTheme="majorBidi" w:cstheme="majorBidi"/>
          <w:sz w:val="20"/>
          <w:szCs w:val="20"/>
        </w:rPr>
        <w:t xml:space="preserve">, developing additional </w:t>
      </w:r>
      <w:r>
        <w:rPr>
          <w:rFonts w:asciiTheme="majorBidi" w:hAnsiTheme="majorBidi" w:cstheme="majorBidi"/>
          <w:sz w:val="20"/>
          <w:szCs w:val="20"/>
        </w:rPr>
        <w:t>accessibility training</w:t>
      </w:r>
      <w:r w:rsidR="0093199F">
        <w:rPr>
          <w:rFonts w:asciiTheme="majorBidi" w:hAnsiTheme="majorBidi" w:cstheme="majorBidi"/>
          <w:sz w:val="20"/>
          <w:szCs w:val="20"/>
        </w:rPr>
        <w:t xml:space="preserve">s, etc. </w:t>
      </w:r>
    </w:p>
    <w:p w:rsidR="0093199F" w:rsidRPr="00593C3D" w:rsidRDefault="0093199F" w:rsidP="0093199F">
      <w:pPr>
        <w:spacing w:before="240" w:after="120"/>
        <w:jc w:val="both"/>
        <w:rPr>
          <w:rFonts w:asciiTheme="majorBidi" w:hAnsiTheme="majorBidi" w:cstheme="majorBidi"/>
          <w:sz w:val="20"/>
          <w:szCs w:val="20"/>
          <w:u w:val="single"/>
        </w:rPr>
      </w:pPr>
      <w:r w:rsidRPr="00593C3D">
        <w:rPr>
          <w:rFonts w:asciiTheme="majorBidi" w:hAnsiTheme="majorBidi" w:cstheme="majorBidi"/>
          <w:sz w:val="20"/>
          <w:szCs w:val="20"/>
          <w:u w:val="single"/>
        </w:rPr>
        <w:t>Open discussion</w:t>
      </w:r>
    </w:p>
    <w:p w:rsidR="003B6A9E" w:rsidRDefault="0093199F" w:rsidP="003B6A9E">
      <w:pPr>
        <w:spacing w:before="120" w:after="120"/>
        <w:jc w:val="both"/>
        <w:rPr>
          <w:rFonts w:asciiTheme="majorBidi" w:hAnsiTheme="majorBidi" w:cstheme="majorBidi"/>
          <w:sz w:val="20"/>
          <w:szCs w:val="20"/>
        </w:rPr>
      </w:pPr>
      <w:r>
        <w:rPr>
          <w:rFonts w:asciiTheme="majorBidi" w:hAnsiTheme="majorBidi" w:cstheme="majorBidi"/>
          <w:sz w:val="20"/>
          <w:szCs w:val="20"/>
        </w:rPr>
        <w:t>After the experts’ intervention, the DSG opened</w:t>
      </w:r>
      <w:r w:rsidR="00A42DBF">
        <w:rPr>
          <w:rFonts w:asciiTheme="majorBidi" w:hAnsiTheme="majorBidi" w:cstheme="majorBidi"/>
          <w:sz w:val="20"/>
          <w:szCs w:val="20"/>
        </w:rPr>
        <w:t xml:space="preserve"> the</w:t>
      </w:r>
      <w:r>
        <w:rPr>
          <w:rFonts w:asciiTheme="majorBidi" w:hAnsiTheme="majorBidi" w:cstheme="majorBidi"/>
          <w:sz w:val="20"/>
          <w:szCs w:val="20"/>
        </w:rPr>
        <w:t xml:space="preserve"> floor for the debate</w:t>
      </w:r>
      <w:r w:rsidR="003B6A9E">
        <w:rPr>
          <w:rFonts w:asciiTheme="majorBidi" w:hAnsiTheme="majorBidi" w:cstheme="majorBidi"/>
          <w:sz w:val="20"/>
          <w:szCs w:val="20"/>
        </w:rPr>
        <w:t xml:space="preserve">, which is summarized </w:t>
      </w:r>
      <w:r w:rsidR="008F4F7A">
        <w:rPr>
          <w:rFonts w:asciiTheme="majorBidi" w:hAnsiTheme="majorBidi" w:cstheme="majorBidi"/>
          <w:sz w:val="20"/>
          <w:szCs w:val="20"/>
        </w:rPr>
        <w:t>below</w:t>
      </w:r>
      <w:r w:rsidR="003B6A9E">
        <w:rPr>
          <w:rFonts w:asciiTheme="majorBidi" w:hAnsiTheme="majorBidi" w:cstheme="majorBidi"/>
          <w:sz w:val="20"/>
          <w:szCs w:val="20"/>
        </w:rPr>
        <w:t>:</w:t>
      </w:r>
    </w:p>
    <w:p w:rsidR="008F4F7A" w:rsidRDefault="008F4F7A" w:rsidP="008F4F7A">
      <w:pPr>
        <w:pStyle w:val="ListParagraph"/>
        <w:numPr>
          <w:ilvl w:val="0"/>
          <w:numId w:val="10"/>
        </w:numPr>
        <w:spacing w:before="120" w:after="120"/>
        <w:ind w:left="714" w:hanging="357"/>
        <w:contextualSpacing w:val="0"/>
        <w:jc w:val="both"/>
        <w:rPr>
          <w:rFonts w:asciiTheme="majorBidi" w:hAnsiTheme="majorBidi" w:cstheme="majorBidi"/>
          <w:sz w:val="20"/>
          <w:szCs w:val="20"/>
        </w:rPr>
      </w:pPr>
      <w:r w:rsidRPr="008F4F7A">
        <w:rPr>
          <w:rFonts w:asciiTheme="majorBidi" w:hAnsiTheme="majorBidi" w:cstheme="majorBidi"/>
          <w:i/>
          <w:iCs/>
          <w:sz w:val="20"/>
          <w:szCs w:val="20"/>
        </w:rPr>
        <w:t>Training resources and u</w:t>
      </w:r>
      <w:r w:rsidR="003B6A9E" w:rsidRPr="008F4F7A">
        <w:rPr>
          <w:rFonts w:asciiTheme="majorBidi" w:hAnsiTheme="majorBidi" w:cstheme="majorBidi"/>
          <w:i/>
          <w:iCs/>
          <w:sz w:val="20"/>
          <w:szCs w:val="20"/>
        </w:rPr>
        <w:t xml:space="preserve">sing resources from ITU Members. </w:t>
      </w:r>
      <w:r w:rsidR="003B6A9E" w:rsidRPr="008F4F7A">
        <w:rPr>
          <w:rFonts w:asciiTheme="majorBidi" w:hAnsiTheme="majorBidi" w:cstheme="majorBidi"/>
          <w:sz w:val="20"/>
          <w:szCs w:val="20"/>
        </w:rPr>
        <w:t xml:space="preserve">Several ITU members (e.g. AT&amp;T) have developed training modules on accessibility for its staff. ITU could explore with these organizations if they would be willing to donate these resources to ITU. This type of resources could be integrated with the training plan produced by HR. </w:t>
      </w:r>
      <w:r w:rsidRPr="008F4F7A">
        <w:rPr>
          <w:rFonts w:asciiTheme="majorBidi" w:hAnsiTheme="majorBidi" w:cstheme="majorBidi"/>
          <w:sz w:val="20"/>
          <w:szCs w:val="20"/>
        </w:rPr>
        <w:t xml:space="preserve">Such training </w:t>
      </w:r>
      <w:proofErr w:type="spellStart"/>
      <w:r w:rsidRPr="008F4F7A">
        <w:rPr>
          <w:rFonts w:asciiTheme="majorBidi" w:hAnsiTheme="majorBidi" w:cstheme="majorBidi"/>
          <w:sz w:val="20"/>
          <w:szCs w:val="20"/>
        </w:rPr>
        <w:t>programme</w:t>
      </w:r>
      <w:proofErr w:type="spellEnd"/>
      <w:r w:rsidRPr="008F4F7A">
        <w:rPr>
          <w:rFonts w:asciiTheme="majorBidi" w:hAnsiTheme="majorBidi" w:cstheme="majorBidi"/>
          <w:sz w:val="20"/>
          <w:szCs w:val="20"/>
        </w:rPr>
        <w:t xml:space="preserve"> should include not only ITU staff, but also consultants, contractors, rapporteurs, etc. ITU can introduce the obligation of having a certificate to perform certain tasks.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8F4F7A" w:rsidRPr="003A5AE2" w:rsidTr="00BC3257">
        <w:trPr>
          <w:trHeight w:val="707"/>
        </w:trPr>
        <w:tc>
          <w:tcPr>
            <w:tcW w:w="8647" w:type="dxa"/>
            <w:shd w:val="clear" w:color="auto" w:fill="5B9BD5" w:themeFill="accent1"/>
          </w:tcPr>
          <w:p w:rsidR="008F4F7A" w:rsidRPr="00D510BE" w:rsidRDefault="008F4F7A" w:rsidP="008F4F7A">
            <w:pPr>
              <w:spacing w:before="120" w:after="120"/>
              <w:jc w:val="both"/>
              <w:rPr>
                <w:rFonts w:asciiTheme="majorBidi" w:hAnsiTheme="majorBidi" w:cstheme="majorBidi"/>
                <w:sz w:val="20"/>
                <w:szCs w:val="20"/>
              </w:rPr>
            </w:pPr>
            <w:r>
              <w:rPr>
                <w:rFonts w:asciiTheme="majorBidi" w:hAnsiTheme="majorBidi" w:cstheme="majorBidi"/>
                <w:b/>
                <w:bCs/>
                <w:sz w:val="20"/>
                <w:szCs w:val="20"/>
              </w:rPr>
              <w:t>Recommendation 4.</w:t>
            </w:r>
            <w:r>
              <w:rPr>
                <w:rFonts w:asciiTheme="majorBidi" w:hAnsiTheme="majorBidi" w:cstheme="majorBidi"/>
                <w:sz w:val="20"/>
                <w:szCs w:val="20"/>
              </w:rPr>
              <w:t>IT</w:t>
            </w:r>
            <w:r w:rsidRPr="006E7E33">
              <w:rPr>
                <w:rFonts w:asciiTheme="majorBidi" w:hAnsiTheme="majorBidi" w:cstheme="majorBidi"/>
                <w:sz w:val="20"/>
                <w:szCs w:val="20"/>
              </w:rPr>
              <w:t xml:space="preserve">U </w:t>
            </w:r>
            <w:r>
              <w:rPr>
                <w:rFonts w:asciiTheme="majorBidi" w:hAnsiTheme="majorBidi" w:cstheme="majorBidi"/>
                <w:sz w:val="20"/>
                <w:szCs w:val="20"/>
              </w:rPr>
              <w:t>to produce a training plan on accessibility for staff, consultants, rapporteurs, etc. Plan to explore repurposing material from ITU Members. G3ICT to support in this recommendation.</w:t>
            </w:r>
          </w:p>
        </w:tc>
      </w:tr>
    </w:tbl>
    <w:p w:rsidR="008F4F7A" w:rsidRDefault="008F4F7A" w:rsidP="00A42DBF">
      <w:pPr>
        <w:pStyle w:val="ListParagraph"/>
        <w:numPr>
          <w:ilvl w:val="0"/>
          <w:numId w:val="10"/>
        </w:numPr>
        <w:spacing w:before="120" w:after="120"/>
        <w:ind w:left="714" w:hanging="357"/>
        <w:contextualSpacing w:val="0"/>
        <w:jc w:val="both"/>
        <w:rPr>
          <w:rFonts w:asciiTheme="majorBidi" w:hAnsiTheme="majorBidi" w:cstheme="majorBidi"/>
          <w:sz w:val="20"/>
          <w:szCs w:val="20"/>
        </w:rPr>
      </w:pPr>
      <w:r w:rsidRPr="008F4F7A">
        <w:rPr>
          <w:rFonts w:asciiTheme="majorBidi" w:hAnsiTheme="majorBidi" w:cstheme="majorBidi"/>
          <w:i/>
          <w:iCs/>
          <w:sz w:val="20"/>
          <w:szCs w:val="20"/>
        </w:rPr>
        <w:t xml:space="preserve">Developing a midterm road map. </w:t>
      </w:r>
      <w:r>
        <w:rPr>
          <w:rFonts w:asciiTheme="majorBidi" w:hAnsiTheme="majorBidi" w:cstheme="majorBidi"/>
          <w:sz w:val="20"/>
          <w:szCs w:val="20"/>
        </w:rPr>
        <w:t xml:space="preserve">To continue making progress in making ITU more accessible, </w:t>
      </w:r>
      <w:r w:rsidR="00106F0B">
        <w:rPr>
          <w:rFonts w:asciiTheme="majorBidi" w:hAnsiTheme="majorBidi" w:cstheme="majorBidi"/>
          <w:sz w:val="20"/>
          <w:szCs w:val="20"/>
        </w:rPr>
        <w:t>ITU</w:t>
      </w:r>
      <w:r w:rsidR="008E224C" w:rsidRPr="00106F0B">
        <w:rPr>
          <w:rFonts w:asciiTheme="majorBidi" w:hAnsiTheme="majorBidi" w:cstheme="majorBidi"/>
          <w:sz w:val="20"/>
          <w:szCs w:val="20"/>
        </w:rPr>
        <w:t xml:space="preserve"> should </w:t>
      </w:r>
      <w:r>
        <w:rPr>
          <w:rFonts w:asciiTheme="majorBidi" w:hAnsiTheme="majorBidi" w:cstheme="majorBidi"/>
          <w:sz w:val="20"/>
          <w:szCs w:val="20"/>
        </w:rPr>
        <w:t xml:space="preserve">introduce </w:t>
      </w:r>
      <w:r w:rsidR="008E224C" w:rsidRPr="00106F0B">
        <w:rPr>
          <w:rFonts w:asciiTheme="majorBidi" w:hAnsiTheme="majorBidi" w:cstheme="majorBidi"/>
          <w:sz w:val="20"/>
          <w:szCs w:val="20"/>
        </w:rPr>
        <w:t>an accessibility ro</w:t>
      </w:r>
      <w:r>
        <w:rPr>
          <w:rFonts w:asciiTheme="majorBidi" w:hAnsiTheme="majorBidi" w:cstheme="majorBidi"/>
          <w:sz w:val="20"/>
          <w:szCs w:val="20"/>
        </w:rPr>
        <w:t xml:space="preserve">admap, </w:t>
      </w:r>
      <w:r w:rsidR="00A42DBF">
        <w:rPr>
          <w:rFonts w:asciiTheme="majorBidi" w:hAnsiTheme="majorBidi" w:cstheme="majorBidi"/>
          <w:sz w:val="20"/>
          <w:szCs w:val="20"/>
        </w:rPr>
        <w:t>which should</w:t>
      </w:r>
      <w:r>
        <w:rPr>
          <w:rFonts w:asciiTheme="majorBidi" w:hAnsiTheme="majorBidi" w:cstheme="majorBidi"/>
          <w:sz w:val="20"/>
          <w:szCs w:val="20"/>
        </w:rPr>
        <w:t xml:space="preserve"> include </w:t>
      </w:r>
      <w:r w:rsidR="00106F0B">
        <w:rPr>
          <w:rFonts w:asciiTheme="majorBidi" w:hAnsiTheme="majorBidi" w:cstheme="majorBidi"/>
          <w:sz w:val="20"/>
          <w:szCs w:val="20"/>
        </w:rPr>
        <w:t>actions and targets</w:t>
      </w:r>
      <w:r w:rsidR="008E224C" w:rsidRPr="00106F0B">
        <w:rPr>
          <w:rFonts w:asciiTheme="majorBidi" w:hAnsiTheme="majorBidi" w:cstheme="majorBidi"/>
          <w:sz w:val="20"/>
          <w:szCs w:val="20"/>
        </w:rPr>
        <w:t xml:space="preserve">. </w:t>
      </w:r>
      <w:r>
        <w:rPr>
          <w:rFonts w:asciiTheme="majorBidi" w:hAnsiTheme="majorBidi" w:cstheme="majorBidi"/>
          <w:sz w:val="20"/>
          <w:szCs w:val="20"/>
        </w:rPr>
        <w:t>Roadmap should take into consideration financial feasibility and should use the experiences learned in the implementation of the 2014 Accessibility Plan.</w:t>
      </w:r>
    </w:p>
    <w:tbl>
      <w:tblPr>
        <w:tblW w:w="865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1"/>
      </w:tblGrid>
      <w:tr w:rsidR="008B5D31" w:rsidRPr="003A5AE2" w:rsidTr="008F4F7A">
        <w:trPr>
          <w:trHeight w:val="600"/>
        </w:trPr>
        <w:tc>
          <w:tcPr>
            <w:tcW w:w="8651" w:type="dxa"/>
            <w:shd w:val="clear" w:color="auto" w:fill="5B9BD5" w:themeFill="accent1"/>
          </w:tcPr>
          <w:p w:rsidR="008B5D31" w:rsidRPr="003A5AE2" w:rsidRDefault="00270E58" w:rsidP="008F4F7A">
            <w:pPr>
              <w:spacing w:before="120" w:after="120"/>
              <w:jc w:val="both"/>
              <w:rPr>
                <w:rFonts w:asciiTheme="majorBidi" w:hAnsiTheme="majorBidi" w:cstheme="majorBidi"/>
                <w:b/>
                <w:bCs/>
                <w:sz w:val="20"/>
                <w:szCs w:val="20"/>
              </w:rPr>
            </w:pPr>
            <w:r>
              <w:rPr>
                <w:rFonts w:asciiTheme="majorBidi" w:hAnsiTheme="majorBidi" w:cstheme="majorBidi"/>
                <w:b/>
                <w:bCs/>
                <w:sz w:val="20"/>
                <w:szCs w:val="20"/>
              </w:rPr>
              <w:t>Recommendation 5</w:t>
            </w:r>
            <w:r w:rsidR="008B5D31" w:rsidRPr="00726AC9">
              <w:rPr>
                <w:rFonts w:asciiTheme="majorBidi" w:hAnsiTheme="majorBidi" w:cstheme="majorBidi"/>
                <w:sz w:val="20"/>
                <w:szCs w:val="20"/>
              </w:rPr>
              <w:t xml:space="preserve">. Produce </w:t>
            </w:r>
            <w:r w:rsidR="008F4F7A">
              <w:rPr>
                <w:rFonts w:asciiTheme="majorBidi" w:hAnsiTheme="majorBidi" w:cstheme="majorBidi"/>
                <w:sz w:val="20"/>
                <w:szCs w:val="20"/>
              </w:rPr>
              <w:t xml:space="preserve">an ITU </w:t>
            </w:r>
            <w:r w:rsidR="008B5D31" w:rsidRPr="00726AC9">
              <w:rPr>
                <w:rFonts w:asciiTheme="majorBidi" w:hAnsiTheme="majorBidi" w:cstheme="majorBidi"/>
                <w:sz w:val="20"/>
                <w:szCs w:val="20"/>
              </w:rPr>
              <w:t>accessibi</w:t>
            </w:r>
            <w:r w:rsidR="00726AC9">
              <w:rPr>
                <w:rFonts w:asciiTheme="majorBidi" w:hAnsiTheme="majorBidi" w:cstheme="majorBidi"/>
                <w:sz w:val="20"/>
                <w:szCs w:val="20"/>
              </w:rPr>
              <w:t xml:space="preserve">lity </w:t>
            </w:r>
            <w:r w:rsidR="008F4F7A">
              <w:rPr>
                <w:rFonts w:asciiTheme="majorBidi" w:hAnsiTheme="majorBidi" w:cstheme="majorBidi"/>
                <w:sz w:val="20"/>
                <w:szCs w:val="20"/>
              </w:rPr>
              <w:t xml:space="preserve">road map </w:t>
            </w:r>
            <w:r w:rsidR="00726AC9">
              <w:rPr>
                <w:rFonts w:asciiTheme="majorBidi" w:hAnsiTheme="majorBidi" w:cstheme="majorBidi"/>
                <w:sz w:val="20"/>
                <w:szCs w:val="20"/>
              </w:rPr>
              <w:t>for 2015-2017</w:t>
            </w:r>
            <w:r w:rsidR="008F4F7A">
              <w:rPr>
                <w:rFonts w:asciiTheme="majorBidi" w:hAnsiTheme="majorBidi" w:cstheme="majorBidi"/>
                <w:sz w:val="20"/>
                <w:szCs w:val="20"/>
              </w:rPr>
              <w:t xml:space="preserve">. Process for the preparation of the roadmap to be facilitated </w:t>
            </w:r>
            <w:r w:rsidR="008B5D31" w:rsidRPr="00726AC9">
              <w:rPr>
                <w:rFonts w:asciiTheme="majorBidi" w:hAnsiTheme="majorBidi" w:cstheme="majorBidi"/>
                <w:sz w:val="20"/>
                <w:szCs w:val="20"/>
              </w:rPr>
              <w:t>by GS/SPM</w:t>
            </w:r>
            <w:r w:rsidR="008F4F7A">
              <w:rPr>
                <w:rFonts w:asciiTheme="majorBidi" w:hAnsiTheme="majorBidi" w:cstheme="majorBidi"/>
                <w:sz w:val="20"/>
                <w:szCs w:val="20"/>
              </w:rPr>
              <w:t>, with involvement of all sectors and relevant divi</w:t>
            </w:r>
            <w:r w:rsidR="00A42DBF">
              <w:rPr>
                <w:rFonts w:asciiTheme="majorBidi" w:hAnsiTheme="majorBidi" w:cstheme="majorBidi"/>
                <w:sz w:val="20"/>
                <w:szCs w:val="20"/>
              </w:rPr>
              <w:t>si</w:t>
            </w:r>
            <w:r w:rsidR="008F4F7A">
              <w:rPr>
                <w:rFonts w:asciiTheme="majorBidi" w:hAnsiTheme="majorBidi" w:cstheme="majorBidi"/>
                <w:sz w:val="20"/>
                <w:szCs w:val="20"/>
              </w:rPr>
              <w:t>ons.</w:t>
            </w:r>
          </w:p>
        </w:tc>
      </w:tr>
    </w:tbl>
    <w:p w:rsidR="00BC3A43" w:rsidRPr="00BC3A43" w:rsidRDefault="00BC3A43" w:rsidP="00BC3A43">
      <w:pPr>
        <w:spacing w:before="120" w:after="120"/>
        <w:ind w:left="1080"/>
        <w:jc w:val="both"/>
        <w:rPr>
          <w:rFonts w:asciiTheme="majorBidi" w:hAnsiTheme="majorBidi" w:cstheme="majorBidi"/>
          <w:sz w:val="20"/>
          <w:szCs w:val="20"/>
        </w:rPr>
      </w:pPr>
    </w:p>
    <w:p w:rsidR="00AC11A4" w:rsidRDefault="008F4F7A" w:rsidP="00A42DBF">
      <w:pPr>
        <w:pStyle w:val="ListParagraph"/>
        <w:numPr>
          <w:ilvl w:val="0"/>
          <w:numId w:val="13"/>
        </w:numPr>
        <w:spacing w:before="120" w:after="120"/>
        <w:jc w:val="both"/>
        <w:rPr>
          <w:rFonts w:asciiTheme="majorBidi" w:hAnsiTheme="majorBidi" w:cstheme="majorBidi"/>
          <w:sz w:val="20"/>
          <w:szCs w:val="20"/>
        </w:rPr>
      </w:pPr>
      <w:r w:rsidRPr="008F4F7A">
        <w:rPr>
          <w:rFonts w:asciiTheme="majorBidi" w:hAnsiTheme="majorBidi" w:cstheme="majorBidi"/>
          <w:i/>
          <w:iCs/>
          <w:sz w:val="20"/>
          <w:szCs w:val="20"/>
        </w:rPr>
        <w:t>Mobilizing additional resources for the Accessibility Fund.</w:t>
      </w:r>
      <w:r w:rsidR="00BC3A43" w:rsidRPr="008F4F7A">
        <w:rPr>
          <w:rFonts w:asciiTheme="majorBidi" w:hAnsiTheme="majorBidi" w:cstheme="majorBidi"/>
          <w:i/>
          <w:iCs/>
          <w:sz w:val="20"/>
          <w:szCs w:val="20"/>
        </w:rPr>
        <w:t xml:space="preserve"> </w:t>
      </w:r>
      <w:r w:rsidRPr="008F4F7A">
        <w:rPr>
          <w:rFonts w:asciiTheme="majorBidi" w:hAnsiTheme="majorBidi" w:cstheme="majorBidi"/>
          <w:sz w:val="20"/>
          <w:szCs w:val="20"/>
        </w:rPr>
        <w:t>Current approach has not worked. In 3 years only 2 ITU Members (Rwanda and Cypru</w:t>
      </w:r>
      <w:r>
        <w:rPr>
          <w:rFonts w:asciiTheme="majorBidi" w:hAnsiTheme="majorBidi" w:cstheme="majorBidi"/>
          <w:sz w:val="20"/>
          <w:szCs w:val="20"/>
        </w:rPr>
        <w:t xml:space="preserve">s Telecommunications Authority –CYTA-) gave </w:t>
      </w:r>
      <w:r w:rsidRPr="008F4F7A">
        <w:rPr>
          <w:rFonts w:asciiTheme="majorBidi" w:hAnsiTheme="majorBidi" w:cstheme="majorBidi"/>
          <w:sz w:val="20"/>
          <w:szCs w:val="20"/>
        </w:rPr>
        <w:t xml:space="preserve">contributions </w:t>
      </w:r>
      <w:r>
        <w:rPr>
          <w:rFonts w:asciiTheme="majorBidi" w:hAnsiTheme="majorBidi" w:cstheme="majorBidi"/>
          <w:sz w:val="20"/>
          <w:szCs w:val="20"/>
        </w:rPr>
        <w:t xml:space="preserve">for an overall </w:t>
      </w:r>
      <w:r w:rsidRPr="008F4F7A">
        <w:rPr>
          <w:rFonts w:asciiTheme="majorBidi" w:hAnsiTheme="majorBidi" w:cstheme="majorBidi"/>
          <w:sz w:val="20"/>
          <w:szCs w:val="20"/>
        </w:rPr>
        <w:t xml:space="preserve">amount </w:t>
      </w:r>
      <w:r>
        <w:rPr>
          <w:rFonts w:asciiTheme="majorBidi" w:hAnsiTheme="majorBidi" w:cstheme="majorBidi"/>
          <w:sz w:val="20"/>
          <w:szCs w:val="20"/>
        </w:rPr>
        <w:t>of CHF 39,</w:t>
      </w:r>
      <w:r w:rsidRPr="008F4F7A">
        <w:rPr>
          <w:rFonts w:asciiTheme="majorBidi" w:hAnsiTheme="majorBidi" w:cstheme="majorBidi"/>
          <w:sz w:val="20"/>
          <w:szCs w:val="20"/>
        </w:rPr>
        <w:t>419 CHF</w:t>
      </w:r>
      <w:r>
        <w:rPr>
          <w:rFonts w:asciiTheme="majorBidi" w:hAnsiTheme="majorBidi" w:cstheme="majorBidi"/>
          <w:sz w:val="20"/>
          <w:szCs w:val="20"/>
        </w:rPr>
        <w:t>. Such contributions were the result of a general invitation for voluntary contributions. A new approach could</w:t>
      </w:r>
      <w:r w:rsidR="00A42DBF">
        <w:rPr>
          <w:rFonts w:asciiTheme="majorBidi" w:hAnsiTheme="majorBidi" w:cstheme="majorBidi"/>
          <w:sz w:val="20"/>
          <w:szCs w:val="20"/>
        </w:rPr>
        <w:t xml:space="preserve"> be instead</w:t>
      </w:r>
      <w:r>
        <w:rPr>
          <w:rFonts w:asciiTheme="majorBidi" w:hAnsiTheme="majorBidi" w:cstheme="majorBidi"/>
          <w:sz w:val="20"/>
          <w:szCs w:val="20"/>
        </w:rPr>
        <w:t xml:space="preserve"> </w:t>
      </w:r>
      <w:r w:rsidR="00AC11A4">
        <w:rPr>
          <w:rFonts w:asciiTheme="majorBidi" w:hAnsiTheme="majorBidi" w:cstheme="majorBidi"/>
          <w:sz w:val="20"/>
          <w:szCs w:val="20"/>
        </w:rPr>
        <w:t xml:space="preserve">to present concrete ITU </w:t>
      </w:r>
      <w:r w:rsidR="00BC3A43">
        <w:rPr>
          <w:rFonts w:asciiTheme="majorBidi" w:hAnsiTheme="majorBidi" w:cstheme="majorBidi"/>
          <w:sz w:val="20"/>
          <w:szCs w:val="20"/>
        </w:rPr>
        <w:t xml:space="preserve">initiatives </w:t>
      </w:r>
      <w:r w:rsidR="00AC11A4">
        <w:rPr>
          <w:rFonts w:asciiTheme="majorBidi" w:hAnsiTheme="majorBidi" w:cstheme="majorBidi"/>
          <w:sz w:val="20"/>
          <w:szCs w:val="20"/>
        </w:rPr>
        <w:t xml:space="preserve">that need funding and invite contributions for these initiatives. This kind of request would be </w:t>
      </w:r>
      <w:r w:rsidR="003B5B4F">
        <w:rPr>
          <w:rFonts w:asciiTheme="majorBidi" w:hAnsiTheme="majorBidi" w:cstheme="majorBidi"/>
          <w:sz w:val="20"/>
          <w:szCs w:val="20"/>
        </w:rPr>
        <w:t>more targeted</w:t>
      </w:r>
      <w:r w:rsidR="00AC11A4">
        <w:rPr>
          <w:rFonts w:asciiTheme="majorBidi" w:hAnsiTheme="majorBidi" w:cstheme="majorBidi"/>
          <w:sz w:val="20"/>
          <w:szCs w:val="20"/>
        </w:rPr>
        <w:t>, and could be more interesting for the office of Corporate Social Responsibility from the private sector.</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8B5D31" w:rsidRPr="003A5AE2" w:rsidTr="00AC11A4">
        <w:trPr>
          <w:trHeight w:val="780"/>
        </w:trPr>
        <w:tc>
          <w:tcPr>
            <w:tcW w:w="8647" w:type="dxa"/>
            <w:shd w:val="clear" w:color="auto" w:fill="5B9BD5" w:themeFill="accent1"/>
          </w:tcPr>
          <w:p w:rsidR="008B5D31" w:rsidRPr="003A5AE2" w:rsidRDefault="00270E58" w:rsidP="00AC11A4">
            <w:pPr>
              <w:spacing w:before="120" w:after="120"/>
              <w:jc w:val="both"/>
              <w:rPr>
                <w:rFonts w:asciiTheme="majorBidi" w:hAnsiTheme="majorBidi" w:cstheme="majorBidi"/>
                <w:b/>
                <w:bCs/>
                <w:sz w:val="20"/>
                <w:szCs w:val="20"/>
              </w:rPr>
            </w:pPr>
            <w:r>
              <w:rPr>
                <w:rFonts w:asciiTheme="majorBidi" w:hAnsiTheme="majorBidi" w:cstheme="majorBidi"/>
                <w:b/>
                <w:bCs/>
                <w:sz w:val="20"/>
                <w:szCs w:val="20"/>
              </w:rPr>
              <w:lastRenderedPageBreak/>
              <w:t>Recommendation 6</w:t>
            </w:r>
            <w:r w:rsidR="008B5D31" w:rsidRPr="003A5AE2">
              <w:rPr>
                <w:rFonts w:asciiTheme="majorBidi" w:hAnsiTheme="majorBidi" w:cstheme="majorBidi"/>
                <w:b/>
                <w:bCs/>
                <w:sz w:val="20"/>
                <w:szCs w:val="20"/>
              </w:rPr>
              <w:t xml:space="preserve">. </w:t>
            </w:r>
            <w:r w:rsidR="00AC11A4" w:rsidRPr="00AC11A4">
              <w:rPr>
                <w:rFonts w:asciiTheme="majorBidi" w:hAnsiTheme="majorBidi" w:cstheme="majorBidi"/>
                <w:sz w:val="20"/>
                <w:szCs w:val="20"/>
              </w:rPr>
              <w:t>ITU Resource Mobilization team to work with accessibility focal points to identify concrete initiatives that could be presented for funding.</w:t>
            </w:r>
            <w:r w:rsidR="00AC11A4" w:rsidRPr="00AC11A4">
              <w:rPr>
                <w:rFonts w:asciiTheme="majorBidi" w:hAnsiTheme="majorBidi" w:cstheme="majorBidi"/>
                <w:color w:val="000000" w:themeColor="text1"/>
                <w:sz w:val="20"/>
                <w:szCs w:val="20"/>
              </w:rPr>
              <w:t xml:space="preserve"> </w:t>
            </w:r>
          </w:p>
        </w:tc>
      </w:tr>
    </w:tbl>
    <w:p w:rsidR="008E224C" w:rsidRPr="003B6A9E" w:rsidRDefault="00AC11A4" w:rsidP="003B6A9E">
      <w:pPr>
        <w:pStyle w:val="Heading1"/>
        <w:numPr>
          <w:ilvl w:val="0"/>
          <w:numId w:val="1"/>
        </w:numPr>
        <w:shd w:val="clear" w:color="auto" w:fill="DEEAF6" w:themeFill="accent1" w:themeFillTint="33"/>
        <w:spacing w:before="360" w:after="120"/>
        <w:ind w:left="357" w:hanging="357"/>
        <w:rPr>
          <w:rFonts w:asciiTheme="majorBidi" w:hAnsiTheme="majorBidi"/>
          <w:color w:val="auto"/>
          <w:sz w:val="20"/>
          <w:szCs w:val="20"/>
        </w:rPr>
      </w:pPr>
      <w:r w:rsidRPr="003B6A9E">
        <w:rPr>
          <w:rFonts w:asciiTheme="majorBidi" w:hAnsiTheme="majorBidi"/>
          <w:color w:val="auto"/>
          <w:sz w:val="20"/>
          <w:szCs w:val="20"/>
        </w:rPr>
        <w:t xml:space="preserve">Conclusions </w:t>
      </w:r>
      <w:r w:rsidR="008E224C" w:rsidRPr="003B6A9E">
        <w:rPr>
          <w:rFonts w:asciiTheme="majorBidi" w:hAnsiTheme="majorBidi"/>
          <w:color w:val="auto"/>
          <w:sz w:val="20"/>
          <w:szCs w:val="20"/>
        </w:rPr>
        <w:t>and final remarks</w:t>
      </w:r>
    </w:p>
    <w:p w:rsidR="00AC11A4" w:rsidRDefault="00AC11A4" w:rsidP="00AC11A4">
      <w:pPr>
        <w:spacing w:before="120" w:after="120"/>
        <w:jc w:val="both"/>
        <w:rPr>
          <w:rFonts w:asciiTheme="majorBidi" w:hAnsiTheme="majorBidi" w:cstheme="majorBidi"/>
          <w:sz w:val="20"/>
          <w:szCs w:val="20"/>
        </w:rPr>
      </w:pPr>
      <w:r>
        <w:rPr>
          <w:rFonts w:asciiTheme="majorBidi" w:hAnsiTheme="majorBidi" w:cstheme="majorBidi"/>
          <w:sz w:val="20"/>
          <w:szCs w:val="20"/>
        </w:rPr>
        <w:t>The DSG closed the discussion thanking all participants for their involvement in the meeting</w:t>
      </w:r>
      <w:r w:rsidR="00CF1FB9">
        <w:rPr>
          <w:rFonts w:asciiTheme="majorBidi" w:hAnsiTheme="majorBidi" w:cstheme="majorBidi"/>
          <w:sz w:val="20"/>
          <w:szCs w:val="20"/>
        </w:rPr>
        <w:t xml:space="preserve"> and especially Andrea Saks and Axel Leblois</w:t>
      </w:r>
      <w:r>
        <w:rPr>
          <w:rFonts w:asciiTheme="majorBidi" w:hAnsiTheme="majorBidi" w:cstheme="majorBidi"/>
          <w:sz w:val="20"/>
          <w:szCs w:val="20"/>
        </w:rPr>
        <w:t>. As</w:t>
      </w:r>
      <w:r w:rsidR="00A42DBF">
        <w:rPr>
          <w:rFonts w:asciiTheme="majorBidi" w:hAnsiTheme="majorBidi" w:cstheme="majorBidi"/>
          <w:sz w:val="20"/>
          <w:szCs w:val="20"/>
        </w:rPr>
        <w:t xml:space="preserve"> a</w:t>
      </w:r>
      <w:r>
        <w:rPr>
          <w:rFonts w:asciiTheme="majorBidi" w:hAnsiTheme="majorBidi" w:cstheme="majorBidi"/>
          <w:sz w:val="20"/>
          <w:szCs w:val="20"/>
        </w:rPr>
        <w:t xml:space="preserve"> next step, SPM will produce a summary of the meeting with a set of recommendations to move forward. These recommendations will</w:t>
      </w:r>
      <w:r w:rsidR="00A42DBF">
        <w:rPr>
          <w:rFonts w:asciiTheme="majorBidi" w:hAnsiTheme="majorBidi" w:cstheme="majorBidi"/>
          <w:sz w:val="20"/>
          <w:szCs w:val="20"/>
        </w:rPr>
        <w:t xml:space="preserve"> </w:t>
      </w:r>
      <w:r>
        <w:rPr>
          <w:rFonts w:asciiTheme="majorBidi" w:hAnsiTheme="majorBidi" w:cstheme="majorBidi"/>
          <w:sz w:val="20"/>
          <w:szCs w:val="20"/>
        </w:rPr>
        <w:t xml:space="preserve">be discussed by the new ITU Inter-Sectoral Task force. </w:t>
      </w:r>
    </w:p>
    <w:p w:rsidR="00AC11A4" w:rsidRDefault="00AC11A4" w:rsidP="00AC11A4">
      <w:pPr>
        <w:spacing w:before="120" w:after="120"/>
        <w:jc w:val="both"/>
        <w:rPr>
          <w:rFonts w:asciiTheme="majorBidi" w:hAnsiTheme="majorBidi" w:cstheme="majorBidi"/>
          <w:sz w:val="20"/>
          <w:szCs w:val="20"/>
        </w:rPr>
      </w:pPr>
      <w:r>
        <w:rPr>
          <w:rFonts w:asciiTheme="majorBidi" w:hAnsiTheme="majorBidi" w:cstheme="majorBidi"/>
          <w:sz w:val="20"/>
          <w:szCs w:val="20"/>
        </w:rPr>
        <w:t>After these items, the meeting was brought to an end.</w:t>
      </w:r>
    </w:p>
    <w:p w:rsidR="00447218" w:rsidRDefault="00447218" w:rsidP="00AC11A4">
      <w:pPr>
        <w:spacing w:before="120" w:after="120"/>
        <w:jc w:val="both"/>
        <w:rPr>
          <w:rFonts w:asciiTheme="majorBidi" w:hAnsiTheme="majorBidi" w:cstheme="majorBidi"/>
          <w:sz w:val="20"/>
          <w:szCs w:val="20"/>
        </w:rPr>
      </w:pPr>
    </w:p>
    <w:p w:rsidR="00447218" w:rsidRPr="00AC11A4" w:rsidRDefault="00447218" w:rsidP="00447218">
      <w:pPr>
        <w:spacing w:before="120" w:after="120"/>
        <w:jc w:val="center"/>
        <w:rPr>
          <w:rFonts w:asciiTheme="majorBidi" w:hAnsiTheme="majorBidi" w:cstheme="majorBidi"/>
          <w:sz w:val="20"/>
          <w:szCs w:val="20"/>
        </w:rPr>
      </w:pPr>
      <w:r>
        <w:rPr>
          <w:rFonts w:asciiTheme="majorBidi" w:hAnsiTheme="majorBidi" w:cstheme="majorBidi"/>
          <w:sz w:val="20"/>
          <w:szCs w:val="20"/>
        </w:rPr>
        <w:t>________________________</w:t>
      </w:r>
    </w:p>
    <w:sectPr w:rsidR="00447218" w:rsidRPr="00AC11A4" w:rsidSect="00A54F1F">
      <w:headerReference w:type="default" r:id="rId9"/>
      <w:footerReference w:type="first" r:id="rId10"/>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6E" w:rsidRDefault="003D396E" w:rsidP="00D01A3A">
      <w:r>
        <w:separator/>
      </w:r>
    </w:p>
  </w:endnote>
  <w:endnote w:type="continuationSeparator" w:id="0">
    <w:p w:rsidR="003D396E" w:rsidRDefault="003D396E"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3A3631" w:rsidRPr="003A3631" w:rsidTr="006D4266">
      <w:trPr>
        <w:gridAfter w:val="1"/>
        <w:wAfter w:w="51" w:type="dxa"/>
        <w:cantSplit/>
        <w:jc w:val="center"/>
      </w:trPr>
      <w:tc>
        <w:tcPr>
          <w:tcW w:w="1616" w:type="dxa"/>
          <w:gridSpan w:val="2"/>
          <w:tcBorders>
            <w:top w:val="single" w:sz="12" w:space="0" w:color="auto"/>
          </w:tcBorders>
        </w:tcPr>
        <w:p w:rsidR="003A3631" w:rsidRPr="003A3631" w:rsidRDefault="003A3631" w:rsidP="003A3631">
          <w:pPr>
            <w:spacing w:before="120"/>
            <w:rPr>
              <w:sz w:val="22"/>
              <w:szCs w:val="22"/>
            </w:rPr>
          </w:pPr>
          <w:r w:rsidRPr="003A3631">
            <w:rPr>
              <w:b/>
              <w:sz w:val="22"/>
              <w:szCs w:val="22"/>
            </w:rPr>
            <w:t>Contact</w:t>
          </w:r>
          <w:r w:rsidRPr="003A3631">
            <w:rPr>
              <w:sz w:val="22"/>
              <w:szCs w:val="22"/>
            </w:rPr>
            <w:t>:</w:t>
          </w:r>
        </w:p>
      </w:tc>
      <w:tc>
        <w:tcPr>
          <w:tcW w:w="3371" w:type="dxa"/>
          <w:tcBorders>
            <w:top w:val="single" w:sz="12" w:space="0" w:color="auto"/>
          </w:tcBorders>
        </w:tcPr>
        <w:p w:rsidR="003A3631" w:rsidRPr="003A3631" w:rsidRDefault="003A3631" w:rsidP="003A3631">
          <w:pPr>
            <w:spacing w:before="120"/>
            <w:rPr>
              <w:sz w:val="22"/>
              <w:szCs w:val="22"/>
              <w:lang w:val="es-ES_tradnl"/>
            </w:rPr>
          </w:pPr>
          <w:r w:rsidRPr="003A3631">
            <w:rPr>
              <w:sz w:val="22"/>
              <w:szCs w:val="22"/>
              <w:lang w:val="es-ES_tradnl"/>
            </w:rPr>
            <w:t>Jose Maria Diaz Batanero</w:t>
          </w:r>
        </w:p>
      </w:tc>
      <w:tc>
        <w:tcPr>
          <w:tcW w:w="4936" w:type="dxa"/>
          <w:tcBorders>
            <w:top w:val="single" w:sz="12" w:space="0" w:color="auto"/>
          </w:tcBorders>
        </w:tcPr>
        <w:p w:rsidR="003A3631" w:rsidRPr="003A3631" w:rsidRDefault="003A3631" w:rsidP="003A3631">
          <w:pPr>
            <w:spacing w:before="120"/>
            <w:rPr>
              <w:sz w:val="22"/>
              <w:szCs w:val="22"/>
              <w:lang w:val="es-ES_tradnl"/>
            </w:rPr>
          </w:pPr>
          <w:r w:rsidRPr="003A3631">
            <w:rPr>
              <w:sz w:val="22"/>
              <w:szCs w:val="22"/>
              <w:lang w:val="es-ES_tradnl"/>
            </w:rPr>
            <w:t>E</w:t>
          </w:r>
          <w:r w:rsidRPr="003A3631">
            <w:rPr>
              <w:sz w:val="22"/>
              <w:szCs w:val="22"/>
              <w:lang w:val="es-ES_tradnl"/>
            </w:rPr>
            <w:t xml:space="preserve">mail: </w:t>
          </w:r>
          <w:hyperlink r:id="rId1" w:history="1">
            <w:r w:rsidRPr="003A3631">
              <w:rPr>
                <w:rStyle w:val="Hyperlink"/>
                <w:sz w:val="22"/>
                <w:szCs w:val="22"/>
                <w:lang w:val="es-ES_tradnl"/>
              </w:rPr>
              <w:t>jose.batanero@itu.int</w:t>
            </w:r>
          </w:hyperlink>
        </w:p>
      </w:tc>
    </w:tr>
    <w:tr w:rsidR="003A3631" w:rsidRPr="00DD33CC" w:rsidTr="006D4266">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3631" w:rsidRPr="00531342" w:rsidRDefault="003A3631"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6E" w:rsidRDefault="003D396E" w:rsidP="00D01A3A">
      <w:r>
        <w:separator/>
      </w:r>
    </w:p>
  </w:footnote>
  <w:footnote w:type="continuationSeparator" w:id="0">
    <w:p w:rsidR="003D396E" w:rsidRDefault="003D396E" w:rsidP="00D01A3A">
      <w:r>
        <w:continuationSeparator/>
      </w:r>
    </w:p>
  </w:footnote>
  <w:footnote w:id="1">
    <w:p w:rsidR="00D01A3A" w:rsidRPr="00D01A3A" w:rsidRDefault="00D01A3A" w:rsidP="00D01A3A">
      <w:pPr>
        <w:pStyle w:val="FootnoteText"/>
        <w:spacing w:before="60" w:after="60"/>
        <w:rPr>
          <w:i/>
          <w:iCs/>
          <w:sz w:val="18"/>
          <w:szCs w:val="18"/>
        </w:rPr>
      </w:pPr>
      <w:r w:rsidRPr="00D01A3A">
        <w:rPr>
          <w:rStyle w:val="FootnoteReference"/>
          <w:i/>
          <w:iCs/>
          <w:sz w:val="18"/>
          <w:szCs w:val="18"/>
        </w:rPr>
        <w:footnoteRef/>
      </w:r>
      <w:r w:rsidRPr="00D01A3A">
        <w:rPr>
          <w:i/>
          <w:iCs/>
          <w:sz w:val="18"/>
          <w:szCs w:val="18"/>
        </w:rPr>
        <w:t xml:space="preserve"> Further information about Res 175 (Rev. Busan 2014) is available at </w:t>
      </w:r>
      <w:hyperlink r:id="rId1" w:history="1">
        <w:r w:rsidRPr="00D01A3A">
          <w:rPr>
            <w:rStyle w:val="Hyperlink"/>
            <w:i/>
            <w:iCs/>
            <w:sz w:val="18"/>
            <w:szCs w:val="18"/>
          </w:rPr>
          <w:t>http://www.itu.int/en/action/accessibility/Pages/ITUmandate.aspx</w:t>
        </w:r>
      </w:hyperlink>
      <w:r w:rsidRPr="00D01A3A">
        <w:rPr>
          <w:i/>
          <w:iCs/>
          <w:sz w:val="18"/>
          <w:szCs w:val="18"/>
        </w:rPr>
        <w:t xml:space="preserve"> </w:t>
      </w:r>
    </w:p>
  </w:footnote>
  <w:footnote w:id="2">
    <w:p w:rsidR="00D01A3A" w:rsidRDefault="00D01A3A" w:rsidP="00D01A3A">
      <w:pPr>
        <w:pStyle w:val="FootnoteText"/>
        <w:spacing w:before="60" w:after="60"/>
      </w:pPr>
      <w:r w:rsidRPr="00D01A3A">
        <w:rPr>
          <w:rStyle w:val="FootnoteReference"/>
          <w:i/>
          <w:iCs/>
          <w:sz w:val="18"/>
          <w:szCs w:val="18"/>
        </w:rPr>
        <w:footnoteRef/>
      </w:r>
      <w:r w:rsidRPr="00D01A3A">
        <w:rPr>
          <w:i/>
          <w:iCs/>
          <w:sz w:val="18"/>
          <w:szCs w:val="18"/>
        </w:rPr>
        <w:t xml:space="preserve"> Further information about the Connect 2020 agenda is available at </w:t>
      </w:r>
      <w:hyperlink r:id="rId2" w:history="1">
        <w:r w:rsidRPr="00D01A3A">
          <w:rPr>
            <w:rStyle w:val="Hyperlink"/>
            <w:i/>
            <w:iCs/>
            <w:sz w:val="18"/>
            <w:szCs w:val="18"/>
          </w:rPr>
          <w:t>http://www.itu.int/en/connect2020/Pages/default.aspx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A54F1F">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A006FF">
      <w:rPr>
        <w:noProof/>
        <w:sz w:val="18"/>
        <w:szCs w:val="18"/>
      </w:rPr>
      <w:t>4</w:t>
    </w:r>
    <w:r w:rsidRPr="00FB0531">
      <w:rPr>
        <w:sz w:val="18"/>
        <w:szCs w:val="18"/>
      </w:rPr>
      <w:fldChar w:fldCharType="end"/>
    </w:r>
    <w:r w:rsidRPr="00FB0531">
      <w:rPr>
        <w:sz w:val="18"/>
        <w:szCs w:val="18"/>
      </w:rPr>
      <w:t xml:space="preserve"> -</w:t>
    </w:r>
    <w:r w:rsidRPr="00FB0531">
      <w:rPr>
        <w:sz w:val="18"/>
        <w:szCs w:val="18"/>
      </w:rPr>
      <w:br/>
      <w:t xml:space="preserve">Doc. </w:t>
    </w:r>
    <w:r>
      <w:rPr>
        <w:sz w:val="18"/>
        <w:szCs w:val="18"/>
      </w:rPr>
      <w:t>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2"/>
  </w:num>
  <w:num w:numId="5">
    <w:abstractNumId w:val="1"/>
  </w:num>
  <w:num w:numId="6">
    <w:abstractNumId w:val="2"/>
  </w:num>
  <w:num w:numId="7">
    <w:abstractNumId w:val="4"/>
  </w:num>
  <w:num w:numId="8">
    <w:abstractNumId w:val="7"/>
  </w:num>
  <w:num w:numId="9">
    <w:abstractNumId w:val="13"/>
  </w:num>
  <w:num w:numId="10">
    <w:abstractNumId w:val="11"/>
  </w:num>
  <w:num w:numId="11">
    <w:abstractNumId w:val="0"/>
  </w:num>
  <w:num w:numId="12">
    <w:abstractNumId w:val="6"/>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22252"/>
    <w:rsid w:val="0003156B"/>
    <w:rsid w:val="0003186A"/>
    <w:rsid w:val="000341A7"/>
    <w:rsid w:val="0009688D"/>
    <w:rsid w:val="000C0A5E"/>
    <w:rsid w:val="00106F0B"/>
    <w:rsid w:val="00150FF3"/>
    <w:rsid w:val="0015751B"/>
    <w:rsid w:val="001752B2"/>
    <w:rsid w:val="001A359B"/>
    <w:rsid w:val="001B3C28"/>
    <w:rsid w:val="001C2BAE"/>
    <w:rsid w:val="001E7518"/>
    <w:rsid w:val="00201CF8"/>
    <w:rsid w:val="00206596"/>
    <w:rsid w:val="00270E58"/>
    <w:rsid w:val="002755B5"/>
    <w:rsid w:val="00284DF3"/>
    <w:rsid w:val="002B25C3"/>
    <w:rsid w:val="002C650B"/>
    <w:rsid w:val="002C7C0F"/>
    <w:rsid w:val="002D308F"/>
    <w:rsid w:val="002D366C"/>
    <w:rsid w:val="002F3F13"/>
    <w:rsid w:val="003072A8"/>
    <w:rsid w:val="00317157"/>
    <w:rsid w:val="00336427"/>
    <w:rsid w:val="003410DE"/>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F3D28"/>
    <w:rsid w:val="00500F6F"/>
    <w:rsid w:val="00523215"/>
    <w:rsid w:val="00560389"/>
    <w:rsid w:val="00593C3D"/>
    <w:rsid w:val="005E7091"/>
    <w:rsid w:val="00613AE5"/>
    <w:rsid w:val="006253E3"/>
    <w:rsid w:val="00633EA1"/>
    <w:rsid w:val="00650989"/>
    <w:rsid w:val="0067332A"/>
    <w:rsid w:val="006A1A07"/>
    <w:rsid w:val="006A5D20"/>
    <w:rsid w:val="006B761B"/>
    <w:rsid w:val="006E1948"/>
    <w:rsid w:val="006E7E33"/>
    <w:rsid w:val="006F3530"/>
    <w:rsid w:val="006F6EAD"/>
    <w:rsid w:val="00726AC9"/>
    <w:rsid w:val="007414C7"/>
    <w:rsid w:val="00752E1F"/>
    <w:rsid w:val="007558E4"/>
    <w:rsid w:val="00755BE3"/>
    <w:rsid w:val="007A1233"/>
    <w:rsid w:val="007B230A"/>
    <w:rsid w:val="007E3CFE"/>
    <w:rsid w:val="007F2D03"/>
    <w:rsid w:val="00870389"/>
    <w:rsid w:val="008A3F53"/>
    <w:rsid w:val="008B4C27"/>
    <w:rsid w:val="008B5D31"/>
    <w:rsid w:val="008D07B5"/>
    <w:rsid w:val="008E224C"/>
    <w:rsid w:val="008F0E76"/>
    <w:rsid w:val="008F4F7A"/>
    <w:rsid w:val="008F5111"/>
    <w:rsid w:val="008F5F08"/>
    <w:rsid w:val="0091630B"/>
    <w:rsid w:val="00922C2C"/>
    <w:rsid w:val="0093199F"/>
    <w:rsid w:val="00960CFD"/>
    <w:rsid w:val="009B671A"/>
    <w:rsid w:val="009C5495"/>
    <w:rsid w:val="009F64BA"/>
    <w:rsid w:val="00A006FF"/>
    <w:rsid w:val="00A04FDC"/>
    <w:rsid w:val="00A15AF4"/>
    <w:rsid w:val="00A42DBF"/>
    <w:rsid w:val="00A54F1F"/>
    <w:rsid w:val="00A94438"/>
    <w:rsid w:val="00AB0B99"/>
    <w:rsid w:val="00AB638D"/>
    <w:rsid w:val="00AC11A4"/>
    <w:rsid w:val="00AD751C"/>
    <w:rsid w:val="00AF2128"/>
    <w:rsid w:val="00BA79A0"/>
    <w:rsid w:val="00BC3A43"/>
    <w:rsid w:val="00BD24C1"/>
    <w:rsid w:val="00BD5ECC"/>
    <w:rsid w:val="00C104A7"/>
    <w:rsid w:val="00C20761"/>
    <w:rsid w:val="00C91B5D"/>
    <w:rsid w:val="00C932FB"/>
    <w:rsid w:val="00CB0417"/>
    <w:rsid w:val="00CF1FB9"/>
    <w:rsid w:val="00D01A3A"/>
    <w:rsid w:val="00D04D57"/>
    <w:rsid w:val="00D13E25"/>
    <w:rsid w:val="00D20061"/>
    <w:rsid w:val="00D24665"/>
    <w:rsid w:val="00D510BE"/>
    <w:rsid w:val="00D81ECE"/>
    <w:rsid w:val="00D874A6"/>
    <w:rsid w:val="00D91C5A"/>
    <w:rsid w:val="00DC1CF6"/>
    <w:rsid w:val="00E26379"/>
    <w:rsid w:val="00E3031A"/>
    <w:rsid w:val="00E717C8"/>
    <w:rsid w:val="00E928C4"/>
    <w:rsid w:val="00EC0764"/>
    <w:rsid w:val="00EC098D"/>
    <w:rsid w:val="00EC0EBD"/>
    <w:rsid w:val="00EF0398"/>
    <w:rsid w:val="00F327B8"/>
    <w:rsid w:val="00F34305"/>
    <w:rsid w:val="00F471C0"/>
    <w:rsid w:val="00F81442"/>
    <w:rsid w:val="00FB7811"/>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5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connect2030/Pages/default.aspx" TargetMode="External"/><Relationship Id="rId1" Type="http://schemas.openxmlformats.org/officeDocument/2006/relationships/hyperlink" Target="http://www.itu.int/en/action/accessibility/Pages/ITUmand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1C09C-FAED-4776-9216-B6C07AEA39BF}"/>
</file>

<file path=customXml/itemProps2.xml><?xml version="1.0" encoding="utf-8"?>
<ds:datastoreItem xmlns:ds="http://schemas.openxmlformats.org/officeDocument/2006/customXml" ds:itemID="{7892CEB4-FF4E-4BD9-A630-CF45AA0C9B2A}"/>
</file>

<file path=customXml/itemProps3.xml><?xml version="1.0" encoding="utf-8"?>
<ds:datastoreItem xmlns:ds="http://schemas.openxmlformats.org/officeDocument/2006/customXml" ds:itemID="{8EEF8BD1-9BF2-44E1-9476-6EBDF7F9F69D}"/>
</file>

<file path=customXml/itemProps4.xml><?xml version="1.0" encoding="utf-8"?>
<ds:datastoreItem xmlns:ds="http://schemas.openxmlformats.org/officeDocument/2006/customXml" ds:itemID="{843E43BF-2EB8-4733-BA70-B4C9CE6A989C}"/>
</file>

<file path=docProps/app.xml><?xml version="1.0" encoding="utf-8"?>
<Properties xmlns="http://schemas.openxmlformats.org/officeDocument/2006/extended-properties" xmlns:vt="http://schemas.openxmlformats.org/officeDocument/2006/docPropsVTypes">
  <Template>Normal.dotm</Template>
  <TotalTime>8</TotalTime>
  <Pages>4</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Lara ALMNINI</cp:lastModifiedBy>
  <cp:revision>8</cp:revision>
  <dcterms:created xsi:type="dcterms:W3CDTF">2016-01-21T08:02:00Z</dcterms:created>
  <dcterms:modified xsi:type="dcterms:W3CDTF">2016-01-21T08:09:00Z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