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5705DE">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5705DE">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E928C4">
            <w:pPr>
              <w:spacing w:before="120" w:line="276" w:lineRule="auto"/>
              <w:ind w:right="28"/>
              <w:jc w:val="right"/>
              <w:rPr>
                <w:b/>
                <w:bCs/>
              </w:rPr>
            </w:pPr>
            <w:r w:rsidRPr="00DF007D">
              <w:rPr>
                <w:b/>
                <w:bCs/>
                <w:sz w:val="40"/>
                <w:szCs w:val="40"/>
              </w:rPr>
              <w:t>Doc</w:t>
            </w:r>
            <w:r w:rsidR="005705DE">
              <w:rPr>
                <w:b/>
                <w:bCs/>
                <w:sz w:val="40"/>
                <w:szCs w:val="40"/>
              </w:rPr>
              <w:t xml:space="preserve"> 258</w:t>
            </w:r>
            <w:r w:rsidR="001C48EA">
              <w:rPr>
                <w:b/>
                <w:bCs/>
                <w:sz w:val="40"/>
                <w:szCs w:val="40"/>
              </w:rPr>
              <w:t xml:space="preserve"> </w:t>
            </w:r>
            <w:r w:rsidRPr="00DF007D">
              <w:rPr>
                <w:b/>
                <w:bCs/>
                <w:sz w:val="40"/>
                <w:szCs w:val="40"/>
              </w:rPr>
              <w:t xml:space="preserve"> </w:t>
            </w:r>
            <w:r>
              <w:rPr>
                <w:b/>
                <w:bCs/>
                <w:sz w:val="40"/>
                <w:szCs w:val="40"/>
              </w:rPr>
              <w:t xml:space="preserve"> </w:t>
            </w:r>
          </w:p>
        </w:tc>
      </w:tr>
      <w:tr w:rsidR="00E928C4" w:rsidRPr="00CA69A4" w:rsidTr="005705DE">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857CFA" w:rsidRDefault="00E928C4" w:rsidP="00E928C4">
            <w:pPr>
              <w:spacing w:before="120" w:line="276" w:lineRule="auto"/>
              <w:jc w:val="right"/>
              <w:rPr>
                <w:b/>
                <w:bCs/>
                <w:sz w:val="28"/>
                <w:szCs w:val="28"/>
              </w:rPr>
            </w:pPr>
            <w:r w:rsidRPr="00857CFA">
              <w:rPr>
                <w:b/>
                <w:bCs/>
                <w:sz w:val="28"/>
                <w:szCs w:val="28"/>
              </w:rPr>
              <w:t>English only</w:t>
            </w:r>
          </w:p>
          <w:p w:rsidR="00E928C4" w:rsidRPr="00CA69A4" w:rsidRDefault="00E928C4" w:rsidP="00E928C4">
            <w:pPr>
              <w:spacing w:before="120"/>
              <w:jc w:val="right"/>
              <w:rPr>
                <w:b/>
                <w:bCs/>
              </w:rPr>
            </w:pPr>
            <w:r w:rsidRPr="00857CFA">
              <w:rPr>
                <w:b/>
                <w:bCs/>
                <w:sz w:val="28"/>
                <w:szCs w:val="28"/>
              </w:rPr>
              <w:t>Original: English</w:t>
            </w:r>
          </w:p>
        </w:tc>
      </w:tr>
      <w:tr w:rsidR="00E928C4" w:rsidRPr="00CA69A4" w:rsidTr="005705DE">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E928C4" w:rsidRPr="00CA69A4" w:rsidRDefault="005705DE" w:rsidP="00E928C4">
            <w:pPr>
              <w:spacing w:before="120"/>
            </w:pPr>
            <w:r>
              <w:t>BDT</w:t>
            </w:r>
          </w:p>
        </w:tc>
      </w:tr>
      <w:tr w:rsidR="00E928C4" w:rsidRPr="00CA69A4" w:rsidTr="005705DE">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5705DE" w:rsidP="008E0184">
            <w:pPr>
              <w:tabs>
                <w:tab w:val="right" w:pos="9214"/>
              </w:tabs>
              <w:spacing w:before="120" w:after="120"/>
            </w:pPr>
            <w:r w:rsidRPr="00CD2A68">
              <w:rPr>
                <w:rFonts w:asciiTheme="majorBidi" w:hAnsiTheme="majorBidi" w:cstheme="majorBidi"/>
              </w:rPr>
              <w:t xml:space="preserve">Outline of forthcoming </w:t>
            </w:r>
            <w:r>
              <w:rPr>
                <w:rFonts w:asciiTheme="majorBidi" w:hAnsiTheme="majorBidi" w:cstheme="majorBidi"/>
              </w:rPr>
              <w:t xml:space="preserve">ITU-D </w:t>
            </w:r>
            <w:r w:rsidRPr="00CD2A68">
              <w:rPr>
                <w:rFonts w:asciiTheme="majorBidi" w:hAnsiTheme="majorBidi" w:cstheme="majorBidi"/>
              </w:rPr>
              <w:t>meeting and events</w:t>
            </w:r>
          </w:p>
        </w:tc>
      </w:tr>
    </w:tbl>
    <w:p w:rsidR="0070213C" w:rsidRPr="0070213C" w:rsidRDefault="0070213C" w:rsidP="0070213C">
      <w:pPr>
        <w:rPr>
          <w:rFonts w:asciiTheme="majorBidi" w:hAnsiTheme="majorBidi" w:cstheme="majorBidi"/>
        </w:rPr>
      </w:pPr>
    </w:p>
    <w:p w:rsidR="005705DE" w:rsidRPr="00937DD3" w:rsidRDefault="005705DE" w:rsidP="005705DE">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7B3F49">
        <w:t xml:space="preserve">ITU-D will </w:t>
      </w:r>
      <w:r w:rsidRPr="00937DD3">
        <w:t>organize a workshop on development of an ICT-accessibility Policy for the East</w:t>
      </w:r>
      <w:r w:rsidRPr="00937DD3">
        <w:rPr>
          <w:rFonts w:eastAsia="Times New Roman"/>
          <w:b/>
          <w:bCs/>
          <w:szCs w:val="20"/>
          <w:lang w:eastAsia="en-US"/>
        </w:rPr>
        <w:t xml:space="preserve"> Africa region</w:t>
      </w:r>
      <w:r w:rsidRPr="00937DD3">
        <w:rPr>
          <w:rFonts w:eastAsia="Times New Roman"/>
          <w:szCs w:val="20"/>
          <w:lang w:eastAsia="en-US"/>
        </w:rPr>
        <w:t>. The workshop is organized by the ITU Regional Office for Africa in partnership with the East Africa Community (EAC)  and hosted by the Communications Authority of  Kenya in Nairobi, on the 6th and 7th October 2016. The objective of the workshop is to discuss and develop policy recommendations on ICT accessibility. The policy recommendations will be addressed to policy makers in EAC Member States. It is expected that, upon validation and approval, the policies will then be transposed and implemented at the national level. The recommendations will also constitute a valuable benchmark for replication across Africa.</w:t>
      </w:r>
    </w:p>
    <w:p w:rsidR="005705DE" w:rsidRPr="00937DD3" w:rsidRDefault="005705DE" w:rsidP="005705DE">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937DD3">
        <w:rPr>
          <w:rFonts w:eastAsiaTheme="minorEastAsia"/>
          <w:szCs w:val="20"/>
        </w:rPr>
        <w:t xml:space="preserve">As a follow-up of the series of “Accessible Americas - Information and Communication for ALL” events held in </w:t>
      </w:r>
      <w:hyperlink r:id="rId11" w:history="1">
        <w:r w:rsidRPr="007B3F49">
          <w:rPr>
            <w:rFonts w:eastAsiaTheme="minorEastAsia"/>
            <w:color w:val="0563C1" w:themeColor="hyperlink"/>
            <w:u w:val="single"/>
          </w:rPr>
          <w:t>2014</w:t>
        </w:r>
      </w:hyperlink>
      <w:r w:rsidRPr="00937DD3">
        <w:rPr>
          <w:rFonts w:eastAsiaTheme="minorEastAsia"/>
          <w:szCs w:val="20"/>
        </w:rPr>
        <w:t xml:space="preserve"> in Brazil, in </w:t>
      </w:r>
      <w:hyperlink r:id="rId12" w:history="1">
        <w:r w:rsidRPr="007B3F49">
          <w:rPr>
            <w:rFonts w:eastAsiaTheme="minorEastAsia"/>
            <w:color w:val="0563C1" w:themeColor="hyperlink"/>
            <w:u w:val="single"/>
          </w:rPr>
          <w:t>2015</w:t>
        </w:r>
      </w:hyperlink>
      <w:r w:rsidRPr="00937DD3">
        <w:rPr>
          <w:rFonts w:eastAsiaTheme="minorEastAsia"/>
          <w:szCs w:val="20"/>
        </w:rPr>
        <w:t xml:space="preserve"> in Colombia, </w:t>
      </w:r>
      <w:r w:rsidRPr="00937DD3">
        <w:rPr>
          <w:rFonts w:eastAsiaTheme="minorEastAsia"/>
          <w:b/>
          <w:bCs/>
          <w:szCs w:val="20"/>
        </w:rPr>
        <w:t>Accessible Americas III</w:t>
      </w:r>
      <w:r w:rsidRPr="00937DD3">
        <w:rPr>
          <w:rFonts w:eastAsiaTheme="minorEastAsia"/>
          <w:szCs w:val="20"/>
        </w:rPr>
        <w:t xml:space="preserve"> will be held from 28-30 November </w:t>
      </w:r>
      <w:hyperlink r:id="rId13" w:history="1">
        <w:r w:rsidRPr="007B3F49">
          <w:rPr>
            <w:rFonts w:eastAsiaTheme="minorEastAsia"/>
            <w:color w:val="0563C1" w:themeColor="hyperlink"/>
            <w:u w:val="single"/>
          </w:rPr>
          <w:t>2016</w:t>
        </w:r>
      </w:hyperlink>
      <w:r w:rsidRPr="007B3F49">
        <w:rPr>
          <w:rFonts w:eastAsiaTheme="minorEastAsia"/>
          <w:color w:val="0563C1" w:themeColor="hyperlink"/>
          <w:u w:val="single"/>
        </w:rPr>
        <w:t xml:space="preserve"> </w:t>
      </w:r>
      <w:r w:rsidRPr="00937DD3">
        <w:rPr>
          <w:rFonts w:eastAsiaTheme="minorEastAsia"/>
          <w:szCs w:val="20"/>
        </w:rPr>
        <w:t>in Mexico.  The Accessible Americas events have become one of the key events in the Americas region on the topic of ICT accessibility for persons with disabilities. Through these events the Americas region aims not only to bring together all involved stakeholders to work together to implement ICT Accessibility Policies but also to raise awareness, provide training, share best practices and track concrete results and progress in this topic.</w:t>
      </w:r>
    </w:p>
    <w:p w:rsidR="005705DE" w:rsidRDefault="005705DE" w:rsidP="005705DE"/>
    <w:p w:rsidR="005705DE" w:rsidRPr="00AB258E" w:rsidRDefault="005705DE" w:rsidP="005705DE">
      <w:r>
        <w:t>ITU-D Question 7/SG1 will be meeting next week on the 23</w:t>
      </w:r>
      <w:r w:rsidRPr="007B3F49">
        <w:rPr>
          <w:vertAlign w:val="superscript"/>
        </w:rPr>
        <w:t>rd</w:t>
      </w:r>
      <w:r>
        <w:t xml:space="preserve"> of September so later the reports and other documents of Q7/1 presented at this meeting will be posted on the JCA-AHF document page.</w:t>
      </w:r>
    </w:p>
    <w:p w:rsidR="005705DE" w:rsidRDefault="005705DE" w:rsidP="0070213C">
      <w:pPr>
        <w:spacing w:after="160" w:line="259" w:lineRule="auto"/>
        <w:jc w:val="center"/>
        <w:rPr>
          <w:rFonts w:asciiTheme="majorBidi" w:hAnsiTheme="majorBidi" w:cstheme="majorBidi"/>
        </w:rPr>
      </w:pPr>
    </w:p>
    <w:p w:rsidR="00012614" w:rsidRPr="0070213C" w:rsidRDefault="005705DE" w:rsidP="0070213C">
      <w:pPr>
        <w:spacing w:after="160" w:line="259" w:lineRule="auto"/>
        <w:jc w:val="center"/>
        <w:rPr>
          <w:rFonts w:asciiTheme="majorBidi" w:hAnsiTheme="majorBidi" w:cstheme="majorBidi"/>
        </w:rPr>
      </w:pPr>
      <w:bookmarkStart w:id="2" w:name="_GoBack"/>
      <w:bookmarkEnd w:id="2"/>
      <w:r>
        <w:rPr>
          <w:rFonts w:asciiTheme="majorBidi" w:hAnsiTheme="majorBidi" w:cstheme="majorBidi"/>
        </w:rPr>
        <w:t>________</w:t>
      </w:r>
      <w:r w:rsidR="0070213C">
        <w:rPr>
          <w:rFonts w:asciiTheme="majorBidi" w:hAnsiTheme="majorBidi" w:cstheme="majorBidi"/>
        </w:rPr>
        <w:t>_________</w:t>
      </w:r>
    </w:p>
    <w:sectPr w:rsidR="00012614" w:rsidRPr="0070213C" w:rsidSect="00A54F1F">
      <w:headerReference w:type="default" r:id="rId14"/>
      <w:footerReference w:type="first" r:id="rId15"/>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7C" w:rsidRDefault="00AF137C" w:rsidP="00D01A3A">
      <w:r>
        <w:separator/>
      </w:r>
    </w:p>
  </w:endnote>
  <w:endnote w:type="continuationSeparator" w:id="0">
    <w:p w:rsidR="00AF137C" w:rsidRDefault="00AF137C"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5705DE" w:rsidRPr="003A3631" w:rsidTr="005705DE">
      <w:trPr>
        <w:gridAfter w:val="1"/>
        <w:wAfter w:w="51" w:type="dxa"/>
        <w:cantSplit/>
        <w:jc w:val="center"/>
      </w:trPr>
      <w:tc>
        <w:tcPr>
          <w:tcW w:w="1616" w:type="dxa"/>
          <w:gridSpan w:val="2"/>
          <w:tcBorders>
            <w:top w:val="single" w:sz="12" w:space="0" w:color="auto"/>
          </w:tcBorders>
        </w:tcPr>
        <w:p w:rsidR="005705DE" w:rsidRPr="00857CFA" w:rsidRDefault="005705DE" w:rsidP="00857CFA">
          <w:pPr>
            <w:spacing w:before="120" w:after="60"/>
            <w:rPr>
              <w:b/>
              <w:sz w:val="22"/>
              <w:szCs w:val="22"/>
            </w:rPr>
          </w:pPr>
          <w:r w:rsidRPr="00857CFA">
            <w:rPr>
              <w:b/>
              <w:sz w:val="22"/>
              <w:szCs w:val="22"/>
            </w:rPr>
            <w:t>Contact</w:t>
          </w:r>
          <w:r w:rsidRPr="00857CFA">
            <w:rPr>
              <w:sz w:val="22"/>
              <w:szCs w:val="22"/>
            </w:rPr>
            <w:t>:</w:t>
          </w:r>
        </w:p>
      </w:tc>
      <w:tc>
        <w:tcPr>
          <w:tcW w:w="3371" w:type="dxa"/>
          <w:tcBorders>
            <w:top w:val="single" w:sz="12" w:space="0" w:color="auto"/>
          </w:tcBorders>
        </w:tcPr>
        <w:p w:rsidR="005705DE" w:rsidRPr="00A32C20" w:rsidRDefault="00C622FD" w:rsidP="00857CFA">
          <w:pPr>
            <w:spacing w:before="120" w:after="60"/>
            <w:rPr>
              <w:sz w:val="22"/>
              <w:szCs w:val="22"/>
              <w:lang w:val="es-ES_tradnl"/>
            </w:rPr>
          </w:pPr>
          <w:r w:rsidRPr="00C2566F">
            <w:rPr>
              <w:sz w:val="22"/>
              <w:szCs w:val="22"/>
              <w:lang w:val="es-ES_tradnl"/>
            </w:rPr>
            <w:t>Roxana</w:t>
          </w:r>
          <w:r>
            <w:rPr>
              <w:sz w:val="22"/>
              <w:szCs w:val="22"/>
              <w:lang w:val="es-ES_tradnl"/>
            </w:rPr>
            <w:t xml:space="preserve"> </w:t>
          </w:r>
          <w:r w:rsidRPr="00C2566F">
            <w:rPr>
              <w:sz w:val="22"/>
              <w:szCs w:val="22"/>
              <w:lang w:val="es-ES_tradnl"/>
            </w:rPr>
            <w:t>Widmer-Iliescu</w:t>
          </w:r>
        </w:p>
      </w:tc>
      <w:tc>
        <w:tcPr>
          <w:tcW w:w="4936" w:type="dxa"/>
          <w:tcBorders>
            <w:top w:val="single" w:sz="12" w:space="0" w:color="auto"/>
          </w:tcBorders>
        </w:tcPr>
        <w:p w:rsidR="005705DE" w:rsidRDefault="00C622FD" w:rsidP="00857CFA">
          <w:pPr>
            <w:spacing w:before="120" w:after="60"/>
            <w:rPr>
              <w:sz w:val="22"/>
              <w:szCs w:val="22"/>
              <w:lang w:val="es-ES_tradnl"/>
            </w:rPr>
          </w:pPr>
          <w:r w:rsidRPr="003A3631">
            <w:rPr>
              <w:sz w:val="22"/>
              <w:szCs w:val="22"/>
              <w:lang w:val="es-ES_tradnl"/>
            </w:rPr>
            <w:t xml:space="preserve">Email: </w:t>
          </w:r>
          <w:hyperlink r:id="rId1" w:history="1">
            <w:r w:rsidRPr="00CD1EE2">
              <w:rPr>
                <w:rStyle w:val="Hyperlink"/>
                <w:rFonts w:eastAsia="Times New Roman"/>
              </w:rPr>
              <w:t>roxana.widmer-iliescu@itu.int</w:t>
            </w:r>
          </w:hyperlink>
        </w:p>
      </w:tc>
    </w:tr>
    <w:tr w:rsidR="005705DE" w:rsidRPr="003A3631" w:rsidTr="005705DE">
      <w:trPr>
        <w:gridAfter w:val="1"/>
        <w:wAfter w:w="51" w:type="dxa"/>
        <w:cantSplit/>
        <w:jc w:val="center"/>
      </w:trPr>
      <w:tc>
        <w:tcPr>
          <w:tcW w:w="1616" w:type="dxa"/>
          <w:gridSpan w:val="2"/>
          <w:tcBorders>
            <w:top w:val="single" w:sz="12" w:space="0" w:color="auto"/>
          </w:tcBorders>
        </w:tcPr>
        <w:p w:rsidR="005705DE" w:rsidRPr="00857CFA" w:rsidRDefault="005705DE" w:rsidP="00857CFA">
          <w:pPr>
            <w:spacing w:before="120" w:after="60"/>
            <w:rPr>
              <w:sz w:val="22"/>
              <w:szCs w:val="22"/>
            </w:rPr>
          </w:pPr>
          <w:r w:rsidRPr="00857CFA">
            <w:rPr>
              <w:b/>
              <w:sz w:val="22"/>
              <w:szCs w:val="22"/>
            </w:rPr>
            <w:t>Contact</w:t>
          </w:r>
          <w:r w:rsidRPr="00857CFA">
            <w:rPr>
              <w:sz w:val="22"/>
              <w:szCs w:val="22"/>
            </w:rPr>
            <w:t>:</w:t>
          </w:r>
        </w:p>
      </w:tc>
      <w:tc>
        <w:tcPr>
          <w:tcW w:w="3371" w:type="dxa"/>
          <w:tcBorders>
            <w:top w:val="single" w:sz="12" w:space="0" w:color="auto"/>
          </w:tcBorders>
        </w:tcPr>
        <w:p w:rsidR="005705DE" w:rsidRPr="00857CFA" w:rsidRDefault="005705DE" w:rsidP="00857CFA">
          <w:pPr>
            <w:spacing w:before="120" w:after="60"/>
            <w:rPr>
              <w:sz w:val="22"/>
              <w:szCs w:val="22"/>
              <w:lang w:val="es-ES_tradnl"/>
            </w:rPr>
          </w:pPr>
          <w:r w:rsidRPr="00A32C20">
            <w:rPr>
              <w:sz w:val="22"/>
              <w:szCs w:val="22"/>
              <w:lang w:val="es-ES_tradnl"/>
            </w:rPr>
            <w:t>Andrea Saks</w:t>
          </w:r>
        </w:p>
      </w:tc>
      <w:tc>
        <w:tcPr>
          <w:tcW w:w="4936" w:type="dxa"/>
          <w:tcBorders>
            <w:top w:val="single" w:sz="12" w:space="0" w:color="auto"/>
          </w:tcBorders>
        </w:tcPr>
        <w:p w:rsidR="005705DE" w:rsidRPr="00857CFA" w:rsidRDefault="005705DE" w:rsidP="00857CFA">
          <w:pPr>
            <w:spacing w:before="120" w:after="60"/>
            <w:rPr>
              <w:sz w:val="22"/>
              <w:szCs w:val="22"/>
              <w:lang w:val="es-ES_tradnl"/>
            </w:rPr>
          </w:pPr>
          <w:r>
            <w:rPr>
              <w:sz w:val="22"/>
              <w:szCs w:val="22"/>
              <w:lang w:val="es-ES_tradnl"/>
            </w:rPr>
            <w:t xml:space="preserve">Email: </w:t>
          </w:r>
          <w:hyperlink r:id="rId2" w:history="1">
            <w:r w:rsidR="00C622FD" w:rsidRPr="006325E5">
              <w:rPr>
                <w:rStyle w:val="Hyperlink"/>
                <w:sz w:val="22"/>
                <w:szCs w:val="22"/>
                <w:lang w:val="es-ES_tradnl"/>
              </w:rPr>
              <w:t>andrea@andreasaks.onmicrosoft.com</w:t>
            </w:r>
          </w:hyperlink>
          <w:r w:rsidR="00C622FD">
            <w:rPr>
              <w:sz w:val="22"/>
              <w:szCs w:val="22"/>
              <w:lang w:val="es-ES_tradnl"/>
            </w:rPr>
            <w:t xml:space="preserve"> </w:t>
          </w:r>
        </w:p>
      </w:tc>
    </w:tr>
    <w:tr w:rsidR="005705DE" w:rsidRPr="00DD33CC" w:rsidTr="005705DE">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705DE" w:rsidRPr="00531342" w:rsidRDefault="005705DE"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705DE" w:rsidRDefault="00570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7C" w:rsidRDefault="00AF137C" w:rsidP="00D01A3A">
      <w:r>
        <w:separator/>
      </w:r>
    </w:p>
  </w:footnote>
  <w:footnote w:type="continuationSeparator" w:id="0">
    <w:p w:rsidR="00AF137C" w:rsidRDefault="00AF137C"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DE" w:rsidRPr="00A54F1F" w:rsidRDefault="005705DE" w:rsidP="00857CFA">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Pr>
        <w:noProof/>
        <w:sz w:val="18"/>
        <w:szCs w:val="18"/>
      </w:rPr>
      <w:t>2</w:t>
    </w:r>
    <w:r w:rsidRPr="00FB0531">
      <w:rPr>
        <w:sz w:val="18"/>
        <w:szCs w:val="18"/>
      </w:rPr>
      <w:fldChar w:fldCharType="end"/>
    </w:r>
    <w:r>
      <w:rPr>
        <w:sz w:val="18"/>
        <w:szCs w:val="18"/>
      </w:rPr>
      <w:t xml:space="preserve"> -</w:t>
    </w:r>
    <w:r>
      <w:rPr>
        <w:sz w:val="18"/>
        <w:szCs w:val="18"/>
      </w:rPr>
      <w:br/>
      <w:t>Doc</w:t>
    </w:r>
    <w:r w:rsidRPr="00FB0531">
      <w:rPr>
        <w:sz w:val="18"/>
        <w:szCs w:val="18"/>
      </w:rPr>
      <w:t xml:space="preserve"> </w:t>
    </w:r>
    <w:r>
      <w:rPr>
        <w:sz w:val="18"/>
        <w:szCs w:val="18"/>
      </w:rPr>
      <w:t>257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E4FA8"/>
    <w:multiLevelType w:val="hybridMultilevel"/>
    <w:tmpl w:val="F098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47B8B"/>
    <w:multiLevelType w:val="multilevel"/>
    <w:tmpl w:val="AB8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93DE0"/>
    <w:multiLevelType w:val="multilevel"/>
    <w:tmpl w:val="F32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0786F"/>
    <w:multiLevelType w:val="multilevel"/>
    <w:tmpl w:val="137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A18FE"/>
    <w:multiLevelType w:val="multilevel"/>
    <w:tmpl w:val="08DE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CD08DE"/>
    <w:multiLevelType w:val="multilevel"/>
    <w:tmpl w:val="D6DAEB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8958BF"/>
    <w:multiLevelType w:val="multilevel"/>
    <w:tmpl w:val="D09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62D91"/>
    <w:multiLevelType w:val="multilevel"/>
    <w:tmpl w:val="94B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52B12"/>
    <w:multiLevelType w:val="multilevel"/>
    <w:tmpl w:val="15F235A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791149E8"/>
    <w:multiLevelType w:val="multilevel"/>
    <w:tmpl w:val="16029A7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28"/>
  </w:num>
  <w:num w:numId="5">
    <w:abstractNumId w:val="1"/>
  </w:num>
  <w:num w:numId="6">
    <w:abstractNumId w:val="2"/>
  </w:num>
  <w:num w:numId="7">
    <w:abstractNumId w:val="6"/>
  </w:num>
  <w:num w:numId="8">
    <w:abstractNumId w:val="13"/>
  </w:num>
  <w:num w:numId="9">
    <w:abstractNumId w:val="31"/>
  </w:num>
  <w:num w:numId="10">
    <w:abstractNumId w:val="20"/>
  </w:num>
  <w:num w:numId="11">
    <w:abstractNumId w:val="0"/>
  </w:num>
  <w:num w:numId="12">
    <w:abstractNumId w:val="11"/>
  </w:num>
  <w:num w:numId="13">
    <w:abstractNumId w:val="4"/>
  </w:num>
  <w:num w:numId="14">
    <w:abstractNumId w:val="8"/>
  </w:num>
  <w:num w:numId="15">
    <w:abstractNumId w:val="15"/>
  </w:num>
  <w:num w:numId="16">
    <w:abstractNumId w:val="23"/>
  </w:num>
  <w:num w:numId="17">
    <w:abstractNumId w:val="21"/>
  </w:num>
  <w:num w:numId="18">
    <w:abstractNumId w:val="12"/>
  </w:num>
  <w:num w:numId="19">
    <w:abstractNumId w:val="22"/>
  </w:num>
  <w:num w:numId="20">
    <w:abstractNumId w:val="5"/>
  </w:num>
  <w:num w:numId="21">
    <w:abstractNumId w:val="29"/>
  </w:num>
  <w:num w:numId="22">
    <w:abstractNumId w:val="19"/>
  </w:num>
  <w:num w:numId="23">
    <w:abstractNumId w:val="24"/>
  </w:num>
  <w:num w:numId="24">
    <w:abstractNumId w:val="9"/>
  </w:num>
  <w:num w:numId="25">
    <w:abstractNumId w:val="26"/>
  </w:num>
  <w:num w:numId="26">
    <w:abstractNumId w:val="10"/>
  </w:num>
  <w:num w:numId="27">
    <w:abstractNumId w:val="7"/>
  </w:num>
  <w:num w:numId="28">
    <w:abstractNumId w:val="25"/>
  </w:num>
  <w:num w:numId="29">
    <w:abstractNumId w:val="14"/>
  </w:num>
  <w:num w:numId="30">
    <w:abstractNumId w:val="3"/>
  </w:num>
  <w:num w:numId="31">
    <w:abstractNumId w:val="18"/>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4CA4"/>
    <w:rsid w:val="0000547C"/>
    <w:rsid w:val="00006286"/>
    <w:rsid w:val="00012614"/>
    <w:rsid w:val="00022252"/>
    <w:rsid w:val="0003156B"/>
    <w:rsid w:val="0003186A"/>
    <w:rsid w:val="000341A7"/>
    <w:rsid w:val="0009688D"/>
    <w:rsid w:val="000C0A5E"/>
    <w:rsid w:val="00100823"/>
    <w:rsid w:val="00106F0B"/>
    <w:rsid w:val="00150FF3"/>
    <w:rsid w:val="0015751B"/>
    <w:rsid w:val="001752B2"/>
    <w:rsid w:val="001A359B"/>
    <w:rsid w:val="001B3C28"/>
    <w:rsid w:val="001B7FF2"/>
    <w:rsid w:val="001C2BAE"/>
    <w:rsid w:val="001C48EA"/>
    <w:rsid w:val="001C4CE7"/>
    <w:rsid w:val="001E7518"/>
    <w:rsid w:val="00201CF8"/>
    <w:rsid w:val="00206596"/>
    <w:rsid w:val="00270E58"/>
    <w:rsid w:val="002755B5"/>
    <w:rsid w:val="00284DF3"/>
    <w:rsid w:val="002B25C3"/>
    <w:rsid w:val="002C650B"/>
    <w:rsid w:val="002C7C0F"/>
    <w:rsid w:val="002D308F"/>
    <w:rsid w:val="002D366C"/>
    <w:rsid w:val="002F3F13"/>
    <w:rsid w:val="003072A8"/>
    <w:rsid w:val="00317157"/>
    <w:rsid w:val="00336427"/>
    <w:rsid w:val="003410DE"/>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A6C04"/>
    <w:rsid w:val="004F3D28"/>
    <w:rsid w:val="00500F6F"/>
    <w:rsid w:val="005220C3"/>
    <w:rsid w:val="00523215"/>
    <w:rsid w:val="00537F0A"/>
    <w:rsid w:val="00560389"/>
    <w:rsid w:val="005705DE"/>
    <w:rsid w:val="00593C3D"/>
    <w:rsid w:val="005E7091"/>
    <w:rsid w:val="00613AE5"/>
    <w:rsid w:val="006253E3"/>
    <w:rsid w:val="00633EA1"/>
    <w:rsid w:val="00634DE3"/>
    <w:rsid w:val="00650989"/>
    <w:rsid w:val="0067332A"/>
    <w:rsid w:val="006A1A07"/>
    <w:rsid w:val="006A3B84"/>
    <w:rsid w:val="006A5D20"/>
    <w:rsid w:val="006B761B"/>
    <w:rsid w:val="006E1948"/>
    <w:rsid w:val="006E7E33"/>
    <w:rsid w:val="006F3530"/>
    <w:rsid w:val="006F6EAD"/>
    <w:rsid w:val="0070213C"/>
    <w:rsid w:val="00726AC9"/>
    <w:rsid w:val="007414C7"/>
    <w:rsid w:val="00752E1F"/>
    <w:rsid w:val="007558E4"/>
    <w:rsid w:val="00755BE3"/>
    <w:rsid w:val="007A1233"/>
    <w:rsid w:val="007B230A"/>
    <w:rsid w:val="007E3CFE"/>
    <w:rsid w:val="007F01B9"/>
    <w:rsid w:val="007F2D03"/>
    <w:rsid w:val="00841CB7"/>
    <w:rsid w:val="00857CFA"/>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60CFD"/>
    <w:rsid w:val="009B671A"/>
    <w:rsid w:val="009C5495"/>
    <w:rsid w:val="009F00AA"/>
    <w:rsid w:val="009F64BA"/>
    <w:rsid w:val="00A006FF"/>
    <w:rsid w:val="00A04FDC"/>
    <w:rsid w:val="00A15AF4"/>
    <w:rsid w:val="00A25F51"/>
    <w:rsid w:val="00A32C20"/>
    <w:rsid w:val="00A42DBF"/>
    <w:rsid w:val="00A54F1F"/>
    <w:rsid w:val="00A80E5E"/>
    <w:rsid w:val="00A93CA6"/>
    <w:rsid w:val="00A94438"/>
    <w:rsid w:val="00AB0B99"/>
    <w:rsid w:val="00AB38AA"/>
    <w:rsid w:val="00AB638D"/>
    <w:rsid w:val="00AC11A4"/>
    <w:rsid w:val="00AC33EF"/>
    <w:rsid w:val="00AD751C"/>
    <w:rsid w:val="00AF137C"/>
    <w:rsid w:val="00AF2128"/>
    <w:rsid w:val="00BA79A0"/>
    <w:rsid w:val="00BB6513"/>
    <w:rsid w:val="00BC3A43"/>
    <w:rsid w:val="00BC6A13"/>
    <w:rsid w:val="00BD24C1"/>
    <w:rsid w:val="00BD5ECC"/>
    <w:rsid w:val="00C104A7"/>
    <w:rsid w:val="00C13FBE"/>
    <w:rsid w:val="00C20761"/>
    <w:rsid w:val="00C622FD"/>
    <w:rsid w:val="00C91B5D"/>
    <w:rsid w:val="00C932FB"/>
    <w:rsid w:val="00CB0417"/>
    <w:rsid w:val="00CF1FB9"/>
    <w:rsid w:val="00D01A3A"/>
    <w:rsid w:val="00D04D57"/>
    <w:rsid w:val="00D13E25"/>
    <w:rsid w:val="00D20061"/>
    <w:rsid w:val="00D24665"/>
    <w:rsid w:val="00D3428F"/>
    <w:rsid w:val="00D510BE"/>
    <w:rsid w:val="00D81ECE"/>
    <w:rsid w:val="00D874A6"/>
    <w:rsid w:val="00D91C5A"/>
    <w:rsid w:val="00DC1CF6"/>
    <w:rsid w:val="00E26379"/>
    <w:rsid w:val="00E3031A"/>
    <w:rsid w:val="00E54423"/>
    <w:rsid w:val="00E717C8"/>
    <w:rsid w:val="00E928C4"/>
    <w:rsid w:val="00EB683D"/>
    <w:rsid w:val="00EC0764"/>
    <w:rsid w:val="00EC098D"/>
    <w:rsid w:val="00EC0EBD"/>
    <w:rsid w:val="00EF0398"/>
    <w:rsid w:val="00F327B8"/>
    <w:rsid w:val="00F34305"/>
    <w:rsid w:val="00F471C0"/>
    <w:rsid w:val="00F81442"/>
    <w:rsid w:val="00FB7811"/>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0213C"/>
    <w:pPr>
      <w:keepNext/>
      <w:tabs>
        <w:tab w:val="num" w:pos="576"/>
      </w:tabs>
      <w:spacing w:before="240" w:after="60"/>
      <w:ind w:left="576" w:hanging="576"/>
      <w:outlineLvl w:val="1"/>
    </w:pPr>
    <w:rPr>
      <w:rFonts w:eastAsiaTheme="minorHAnsi" w:cs="Arial"/>
      <w:b/>
      <w:bCs/>
      <w:iCs/>
      <w:szCs w:val="28"/>
      <w:lang w:val="en-GB" w:eastAsia="ja-JP"/>
    </w:rPr>
  </w:style>
  <w:style w:type="paragraph" w:styleId="Heading3">
    <w:name w:val="heading 3"/>
    <w:basedOn w:val="Normal"/>
    <w:next w:val="Normal"/>
    <w:link w:val="Heading3Char"/>
    <w:uiPriority w:val="9"/>
    <w:qFormat/>
    <w:rsid w:val="0070213C"/>
    <w:pPr>
      <w:keepNext/>
      <w:tabs>
        <w:tab w:val="num" w:pos="720"/>
      </w:tabs>
      <w:spacing w:before="240" w:after="60"/>
      <w:ind w:left="720" w:hanging="720"/>
      <w:outlineLvl w:val="2"/>
    </w:pPr>
    <w:rPr>
      <w:rFonts w:eastAsiaTheme="minorHAnsi" w:cs="Arial"/>
      <w:b/>
      <w:bCs/>
      <w:szCs w:val="26"/>
      <w:lang w:val="en-GB" w:eastAsia="ja-JP"/>
    </w:rPr>
  </w:style>
  <w:style w:type="paragraph" w:styleId="Heading4">
    <w:name w:val="heading 4"/>
    <w:basedOn w:val="Normal"/>
    <w:next w:val="Normal"/>
    <w:link w:val="Heading4Char"/>
    <w:qFormat/>
    <w:rsid w:val="0070213C"/>
    <w:pPr>
      <w:keepNext/>
      <w:tabs>
        <w:tab w:val="num" w:pos="864"/>
      </w:tabs>
      <w:spacing w:before="240" w:after="60"/>
      <w:ind w:left="864" w:hanging="864"/>
      <w:outlineLvl w:val="3"/>
    </w:pPr>
    <w:rPr>
      <w:rFonts w:eastAsiaTheme="minorHAnsi"/>
      <w:b/>
      <w:bCs/>
      <w:szCs w:val="28"/>
      <w:lang w:val="en-GB" w:eastAsia="ja-JP"/>
    </w:rPr>
  </w:style>
  <w:style w:type="paragraph" w:styleId="Heading5">
    <w:name w:val="heading 5"/>
    <w:basedOn w:val="Normal"/>
    <w:next w:val="Normal"/>
    <w:link w:val="Heading5Char"/>
    <w:qFormat/>
    <w:rsid w:val="0070213C"/>
    <w:pPr>
      <w:tabs>
        <w:tab w:val="num" w:pos="1008"/>
      </w:tabs>
      <w:spacing w:before="240" w:after="60"/>
      <w:ind w:left="1008" w:hanging="1008"/>
      <w:outlineLvl w:val="4"/>
    </w:pPr>
    <w:rPr>
      <w:rFonts w:eastAsiaTheme="minorHAnsi"/>
      <w:b/>
      <w:bCs/>
      <w:i/>
      <w:iCs/>
      <w:szCs w:val="26"/>
      <w:lang w:val="en-GB" w:eastAsia="ja-JP"/>
    </w:rPr>
  </w:style>
  <w:style w:type="paragraph" w:styleId="Heading6">
    <w:name w:val="heading 6"/>
    <w:basedOn w:val="Normal"/>
    <w:next w:val="Normal"/>
    <w:link w:val="Heading6Char"/>
    <w:rsid w:val="0070213C"/>
    <w:pPr>
      <w:tabs>
        <w:tab w:val="num" w:pos="1152"/>
      </w:tabs>
      <w:spacing w:before="240" w:after="60"/>
      <w:ind w:left="1152" w:hanging="1152"/>
      <w:outlineLvl w:val="5"/>
    </w:pPr>
    <w:rPr>
      <w:rFonts w:eastAsiaTheme="minorHAnsi"/>
      <w:b/>
      <w:bCs/>
      <w:szCs w:val="22"/>
      <w:lang w:val="en-GB" w:eastAsia="ja-JP"/>
    </w:rPr>
  </w:style>
  <w:style w:type="paragraph" w:styleId="Heading7">
    <w:name w:val="heading 7"/>
    <w:basedOn w:val="Normal"/>
    <w:next w:val="Normal"/>
    <w:link w:val="Heading7Char"/>
    <w:rsid w:val="0070213C"/>
    <w:pPr>
      <w:tabs>
        <w:tab w:val="num" w:pos="1296"/>
      </w:tabs>
      <w:spacing w:before="240" w:after="60"/>
      <w:ind w:left="1296" w:hanging="1296"/>
      <w:outlineLvl w:val="6"/>
    </w:pPr>
    <w:rPr>
      <w:rFonts w:eastAsiaTheme="minorHAnsi"/>
      <w:lang w:val="en-GB" w:eastAsia="ja-JP"/>
    </w:rPr>
  </w:style>
  <w:style w:type="paragraph" w:styleId="Heading8">
    <w:name w:val="heading 8"/>
    <w:basedOn w:val="Normal"/>
    <w:next w:val="Normal"/>
    <w:link w:val="Heading8Char"/>
    <w:rsid w:val="0070213C"/>
    <w:pPr>
      <w:tabs>
        <w:tab w:val="num" w:pos="1440"/>
      </w:tabs>
      <w:spacing w:before="240" w:after="60"/>
      <w:ind w:left="1440" w:hanging="1440"/>
      <w:outlineLvl w:val="7"/>
    </w:pPr>
    <w:rPr>
      <w:rFonts w:eastAsiaTheme="minorHAnsi"/>
      <w:i/>
      <w:iCs/>
      <w:lang w:val="en-GB" w:eastAsia="ja-JP"/>
    </w:rPr>
  </w:style>
  <w:style w:type="paragraph" w:styleId="Heading9">
    <w:name w:val="heading 9"/>
    <w:basedOn w:val="Normal"/>
    <w:next w:val="Normal"/>
    <w:link w:val="Heading9Char"/>
    <w:rsid w:val="0070213C"/>
    <w:pPr>
      <w:tabs>
        <w:tab w:val="num" w:pos="1584"/>
      </w:tabs>
      <w:spacing w:before="240" w:after="60"/>
      <w:ind w:left="1584" w:hanging="1584"/>
      <w:outlineLvl w:val="8"/>
    </w:pPr>
    <w:rPr>
      <w:rFonts w:eastAsiaTheme="minorHAnsi"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character" w:customStyle="1" w:styleId="Heading2Char">
    <w:name w:val="Heading 2 Char"/>
    <w:basedOn w:val="DefaultParagraphFont"/>
    <w:link w:val="Heading2"/>
    <w:uiPriority w:val="9"/>
    <w:rsid w:val="0070213C"/>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uiPriority w:val="9"/>
    <w:rsid w:val="0070213C"/>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70213C"/>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70213C"/>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70213C"/>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70213C"/>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70213C"/>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70213C"/>
    <w:rPr>
      <w:rFonts w:ascii="Times New Roman" w:eastAsiaTheme="minorHAnsi" w:hAnsi="Times New Roman" w:cs="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D/Regional-Presence/Americas/Pages/EVENTS/2016/15526.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ITU-D/Regional-Presence/Americas/Pages/EVENTS/2015/1104-CO-2ndAcc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D/Regional-Presence/Americas/Pages/EVENTS/2014/1112-BR-Accssblty.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ndrea@andreasaks.onmicrosoft.com" TargetMode="External"/><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8D75C-5468-4EE2-A6BC-8A68BB4C90B1}"/>
</file>

<file path=customXml/itemProps2.xml><?xml version="1.0" encoding="utf-8"?>
<ds:datastoreItem xmlns:ds="http://schemas.openxmlformats.org/officeDocument/2006/customXml" ds:itemID="{2A51C09C-FAED-4776-9216-B6C07AEA39BF}"/>
</file>

<file path=customXml/itemProps3.xml><?xml version="1.0" encoding="utf-8"?>
<ds:datastoreItem xmlns:ds="http://schemas.openxmlformats.org/officeDocument/2006/customXml" ds:itemID="{843E43BF-2EB8-4733-BA70-B4C9CE6A989C}"/>
</file>

<file path=customXml/itemProps4.xml><?xml version="1.0" encoding="utf-8"?>
<ds:datastoreItem xmlns:ds="http://schemas.openxmlformats.org/officeDocument/2006/customXml" ds:itemID="{A4FABE1D-A7CB-475D-8033-DF064BFC2620}"/>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3</cp:revision>
  <cp:lastPrinted>2016-09-13T13:52:00Z</cp:lastPrinted>
  <dcterms:created xsi:type="dcterms:W3CDTF">2016-09-13T14:32:00Z</dcterms:created>
  <dcterms:modified xsi:type="dcterms:W3CDTF">2016-09-13T14:58:00Z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