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D764EE" w:rsidRPr="00D764EE">
        <w:trPr>
          <w:cantSplit/>
        </w:trPr>
        <w:tc>
          <w:tcPr>
            <w:tcW w:w="4857" w:type="dxa"/>
            <w:gridSpan w:val="2"/>
          </w:tcPr>
          <w:p w:rsidR="00D764EE" w:rsidRPr="00D764EE" w:rsidRDefault="00D764EE" w:rsidP="00D764EE">
            <w:pPr>
              <w:rPr>
                <w:sz w:val="20"/>
              </w:rPr>
            </w:pPr>
            <w:bookmarkStart w:id="0" w:name="dsg" w:colFirst="1" w:colLast="1"/>
            <w:bookmarkStart w:id="1" w:name="dtableau"/>
            <w:r w:rsidRPr="00D764EE">
              <w:rPr>
                <w:sz w:val="20"/>
              </w:rPr>
              <w:t>INTERNATIONAL TELECOMMUNICATION UNION</w:t>
            </w:r>
          </w:p>
        </w:tc>
        <w:tc>
          <w:tcPr>
            <w:tcW w:w="5066" w:type="dxa"/>
          </w:tcPr>
          <w:p w:rsidR="00D764EE" w:rsidRPr="00D764EE" w:rsidRDefault="008D6F80" w:rsidP="00D764EE">
            <w:pPr>
              <w:jc w:val="right"/>
              <w:rPr>
                <w:b/>
                <w:bCs/>
                <w:smallCaps/>
                <w:sz w:val="32"/>
              </w:rPr>
            </w:pPr>
            <w:r w:rsidRPr="0055743F">
              <w:rPr>
                <w:rFonts w:eastAsia="MS Mincho"/>
                <w:b/>
                <w:bCs/>
                <w:smallCaps/>
                <w:sz w:val="28"/>
              </w:rPr>
              <w:t xml:space="preserve">Joint Coordination Activity </w:t>
            </w:r>
            <w:r w:rsidRPr="0055743F">
              <w:rPr>
                <w:rFonts w:eastAsia="MS Mincho"/>
                <w:b/>
                <w:bCs/>
                <w:smallCaps/>
                <w:sz w:val="28"/>
              </w:rPr>
              <w:br/>
              <w:t xml:space="preserve"> On Accessibility and Human Factors</w:t>
            </w:r>
          </w:p>
        </w:tc>
      </w:tr>
      <w:tr w:rsidR="00D764EE" w:rsidRPr="00D764EE">
        <w:trPr>
          <w:cantSplit/>
          <w:trHeight w:val="461"/>
        </w:trPr>
        <w:tc>
          <w:tcPr>
            <w:tcW w:w="4857" w:type="dxa"/>
            <w:gridSpan w:val="2"/>
            <w:vMerge w:val="restart"/>
            <w:tcBorders>
              <w:bottom w:val="nil"/>
            </w:tcBorders>
          </w:tcPr>
          <w:p w:rsidR="00D764EE" w:rsidRPr="00D764EE" w:rsidRDefault="00D764EE" w:rsidP="00D764EE">
            <w:pPr>
              <w:rPr>
                <w:b/>
                <w:bCs/>
                <w:sz w:val="26"/>
              </w:rPr>
            </w:pPr>
            <w:bookmarkStart w:id="2" w:name="dnum" w:colFirst="1" w:colLast="1"/>
            <w:bookmarkEnd w:id="0"/>
            <w:r w:rsidRPr="00D764EE">
              <w:rPr>
                <w:b/>
                <w:bCs/>
                <w:sz w:val="26"/>
              </w:rPr>
              <w:t>TELECOMMUNICATION</w:t>
            </w:r>
            <w:r w:rsidRPr="00D764EE">
              <w:rPr>
                <w:b/>
                <w:bCs/>
                <w:sz w:val="26"/>
              </w:rPr>
              <w:br/>
              <w:t>STANDARDIZATION SECTOR</w:t>
            </w:r>
          </w:p>
          <w:p w:rsidR="00D764EE" w:rsidRPr="00D764EE" w:rsidRDefault="00D764EE" w:rsidP="00D764EE">
            <w:pPr>
              <w:rPr>
                <w:smallCaps/>
                <w:sz w:val="20"/>
              </w:rPr>
            </w:pPr>
            <w:r w:rsidRPr="00D764EE">
              <w:rPr>
                <w:sz w:val="20"/>
              </w:rPr>
              <w:t xml:space="preserve">STUDY PERIOD </w:t>
            </w:r>
            <w:r>
              <w:rPr>
                <w:sz w:val="20"/>
              </w:rPr>
              <w:t>2013-2016</w:t>
            </w:r>
          </w:p>
        </w:tc>
        <w:tc>
          <w:tcPr>
            <w:tcW w:w="5066" w:type="dxa"/>
            <w:tcBorders>
              <w:bottom w:val="nil"/>
            </w:tcBorders>
          </w:tcPr>
          <w:p w:rsidR="00D764EE" w:rsidRPr="00D764EE" w:rsidRDefault="008D6F80" w:rsidP="008909AB">
            <w:pPr>
              <w:pStyle w:val="Docnumber"/>
            </w:pPr>
            <w:r>
              <w:t xml:space="preserve">Doc </w:t>
            </w:r>
            <w:r w:rsidR="008909AB">
              <w:t>104</w:t>
            </w:r>
          </w:p>
        </w:tc>
      </w:tr>
      <w:tr w:rsidR="00D764EE" w:rsidRPr="00D764EE">
        <w:trPr>
          <w:cantSplit/>
          <w:trHeight w:val="355"/>
        </w:trPr>
        <w:tc>
          <w:tcPr>
            <w:tcW w:w="4857" w:type="dxa"/>
            <w:gridSpan w:val="2"/>
            <w:vMerge/>
            <w:tcBorders>
              <w:bottom w:val="single" w:sz="12" w:space="0" w:color="auto"/>
            </w:tcBorders>
          </w:tcPr>
          <w:p w:rsidR="00D764EE" w:rsidRPr="00D764EE" w:rsidRDefault="00D764EE" w:rsidP="00D764EE">
            <w:pPr>
              <w:rPr>
                <w:b/>
                <w:bCs/>
                <w:sz w:val="26"/>
              </w:rPr>
            </w:pPr>
            <w:bookmarkStart w:id="3" w:name="dorlang" w:colFirst="1" w:colLast="1"/>
            <w:bookmarkEnd w:id="2"/>
          </w:p>
        </w:tc>
        <w:tc>
          <w:tcPr>
            <w:tcW w:w="5066" w:type="dxa"/>
            <w:tcBorders>
              <w:bottom w:val="single" w:sz="12" w:space="0" w:color="auto"/>
            </w:tcBorders>
          </w:tcPr>
          <w:p w:rsidR="00D764EE" w:rsidRDefault="00D764EE" w:rsidP="00D764EE">
            <w:pPr>
              <w:jc w:val="right"/>
              <w:rPr>
                <w:b/>
                <w:bCs/>
                <w:sz w:val="28"/>
              </w:rPr>
            </w:pPr>
            <w:r>
              <w:rPr>
                <w:b/>
                <w:bCs/>
                <w:sz w:val="28"/>
              </w:rPr>
              <w:t>English only</w:t>
            </w:r>
          </w:p>
          <w:p w:rsidR="00D764EE" w:rsidRPr="00D764EE" w:rsidRDefault="00D764EE" w:rsidP="00D764EE">
            <w:pPr>
              <w:jc w:val="right"/>
              <w:rPr>
                <w:b/>
                <w:bCs/>
                <w:sz w:val="28"/>
              </w:rPr>
            </w:pPr>
            <w:r>
              <w:rPr>
                <w:b/>
                <w:bCs/>
                <w:sz w:val="28"/>
              </w:rPr>
              <w:t>Original: English</w:t>
            </w:r>
          </w:p>
        </w:tc>
      </w:tr>
      <w:tr w:rsidR="00F96828" w:rsidRPr="00D764EE">
        <w:trPr>
          <w:cantSplit/>
          <w:trHeight w:val="357"/>
        </w:trPr>
        <w:tc>
          <w:tcPr>
            <w:tcW w:w="1617" w:type="dxa"/>
          </w:tcPr>
          <w:p w:rsidR="00F96828" w:rsidRPr="00D764EE" w:rsidRDefault="00F96828" w:rsidP="00D764EE">
            <w:pPr>
              <w:rPr>
                <w:b/>
                <w:bCs/>
              </w:rPr>
            </w:pPr>
          </w:p>
        </w:tc>
        <w:tc>
          <w:tcPr>
            <w:tcW w:w="8306" w:type="dxa"/>
            <w:gridSpan w:val="2"/>
          </w:tcPr>
          <w:p w:rsidR="00F96828" w:rsidRPr="00D764EE" w:rsidRDefault="00F96828" w:rsidP="00F96828">
            <w:pPr>
              <w:jc w:val="right"/>
            </w:pPr>
            <w:r w:rsidRPr="003962E2">
              <w:t>Geneva, 6 November 2013</w:t>
            </w:r>
          </w:p>
        </w:tc>
      </w:tr>
      <w:tr w:rsidR="00D764EE" w:rsidRPr="00D764EE">
        <w:trPr>
          <w:cantSplit/>
          <w:trHeight w:val="357"/>
        </w:trPr>
        <w:tc>
          <w:tcPr>
            <w:tcW w:w="1617" w:type="dxa"/>
          </w:tcPr>
          <w:p w:rsidR="00D764EE" w:rsidRPr="00D764EE" w:rsidRDefault="00D764EE" w:rsidP="00D764EE">
            <w:pPr>
              <w:rPr>
                <w:b/>
                <w:bCs/>
              </w:rPr>
            </w:pPr>
            <w:bookmarkStart w:id="4" w:name="dsource" w:colFirst="1" w:colLast="1"/>
            <w:bookmarkStart w:id="5" w:name="_GoBack"/>
            <w:bookmarkEnd w:id="3"/>
            <w:bookmarkEnd w:id="5"/>
            <w:r w:rsidRPr="00D764EE">
              <w:rPr>
                <w:b/>
                <w:bCs/>
              </w:rPr>
              <w:t>Source:</w:t>
            </w:r>
          </w:p>
        </w:tc>
        <w:tc>
          <w:tcPr>
            <w:tcW w:w="8306" w:type="dxa"/>
            <w:gridSpan w:val="2"/>
          </w:tcPr>
          <w:p w:rsidR="00D764EE" w:rsidRPr="00D764EE" w:rsidRDefault="00D764EE" w:rsidP="00D764EE">
            <w:r w:rsidRPr="00D764EE">
              <w:t>Rapporteur Q26/16 a.i.</w:t>
            </w:r>
          </w:p>
        </w:tc>
      </w:tr>
      <w:tr w:rsidR="00D764EE" w:rsidRPr="00D764EE">
        <w:trPr>
          <w:cantSplit/>
          <w:trHeight w:val="357"/>
        </w:trPr>
        <w:tc>
          <w:tcPr>
            <w:tcW w:w="1617" w:type="dxa"/>
            <w:tcBorders>
              <w:bottom w:val="single" w:sz="12" w:space="0" w:color="auto"/>
            </w:tcBorders>
          </w:tcPr>
          <w:p w:rsidR="00D764EE" w:rsidRPr="00D764EE" w:rsidRDefault="00D764EE" w:rsidP="00D764EE">
            <w:pPr>
              <w:spacing w:after="120"/>
            </w:pPr>
            <w:bookmarkStart w:id="6" w:name="dtitle1" w:colFirst="1" w:colLast="1"/>
            <w:bookmarkEnd w:id="4"/>
            <w:r w:rsidRPr="00D764EE">
              <w:rPr>
                <w:b/>
                <w:bCs/>
              </w:rPr>
              <w:t>Title:</w:t>
            </w:r>
          </w:p>
        </w:tc>
        <w:tc>
          <w:tcPr>
            <w:tcW w:w="8306" w:type="dxa"/>
            <w:gridSpan w:val="2"/>
            <w:tcBorders>
              <w:bottom w:val="single" w:sz="12" w:space="0" w:color="auto"/>
            </w:tcBorders>
          </w:tcPr>
          <w:p w:rsidR="00D764EE" w:rsidRPr="00D764EE" w:rsidRDefault="00D764EE" w:rsidP="00D764EE">
            <w:pPr>
              <w:spacing w:after="120"/>
            </w:pPr>
            <w:r w:rsidRPr="00D764EE">
              <w:t>Information accessibility work in ISO/IEC (Guide 71 and JTC1 SWG-A)</w:t>
            </w:r>
          </w:p>
        </w:tc>
      </w:tr>
      <w:bookmarkEnd w:id="1"/>
      <w:bookmarkEnd w:id="6"/>
    </w:tbl>
    <w:p w:rsidR="00DC4BC9" w:rsidRDefault="00DC4BC9" w:rsidP="00DC4BC9"/>
    <w:p w:rsidR="00DC4BC9" w:rsidRDefault="00DC4BC9" w:rsidP="00DC4BC9">
      <w:r>
        <w:t>The following information was provided by Ms Kate Grant (UK) on the updates of ISO/IEC activities on accessibility, in particular ISO/IEC Guide 71 and JTC1 SWG-A.</w:t>
      </w:r>
    </w:p>
    <w:p w:rsidR="00DC4BC9" w:rsidRDefault="00DC4BC9" w:rsidP="00DC4BC9"/>
    <w:p w:rsidR="00DC4BC9" w:rsidRDefault="00DC4BC9" w:rsidP="00DC4BC9">
      <w:pPr>
        <w:pStyle w:val="Heading1"/>
        <w:numPr>
          <w:ilvl w:val="0"/>
          <w:numId w:val="0"/>
        </w:numPr>
        <w:rPr>
          <w:sz w:val="28"/>
          <w:szCs w:val="28"/>
        </w:rPr>
      </w:pPr>
      <w:r>
        <w:rPr>
          <w:sz w:val="28"/>
          <w:szCs w:val="28"/>
        </w:rPr>
        <w:t>Update on accessibility-related standardisation activities.</w:t>
      </w:r>
    </w:p>
    <w:p w:rsidR="00DC4BC9" w:rsidRPr="00F53526" w:rsidRDefault="00DC4BC9" w:rsidP="00DC4BC9">
      <w:pPr>
        <w:pStyle w:val="Heading1"/>
        <w:numPr>
          <w:ilvl w:val="0"/>
          <w:numId w:val="0"/>
        </w:numPr>
        <w:rPr>
          <w:sz w:val="28"/>
          <w:szCs w:val="28"/>
        </w:rPr>
      </w:pPr>
      <w:r w:rsidRPr="00F53526">
        <w:rPr>
          <w:sz w:val="28"/>
          <w:szCs w:val="28"/>
        </w:rPr>
        <w:t>1</w:t>
      </w:r>
      <w:r w:rsidRPr="00F53526">
        <w:rPr>
          <w:sz w:val="28"/>
          <w:szCs w:val="28"/>
        </w:rPr>
        <w:tab/>
      </w:r>
      <w:r>
        <w:rPr>
          <w:sz w:val="28"/>
          <w:szCs w:val="28"/>
        </w:rPr>
        <w:t>Guide 71</w:t>
      </w:r>
    </w:p>
    <w:p w:rsidR="00DC4BC9" w:rsidRDefault="00DC4BC9" w:rsidP="00DC4BC9">
      <w:r>
        <w:t>The penultimate draft is being reviewed by committee members prior to the meeting in US in December after which it is hoped it will be in shape for submission to SMB and TMB and the final phase of commenting by NBs etc.</w:t>
      </w:r>
    </w:p>
    <w:p w:rsidR="00DC4BC9" w:rsidRDefault="00DC4BC9" w:rsidP="00DC4BC9">
      <w:pPr>
        <w:rPr>
          <w:lang w:val="en-US"/>
        </w:rPr>
      </w:pPr>
      <w:r>
        <w:rPr>
          <w:lang w:val="en-US"/>
        </w:rPr>
        <w:t>The guide details i</w:t>
      </w:r>
      <w:r w:rsidRPr="00CC0C6A">
        <w:rPr>
          <w:lang w:val="en-US"/>
        </w:rPr>
        <w:t>ssues to consider in support of accessibility in the standards development process</w:t>
      </w:r>
      <w:r>
        <w:rPr>
          <w:lang w:val="en-US"/>
        </w:rPr>
        <w:t>, describes how to apply the guide and considers s</w:t>
      </w:r>
      <w:r w:rsidRPr="00CC0C6A">
        <w:rPr>
          <w:lang w:val="en-US"/>
        </w:rPr>
        <w:t>trategies for addressing user accessibility needs and design considerations in standards</w:t>
      </w:r>
      <w:r>
        <w:rPr>
          <w:lang w:val="en-US"/>
        </w:rPr>
        <w:t>.</w:t>
      </w:r>
    </w:p>
    <w:p w:rsidR="00DC4BC9" w:rsidRPr="00CC0C6A" w:rsidRDefault="00DC4BC9" w:rsidP="00DC4BC9">
      <w:pPr>
        <w:rPr>
          <w:lang w:val="en-US"/>
        </w:rPr>
      </w:pPr>
      <w:r>
        <w:rPr>
          <w:lang w:val="en-US"/>
        </w:rPr>
        <w:t xml:space="preserve">The </w:t>
      </w:r>
      <w:r w:rsidRPr="00CC0C6A">
        <w:rPr>
          <w:lang w:val="en-US"/>
        </w:rPr>
        <w:t>guide identifies two complementary approaches to integrating accessibility into a specific standard:</w:t>
      </w:r>
    </w:p>
    <w:p w:rsidR="00DC4BC9" w:rsidRPr="00CC0C6A" w:rsidRDefault="00DC4BC9" w:rsidP="00DC4BC9">
      <w:pPr>
        <w:numPr>
          <w:ilvl w:val="0"/>
          <w:numId w:val="11"/>
        </w:numPr>
        <w:spacing w:line="230" w:lineRule="atLeast"/>
        <w:jc w:val="both"/>
        <w:rPr>
          <w:lang w:val="en-US"/>
        </w:rPr>
      </w:pPr>
      <w:r w:rsidRPr="00CC0C6A">
        <w:rPr>
          <w:b/>
          <w:lang w:val="en-US"/>
        </w:rPr>
        <w:t>a system goals approach</w:t>
      </w:r>
      <w:r w:rsidRPr="00CC0C6A">
        <w:rPr>
          <w:lang w:val="en-US"/>
        </w:rPr>
        <w:t>, which can be used to identify user accessibility needs that can, in turn, be used to identify accessibility-related requirements and recommendations for a standardization project</w:t>
      </w:r>
    </w:p>
    <w:p w:rsidR="00DC4BC9" w:rsidRDefault="00DC4BC9" w:rsidP="00DC4BC9">
      <w:pPr>
        <w:numPr>
          <w:ilvl w:val="0"/>
          <w:numId w:val="11"/>
        </w:numPr>
        <w:spacing w:line="230" w:lineRule="atLeast"/>
        <w:jc w:val="both"/>
        <w:rPr>
          <w:lang w:val="en-US"/>
        </w:rPr>
      </w:pPr>
      <w:r w:rsidRPr="00CC0C6A">
        <w:rPr>
          <w:b/>
          <w:lang w:val="en-US"/>
        </w:rPr>
        <w:t>a human characteristics approach</w:t>
      </w:r>
      <w:r w:rsidRPr="00CC0C6A">
        <w:rPr>
          <w:lang w:val="en-US"/>
        </w:rPr>
        <w:t>, which can be used to identify considerations for accessible design that can, in turn, also be used to identify accessibility-related requirements and recommendations for a standardization project</w:t>
      </w:r>
    </w:p>
    <w:p w:rsidR="00DC4BC9" w:rsidRPr="00CC0C6A" w:rsidRDefault="00DC4BC9" w:rsidP="00DC4BC9">
      <w:pPr>
        <w:spacing w:line="230" w:lineRule="atLeast"/>
        <w:jc w:val="both"/>
        <w:rPr>
          <w:lang w:val="en-US"/>
        </w:rPr>
      </w:pPr>
      <w:r>
        <w:rPr>
          <w:noProof/>
          <w:lang w:val="fr-FR" w:eastAsia="zh-CN"/>
        </w:rPr>
        <w:lastRenderedPageBreak/>
        <w:drawing>
          <wp:inline distT="0" distB="0" distL="0" distR="0" wp14:anchorId="4E3186B5" wp14:editId="5D09A964">
            <wp:extent cx="6297930" cy="3427730"/>
            <wp:effectExtent l="0" t="0" r="7620" b="1270"/>
            <wp:docPr id="1" name="Picture 1" descr="C:\Users\weissinger\AppData\Local\Microsoft\Windows\Temporary Internet Files\Content.Outlook\IDY3CIF1\Guide-71_Figure-1-Flowchart_MFS-v9_2013-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ssinger\AppData\Local\Microsoft\Windows\Temporary Internet Files\Content.Outlook\IDY3CIF1\Guide-71_Figure-1-Flowchart_MFS-v9_2013-09-17.jpg"/>
                    <pic:cNvPicPr>
                      <a:picLocks noChangeAspect="1" noChangeArrowheads="1"/>
                    </pic:cNvPicPr>
                  </pic:nvPicPr>
                  <pic:blipFill>
                    <a:blip r:embed="rId8">
                      <a:extLst>
                        <a:ext uri="{28A0092B-C50C-407E-A947-70E740481C1C}">
                          <a14:useLocalDpi xmlns:a14="http://schemas.microsoft.com/office/drawing/2010/main" val="0"/>
                        </a:ext>
                      </a:extLst>
                    </a:blip>
                    <a:srcRect l="9494" t="7903" r="10387" b="14349"/>
                    <a:stretch>
                      <a:fillRect/>
                    </a:stretch>
                  </pic:blipFill>
                  <pic:spPr bwMode="auto">
                    <a:xfrm>
                      <a:off x="0" y="0"/>
                      <a:ext cx="6297930" cy="3427730"/>
                    </a:xfrm>
                    <a:prstGeom prst="rect">
                      <a:avLst/>
                    </a:prstGeom>
                    <a:noFill/>
                    <a:ln>
                      <a:noFill/>
                    </a:ln>
                  </pic:spPr>
                </pic:pic>
              </a:graphicData>
            </a:graphic>
          </wp:inline>
        </w:drawing>
      </w:r>
    </w:p>
    <w:p w:rsidR="00DC4BC9" w:rsidRDefault="00DC4BC9" w:rsidP="00DC4BC9">
      <w:pPr>
        <w:rPr>
          <w:i/>
          <w:lang w:val="en-US"/>
        </w:rPr>
      </w:pPr>
      <w:r w:rsidRPr="00CC0C6A">
        <w:rPr>
          <w:i/>
          <w:lang w:val="en-US"/>
        </w:rPr>
        <w:t>Two approaches to identifying standard-specific requirements and recommendations to address accessibility</w:t>
      </w:r>
    </w:p>
    <w:p w:rsidR="00DC4BC9" w:rsidRDefault="00DC4BC9" w:rsidP="00DC4BC9">
      <w:pPr>
        <w:pStyle w:val="Heading2"/>
        <w:numPr>
          <w:ilvl w:val="0"/>
          <w:numId w:val="0"/>
        </w:numPr>
        <w:rPr>
          <w:lang w:val="en-US"/>
        </w:rPr>
      </w:pPr>
      <w:r>
        <w:rPr>
          <w:lang w:val="en-US"/>
        </w:rPr>
        <w:t>1.1</w:t>
      </w:r>
      <w:r>
        <w:rPr>
          <w:lang w:val="en-US"/>
        </w:rPr>
        <w:tab/>
        <w:t>Systems Goal Approach</w:t>
      </w:r>
    </w:p>
    <w:p w:rsidR="00DC4BC9" w:rsidRDefault="00DC4BC9" w:rsidP="00DC4BC9">
      <w:pPr>
        <w:rPr>
          <w:lang w:val="en-US"/>
        </w:rPr>
      </w:pPr>
      <w:r>
        <w:rPr>
          <w:lang w:val="en-US"/>
        </w:rPr>
        <w:t>Eleven goals have been identified</w:t>
      </w:r>
      <w:bookmarkStart w:id="7" w:name="_Toc369865677"/>
      <w:bookmarkStart w:id="8" w:name="_Toc370730603"/>
      <w:r>
        <w:rPr>
          <w:lang w:val="en-US"/>
        </w:rPr>
        <w:t xml:space="preserve"> and the guide provides an explanation of the goal, the background, a short discussion, a paragraph on applying the goal and lists some typical user accessibility needs associated with the goal.</w:t>
      </w:r>
      <w:r w:rsidRPr="00CC0C6A">
        <w:rPr>
          <w:lang w:val="en-US"/>
        </w:rPr>
        <w:tab/>
      </w:r>
    </w:p>
    <w:p w:rsidR="00DC4BC9" w:rsidRDefault="00DC4BC9" w:rsidP="00DC4BC9">
      <w:pPr>
        <w:numPr>
          <w:ilvl w:val="0"/>
          <w:numId w:val="13"/>
        </w:numPr>
        <w:rPr>
          <w:lang w:val="en-US"/>
        </w:rPr>
      </w:pPr>
      <w:r w:rsidRPr="00CC0C6A">
        <w:rPr>
          <w:lang w:val="en-US"/>
        </w:rPr>
        <w:t>Suitability for the widest range of users</w:t>
      </w:r>
      <w:bookmarkStart w:id="9" w:name="_Toc369865678"/>
      <w:bookmarkStart w:id="10" w:name="_Toc370730604"/>
      <w:bookmarkEnd w:id="7"/>
      <w:bookmarkEnd w:id="8"/>
    </w:p>
    <w:p w:rsidR="00DC4BC9" w:rsidRDefault="00DC4BC9" w:rsidP="00DC4BC9">
      <w:pPr>
        <w:numPr>
          <w:ilvl w:val="0"/>
          <w:numId w:val="13"/>
        </w:numPr>
        <w:rPr>
          <w:lang w:val="en-US"/>
        </w:rPr>
      </w:pPr>
      <w:r w:rsidRPr="00CC0C6A">
        <w:rPr>
          <w:lang w:val="en-US"/>
        </w:rPr>
        <w:t>Conformity with user expectations</w:t>
      </w:r>
      <w:bookmarkStart w:id="11" w:name="_Toc369865679"/>
      <w:bookmarkStart w:id="12" w:name="_Toc370730605"/>
      <w:bookmarkEnd w:id="9"/>
      <w:bookmarkEnd w:id="10"/>
    </w:p>
    <w:p w:rsidR="00DC4BC9" w:rsidRDefault="00DC4BC9" w:rsidP="00DC4BC9">
      <w:pPr>
        <w:numPr>
          <w:ilvl w:val="0"/>
          <w:numId w:val="13"/>
        </w:numPr>
        <w:rPr>
          <w:lang w:val="en-US"/>
        </w:rPr>
      </w:pPr>
      <w:r w:rsidRPr="00CC0C6A">
        <w:rPr>
          <w:lang w:val="en-US"/>
        </w:rPr>
        <w:t>Support for individualization</w:t>
      </w:r>
      <w:bookmarkStart w:id="13" w:name="_Toc369865680"/>
      <w:bookmarkStart w:id="14" w:name="_Toc370730606"/>
      <w:bookmarkEnd w:id="11"/>
      <w:bookmarkEnd w:id="12"/>
    </w:p>
    <w:p w:rsidR="00DC4BC9" w:rsidRDefault="00DC4BC9" w:rsidP="00DC4BC9">
      <w:pPr>
        <w:numPr>
          <w:ilvl w:val="0"/>
          <w:numId w:val="13"/>
        </w:numPr>
        <w:rPr>
          <w:lang w:val="en-US"/>
        </w:rPr>
      </w:pPr>
      <w:r w:rsidRPr="00CC0C6A">
        <w:rPr>
          <w:lang w:val="en-US"/>
        </w:rPr>
        <w:t>Approachability</w:t>
      </w:r>
      <w:bookmarkStart w:id="15" w:name="_Toc369865681"/>
      <w:bookmarkStart w:id="16" w:name="_Toc370730607"/>
      <w:bookmarkEnd w:id="13"/>
      <w:bookmarkEnd w:id="14"/>
    </w:p>
    <w:p w:rsidR="00DC4BC9" w:rsidRDefault="00DC4BC9" w:rsidP="00DC4BC9">
      <w:pPr>
        <w:numPr>
          <w:ilvl w:val="0"/>
          <w:numId w:val="13"/>
        </w:numPr>
        <w:rPr>
          <w:lang w:val="en-US"/>
        </w:rPr>
      </w:pPr>
      <w:proofErr w:type="spellStart"/>
      <w:r w:rsidRPr="00CC0C6A">
        <w:rPr>
          <w:lang w:val="en-US"/>
        </w:rPr>
        <w:t>Perceivability</w:t>
      </w:r>
      <w:bookmarkStart w:id="17" w:name="_Toc369865682"/>
      <w:bookmarkStart w:id="18" w:name="_Toc370730608"/>
      <w:bookmarkEnd w:id="15"/>
      <w:bookmarkEnd w:id="16"/>
      <w:proofErr w:type="spellEnd"/>
    </w:p>
    <w:p w:rsidR="00DC4BC9" w:rsidRDefault="00DC4BC9" w:rsidP="00DC4BC9">
      <w:pPr>
        <w:numPr>
          <w:ilvl w:val="0"/>
          <w:numId w:val="13"/>
        </w:numPr>
        <w:rPr>
          <w:lang w:val="en-US"/>
        </w:rPr>
      </w:pPr>
      <w:r w:rsidRPr="00CC0C6A">
        <w:rPr>
          <w:lang w:val="en-US"/>
        </w:rPr>
        <w:t>Understandability</w:t>
      </w:r>
      <w:bookmarkStart w:id="19" w:name="_Toc369865683"/>
      <w:bookmarkStart w:id="20" w:name="_Toc370730609"/>
      <w:bookmarkEnd w:id="17"/>
      <w:bookmarkEnd w:id="18"/>
    </w:p>
    <w:p w:rsidR="00DC4BC9" w:rsidRDefault="00DC4BC9" w:rsidP="00DC4BC9">
      <w:pPr>
        <w:numPr>
          <w:ilvl w:val="0"/>
          <w:numId w:val="13"/>
        </w:numPr>
        <w:rPr>
          <w:lang w:val="en-US"/>
        </w:rPr>
      </w:pPr>
      <w:r w:rsidRPr="00CC0C6A">
        <w:rPr>
          <w:lang w:val="en-US"/>
        </w:rPr>
        <w:t>Controllability</w:t>
      </w:r>
      <w:bookmarkStart w:id="21" w:name="_Toc369865684"/>
      <w:bookmarkStart w:id="22" w:name="_Toc370730610"/>
      <w:bookmarkEnd w:id="19"/>
      <w:bookmarkEnd w:id="20"/>
    </w:p>
    <w:p w:rsidR="00DC4BC9" w:rsidRDefault="00DC4BC9" w:rsidP="00DC4BC9">
      <w:pPr>
        <w:numPr>
          <w:ilvl w:val="0"/>
          <w:numId w:val="13"/>
        </w:numPr>
        <w:rPr>
          <w:lang w:val="en-US"/>
        </w:rPr>
      </w:pPr>
      <w:r w:rsidRPr="00CC0C6A">
        <w:rPr>
          <w:lang w:val="en-US"/>
        </w:rPr>
        <w:t>Support for usability</w:t>
      </w:r>
      <w:bookmarkStart w:id="23" w:name="_Toc369865685"/>
      <w:bookmarkStart w:id="24" w:name="_Toc370730611"/>
      <w:bookmarkEnd w:id="21"/>
      <w:bookmarkEnd w:id="22"/>
    </w:p>
    <w:p w:rsidR="00DC4BC9" w:rsidRDefault="00DC4BC9" w:rsidP="00DC4BC9">
      <w:pPr>
        <w:numPr>
          <w:ilvl w:val="0"/>
          <w:numId w:val="13"/>
        </w:numPr>
        <w:rPr>
          <w:lang w:val="en-US"/>
        </w:rPr>
      </w:pPr>
      <w:r w:rsidRPr="00CC0C6A">
        <w:rPr>
          <w:lang w:val="en-US"/>
        </w:rPr>
        <w:t>Error tolerance</w:t>
      </w:r>
      <w:bookmarkStart w:id="25" w:name="_Toc369865686"/>
      <w:bookmarkStart w:id="26" w:name="_Toc370730612"/>
      <w:bookmarkEnd w:id="23"/>
      <w:bookmarkEnd w:id="24"/>
    </w:p>
    <w:p w:rsidR="00DC4BC9" w:rsidRDefault="00DC4BC9" w:rsidP="00DC4BC9">
      <w:pPr>
        <w:numPr>
          <w:ilvl w:val="0"/>
          <w:numId w:val="13"/>
        </w:numPr>
        <w:rPr>
          <w:lang w:val="en-US"/>
        </w:rPr>
      </w:pPr>
      <w:r w:rsidRPr="00CC0C6A">
        <w:rPr>
          <w:lang w:val="en-US"/>
        </w:rPr>
        <w:t>Equitable use</w:t>
      </w:r>
      <w:bookmarkStart w:id="27" w:name="_Toc369865687"/>
      <w:bookmarkStart w:id="28" w:name="_Toc370730613"/>
      <w:bookmarkEnd w:id="25"/>
      <w:bookmarkEnd w:id="26"/>
    </w:p>
    <w:p w:rsidR="00DC4BC9" w:rsidRDefault="00DC4BC9" w:rsidP="00DC4BC9">
      <w:pPr>
        <w:numPr>
          <w:ilvl w:val="0"/>
          <w:numId w:val="13"/>
        </w:numPr>
        <w:rPr>
          <w:lang w:val="en-US"/>
        </w:rPr>
      </w:pPr>
      <w:r w:rsidRPr="00CC0C6A">
        <w:rPr>
          <w:lang w:val="en-US"/>
        </w:rPr>
        <w:t>Compatibility with other systems</w:t>
      </w:r>
      <w:bookmarkEnd w:id="27"/>
      <w:bookmarkEnd w:id="28"/>
    </w:p>
    <w:p w:rsidR="00DC4BC9" w:rsidRDefault="00DC4BC9" w:rsidP="00DC4BC9">
      <w:pPr>
        <w:rPr>
          <w:lang w:val="en-US"/>
        </w:rPr>
      </w:pPr>
      <w:r>
        <w:rPr>
          <w:rStyle w:val="Heading2Char"/>
        </w:rPr>
        <w:t>1.2</w:t>
      </w:r>
      <w:r>
        <w:rPr>
          <w:rStyle w:val="Heading2Char"/>
        </w:rPr>
        <w:tab/>
      </w:r>
      <w:r w:rsidRPr="00D441B8">
        <w:rPr>
          <w:rStyle w:val="Heading2Char"/>
        </w:rPr>
        <w:t>Human Characteristics Approach</w:t>
      </w:r>
    </w:p>
    <w:p w:rsidR="00DC4BC9" w:rsidRDefault="00DC4BC9" w:rsidP="00DC4BC9">
      <w:pPr>
        <w:rPr>
          <w:lang w:val="en-US"/>
        </w:rPr>
      </w:pPr>
      <w:r>
        <w:rPr>
          <w:lang w:val="en-US"/>
        </w:rPr>
        <w:t xml:space="preserve">A separate clause provides </w:t>
      </w:r>
      <w:r w:rsidRPr="00CC0C6A">
        <w:rPr>
          <w:lang w:val="en-US"/>
        </w:rPr>
        <w:t>information on human abilities and characteristics as well as deduced design considerations. The information on abilities and characteristics is organized according to the human body structures, functions, associated impairments and the consequences for overall functioning in terms of activity limitations and participation restrictions.</w:t>
      </w:r>
      <w:r>
        <w:rPr>
          <w:lang w:val="en-US"/>
        </w:rPr>
        <w:t xml:space="preserve"> There are separate clauses on sensory functions, immunological system functions, physical abilities and characteristics, </w:t>
      </w:r>
      <w:r>
        <w:rPr>
          <w:lang w:val="en-US"/>
        </w:rPr>
        <w:lastRenderedPageBreak/>
        <w:t>cognitive abilities. Where t</w:t>
      </w:r>
      <w:r w:rsidRPr="00CC0C6A">
        <w:rPr>
          <w:lang w:val="en-US"/>
        </w:rPr>
        <w:t>erminology used to describe human abilities and characteristics</w:t>
      </w:r>
      <w:r>
        <w:rPr>
          <w:lang w:val="en-US"/>
        </w:rPr>
        <w:t xml:space="preserve"> is</w:t>
      </w:r>
      <w:r w:rsidRPr="00CC0C6A">
        <w:rPr>
          <w:lang w:val="en-US"/>
        </w:rPr>
        <w:t xml:space="preserve"> directly from the ICF </w:t>
      </w:r>
      <w:r>
        <w:rPr>
          <w:lang w:val="en-US"/>
        </w:rPr>
        <w:t>it is</w:t>
      </w:r>
      <w:r w:rsidRPr="00CC0C6A">
        <w:rPr>
          <w:lang w:val="en-US"/>
        </w:rPr>
        <w:t xml:space="preserve"> followed by the</w:t>
      </w:r>
      <w:r>
        <w:rPr>
          <w:lang w:val="en-US"/>
        </w:rPr>
        <w:t xml:space="preserve"> appropriate</w:t>
      </w:r>
      <w:r w:rsidRPr="00CC0C6A">
        <w:rPr>
          <w:lang w:val="en-US"/>
        </w:rPr>
        <w:t xml:space="preserve"> ICF reference codes for Human Functions</w:t>
      </w:r>
      <w:r>
        <w:rPr>
          <w:lang w:val="en-US"/>
        </w:rPr>
        <w:t xml:space="preserve"> and</w:t>
      </w:r>
      <w:r w:rsidRPr="00CC0C6A">
        <w:rPr>
          <w:lang w:val="en-US"/>
        </w:rPr>
        <w:t xml:space="preserve"> Human Structures</w:t>
      </w:r>
      <w:r>
        <w:rPr>
          <w:lang w:val="en-US"/>
        </w:rPr>
        <w:t>.</w:t>
      </w:r>
    </w:p>
    <w:p w:rsidR="00DC4BC9" w:rsidRPr="007A2B0A" w:rsidRDefault="00DC4BC9" w:rsidP="00DC4BC9">
      <w:pPr>
        <w:pStyle w:val="Heading2"/>
        <w:numPr>
          <w:ilvl w:val="0"/>
          <w:numId w:val="0"/>
        </w:numPr>
        <w:rPr>
          <w:rStyle w:val="Heading3Char"/>
        </w:rPr>
      </w:pPr>
      <w:r w:rsidRPr="007A2B0A">
        <w:t>1.3</w:t>
      </w:r>
      <w:r w:rsidRPr="007A2B0A">
        <w:tab/>
      </w:r>
      <w:r w:rsidRPr="007A2B0A">
        <w:rPr>
          <w:rStyle w:val="Heading3Char"/>
        </w:rPr>
        <w:t>Timetable</w:t>
      </w:r>
    </w:p>
    <w:p w:rsidR="00DC4BC9" w:rsidRDefault="00DC4BC9" w:rsidP="00DC4BC9">
      <w:r>
        <w:t xml:space="preserve">Dec 9-11, 2013 </w:t>
      </w:r>
      <w:r>
        <w:tab/>
        <w:t>6</w:t>
      </w:r>
      <w:r>
        <w:rPr>
          <w:sz w:val="21"/>
          <w:szCs w:val="21"/>
        </w:rPr>
        <w:t xml:space="preserve">th </w:t>
      </w:r>
      <w:r>
        <w:t xml:space="preserve">plenary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DC4BC9" w:rsidRDefault="00DC4BC9" w:rsidP="00DC4BC9">
      <w:r>
        <w:t xml:space="preserve">Dec 22, 2013 </w:t>
      </w:r>
      <w:r>
        <w:tab/>
      </w:r>
      <w:r>
        <w:tab/>
        <w:t>Finalize Draft</w:t>
      </w:r>
    </w:p>
    <w:p w:rsidR="00DC4BC9" w:rsidRDefault="00DC4BC9" w:rsidP="00DC4BC9">
      <w:r>
        <w:t xml:space="preserve">Jan 15, 2014 </w:t>
      </w:r>
      <w:r>
        <w:tab/>
      </w:r>
      <w:r>
        <w:tab/>
        <w:t>CD vote/review</w:t>
      </w:r>
    </w:p>
    <w:p w:rsidR="00DC4BC9" w:rsidRDefault="00DC4BC9" w:rsidP="00DC4BC9">
      <w:r>
        <w:t xml:space="preserve">Mar 15, 2014 </w:t>
      </w:r>
      <w:r>
        <w:tab/>
      </w:r>
      <w:r>
        <w:tab/>
        <w:t>End of CD vote</w:t>
      </w:r>
    </w:p>
    <w:p w:rsidR="00DC4BC9" w:rsidRDefault="00DC4BC9" w:rsidP="00DC4BC9">
      <w:r>
        <w:t xml:space="preserve">Mar 16, 2014 </w:t>
      </w:r>
      <w:r>
        <w:tab/>
      </w:r>
      <w:r>
        <w:tab/>
        <w:t>Review of comments</w:t>
      </w:r>
    </w:p>
    <w:p w:rsidR="00DC4BC9" w:rsidRDefault="00DC4BC9" w:rsidP="00DC4BC9">
      <w:r>
        <w:t xml:space="preserve">Apr 15, 2014 </w:t>
      </w:r>
      <w:r>
        <w:tab/>
      </w:r>
      <w:r>
        <w:tab/>
        <w:t>Technical Enquiry vote starts</w:t>
      </w:r>
    </w:p>
    <w:p w:rsidR="00DC4BC9" w:rsidRDefault="00DC4BC9" w:rsidP="00DC4BC9">
      <w:r>
        <w:t xml:space="preserve">Aug 15, 2014 </w:t>
      </w:r>
      <w:r>
        <w:tab/>
      </w:r>
      <w:r>
        <w:tab/>
        <w:t>Technical Enquiry vote ends</w:t>
      </w:r>
    </w:p>
    <w:p w:rsidR="00DC4BC9" w:rsidRDefault="00DC4BC9" w:rsidP="00DC4BC9">
      <w:pPr>
        <w:rPr>
          <w:lang w:val="en-US"/>
        </w:rPr>
      </w:pPr>
      <w:r>
        <w:t xml:space="preserve">Oct 15, 2014 </w:t>
      </w:r>
      <w:r>
        <w:tab/>
      </w:r>
      <w:r>
        <w:tab/>
        <w:t>Publication</w:t>
      </w:r>
    </w:p>
    <w:p w:rsidR="00DC4BC9" w:rsidRPr="00F53526" w:rsidRDefault="00DC4BC9" w:rsidP="00DC4BC9">
      <w:pPr>
        <w:pStyle w:val="Heading1"/>
        <w:numPr>
          <w:ilvl w:val="0"/>
          <w:numId w:val="0"/>
        </w:numPr>
        <w:rPr>
          <w:bCs w:val="0"/>
          <w:sz w:val="28"/>
          <w:szCs w:val="28"/>
        </w:rPr>
      </w:pPr>
      <w:r w:rsidRPr="00F53526">
        <w:rPr>
          <w:bCs w:val="0"/>
          <w:sz w:val="28"/>
          <w:szCs w:val="28"/>
        </w:rPr>
        <w:t>2</w:t>
      </w:r>
      <w:r w:rsidRPr="00F53526">
        <w:rPr>
          <w:bCs w:val="0"/>
          <w:sz w:val="28"/>
          <w:szCs w:val="28"/>
        </w:rPr>
        <w:tab/>
        <w:t>ISO/IEC JTC 1 SWG-A</w:t>
      </w:r>
    </w:p>
    <w:p w:rsidR="00DC4BC9" w:rsidRPr="00D441B8" w:rsidRDefault="00DC4BC9" w:rsidP="00DC4BC9">
      <w:r w:rsidRPr="00D441B8">
        <w:t>The SWG-A has not had a physi</w:t>
      </w:r>
      <w:r>
        <w:t>cal meeting, there have been three</w:t>
      </w:r>
      <w:r w:rsidRPr="00D441B8">
        <w:t xml:space="preserve"> teleconferences.</w:t>
      </w:r>
      <w:r>
        <w:t xml:space="preserve"> There are 4 AHGs, the AHG dealing with the revision of the User Needs Summary is currently in hibernation until the work on Guide 71 is completed, since the updating and transition of TR29138 Parts 1 and 3 are awaiting finalisation of Guide 71.The inventory of “Inventory of accessibility and accessibility-related information technology standards and specifications” (formerly TR 29138-2) has been updated and is now available from the ISO Online Browsing Platform (</w:t>
      </w:r>
      <w:hyperlink r:id="rId9" w:history="1">
        <w:r w:rsidRPr="00D36CC0">
          <w:rPr>
            <w:rStyle w:val="Hyperlink"/>
          </w:rPr>
          <w:t>https://www.iso.org/obp/ui/</w:t>
        </w:r>
      </w:hyperlink>
      <w:r>
        <w:t xml:space="preserve"> type “inventory of accessibility” into the search box.. AHG 16’s work has led to some guidance on producing accessible documentation being made available on the SWG-A web site; see </w:t>
      </w:r>
      <w:hyperlink r:id="rId10" w:history="1">
        <w:r w:rsidRPr="00D36CC0">
          <w:rPr>
            <w:rStyle w:val="Hyperlink"/>
          </w:rPr>
          <w:t>http://www.jtc1access.org/guidance.htm</w:t>
        </w:r>
      </w:hyperlink>
      <w:r>
        <w:t xml:space="preserve"> . There is now an AHG to look at individualisation/personalisation issues as they relate to accessibility.</w:t>
      </w:r>
    </w:p>
    <w:p w:rsidR="00DC4BC9" w:rsidRPr="00F53526" w:rsidRDefault="00DC4BC9" w:rsidP="00DC4BC9">
      <w:pPr>
        <w:pStyle w:val="Heading1"/>
        <w:numPr>
          <w:ilvl w:val="0"/>
          <w:numId w:val="0"/>
        </w:numPr>
        <w:ind w:left="432" w:hanging="432"/>
        <w:rPr>
          <w:sz w:val="28"/>
          <w:szCs w:val="28"/>
        </w:rPr>
      </w:pPr>
      <w:r w:rsidRPr="00F53526">
        <w:rPr>
          <w:rFonts w:eastAsia="MS Mincho"/>
          <w:sz w:val="28"/>
          <w:szCs w:val="28"/>
        </w:rPr>
        <w:t>3</w:t>
      </w:r>
      <w:r w:rsidRPr="00F53526">
        <w:rPr>
          <w:rFonts w:eastAsia="MS Mincho"/>
          <w:b w:val="0"/>
          <w:sz w:val="28"/>
          <w:szCs w:val="28"/>
        </w:rPr>
        <w:tab/>
      </w:r>
      <w:r w:rsidRPr="00F53526">
        <w:rPr>
          <w:sz w:val="28"/>
          <w:szCs w:val="28"/>
        </w:rPr>
        <w:t>IEC AAL activities</w:t>
      </w:r>
    </w:p>
    <w:p w:rsidR="00DC4BC9" w:rsidRPr="004360CF" w:rsidRDefault="00DC4BC9" w:rsidP="00DC4BC9">
      <w:pPr>
        <w:tabs>
          <w:tab w:val="num" w:pos="1440"/>
        </w:tabs>
        <w:rPr>
          <w:lang w:eastAsia="en-US"/>
        </w:rPr>
      </w:pPr>
      <w:r w:rsidRPr="00F53526">
        <w:rPr>
          <w:bCs/>
          <w:lang w:eastAsia="en-US"/>
        </w:rPr>
        <w:t>IEC SMB SG5 was set up to</w:t>
      </w:r>
      <w:r w:rsidRPr="004360CF">
        <w:rPr>
          <w:lang w:eastAsia="en-US"/>
        </w:rPr>
        <w:t xml:space="preserve"> manage and coordinate Ambient Assisted Living (AAL) standardization work in IEC TCs, to establish and achieve interoperability and interconnectivity of AAL systems, and accessible design of their user interface.</w:t>
      </w:r>
      <w:r>
        <w:rPr>
          <w:lang w:eastAsia="en-US"/>
        </w:rPr>
        <w:t xml:space="preserve"> A</w:t>
      </w:r>
      <w:r w:rsidRPr="004360CF">
        <w:rPr>
          <w:lang w:eastAsia="en-US"/>
        </w:rPr>
        <w:t>AL systems encompass products, services, environments and facilities used to support those whose independence, safety, wellbeing and autonomy are compromised by their physical or mental status.</w:t>
      </w:r>
    </w:p>
    <w:p w:rsidR="00DC4BC9" w:rsidRPr="00F53526" w:rsidRDefault="00DC4BC9" w:rsidP="00DC4BC9">
      <w:pPr>
        <w:rPr>
          <w:bCs/>
          <w:lang w:eastAsia="en-US"/>
        </w:rPr>
      </w:pPr>
      <w:r w:rsidRPr="00F53526">
        <w:rPr>
          <w:bCs/>
          <w:lang w:eastAsia="en-US"/>
        </w:rPr>
        <w:t xml:space="preserve">IEC SMB SG5 </w:t>
      </w:r>
      <w:proofErr w:type="spellStart"/>
      <w:r w:rsidRPr="00F53526">
        <w:rPr>
          <w:bCs/>
          <w:lang w:eastAsia="en-US"/>
        </w:rPr>
        <w:t>ToR</w:t>
      </w:r>
      <w:proofErr w:type="spellEnd"/>
      <w:r w:rsidRPr="00F53526">
        <w:rPr>
          <w:bCs/>
          <w:lang w:eastAsia="en-US"/>
        </w:rPr>
        <w:t xml:space="preserve"> are to:</w:t>
      </w:r>
    </w:p>
    <w:p w:rsidR="00DC4BC9" w:rsidRPr="00864FE0" w:rsidRDefault="00DC4BC9" w:rsidP="00DC4BC9">
      <w:pPr>
        <w:numPr>
          <w:ilvl w:val="0"/>
          <w:numId w:val="14"/>
        </w:numPr>
        <w:rPr>
          <w:lang w:eastAsia="en-US"/>
        </w:rPr>
      </w:pPr>
      <w:r w:rsidRPr="00864FE0">
        <w:rPr>
          <w:lang w:eastAsia="en-US"/>
        </w:rPr>
        <w:t>summarize the status of standardization in this field (inside and outside IEC),</w:t>
      </w:r>
    </w:p>
    <w:p w:rsidR="00DC4BC9" w:rsidRPr="00864FE0" w:rsidRDefault="00DC4BC9" w:rsidP="00DC4BC9">
      <w:pPr>
        <w:numPr>
          <w:ilvl w:val="0"/>
          <w:numId w:val="14"/>
        </w:numPr>
        <w:rPr>
          <w:lang w:eastAsia="en-US"/>
        </w:rPr>
      </w:pPr>
      <w:r w:rsidRPr="00864FE0">
        <w:rPr>
          <w:lang w:eastAsia="en-US"/>
        </w:rPr>
        <w:t>make an inventory of existing standards and standardization projects in progress,</w:t>
      </w:r>
    </w:p>
    <w:p w:rsidR="00DC4BC9" w:rsidRPr="00864FE0" w:rsidRDefault="00DC4BC9" w:rsidP="00DC4BC9">
      <w:pPr>
        <w:numPr>
          <w:ilvl w:val="0"/>
          <w:numId w:val="14"/>
        </w:numPr>
        <w:rPr>
          <w:lang w:eastAsia="en-US"/>
        </w:rPr>
      </w:pPr>
      <w:r w:rsidRPr="00864FE0">
        <w:rPr>
          <w:lang w:eastAsia="en-US"/>
        </w:rPr>
        <w:t>engage key stakeholders interested in AAL standardization work in IEC,</w:t>
      </w:r>
    </w:p>
    <w:p w:rsidR="00DC4BC9" w:rsidRPr="00864FE0" w:rsidRDefault="00DC4BC9" w:rsidP="00DC4BC9">
      <w:pPr>
        <w:numPr>
          <w:ilvl w:val="0"/>
          <w:numId w:val="14"/>
        </w:numPr>
        <w:rPr>
          <w:lang w:eastAsia="en-US"/>
        </w:rPr>
      </w:pPr>
      <w:r w:rsidRPr="00864FE0">
        <w:rPr>
          <w:lang w:eastAsia="en-US"/>
        </w:rPr>
        <w:t>define a structure for the coordination of cross TC/SC work, where required,</w:t>
      </w:r>
    </w:p>
    <w:p w:rsidR="00DC4BC9" w:rsidRPr="00864FE0" w:rsidRDefault="00DC4BC9" w:rsidP="00DC4BC9">
      <w:pPr>
        <w:numPr>
          <w:ilvl w:val="0"/>
          <w:numId w:val="14"/>
        </w:numPr>
        <w:rPr>
          <w:lang w:eastAsia="en-US"/>
        </w:rPr>
      </w:pPr>
      <w:r w:rsidRPr="00864FE0">
        <w:rPr>
          <w:lang w:eastAsia="en-US"/>
        </w:rPr>
        <w:t>monitor TC/SC work to highlight any overlap of work or potential inconsistencies,</w:t>
      </w:r>
    </w:p>
    <w:p w:rsidR="00DC4BC9" w:rsidRPr="00864FE0" w:rsidRDefault="00DC4BC9" w:rsidP="00DC4BC9">
      <w:pPr>
        <w:numPr>
          <w:ilvl w:val="0"/>
          <w:numId w:val="14"/>
        </w:numPr>
        <w:rPr>
          <w:lang w:eastAsia="en-US"/>
        </w:rPr>
      </w:pPr>
      <w:r w:rsidRPr="00864FE0">
        <w:rPr>
          <w:lang w:eastAsia="en-US"/>
        </w:rPr>
        <w:t>liaise to ISO, ITU, and other organizations,</w:t>
      </w:r>
    </w:p>
    <w:p w:rsidR="00DC4BC9" w:rsidRPr="00864FE0" w:rsidRDefault="00DC4BC9" w:rsidP="00DC4BC9">
      <w:pPr>
        <w:numPr>
          <w:ilvl w:val="0"/>
          <w:numId w:val="14"/>
        </w:numPr>
        <w:rPr>
          <w:lang w:eastAsia="en-US"/>
        </w:rPr>
      </w:pPr>
      <w:r w:rsidRPr="00864FE0">
        <w:rPr>
          <w:lang w:eastAsia="en-US"/>
        </w:rPr>
        <w:t>take into consideration the economic aspects of AAL, e.g. by identifying international market potential, identifying market drivers,</w:t>
      </w:r>
    </w:p>
    <w:p w:rsidR="00DC4BC9" w:rsidRPr="00864FE0" w:rsidRDefault="00DC4BC9" w:rsidP="00DC4BC9">
      <w:pPr>
        <w:numPr>
          <w:ilvl w:val="0"/>
          <w:numId w:val="14"/>
        </w:numPr>
        <w:rPr>
          <w:lang w:eastAsia="en-US"/>
        </w:rPr>
      </w:pPr>
      <w:r w:rsidRPr="00864FE0">
        <w:rPr>
          <w:lang w:eastAsia="en-US"/>
        </w:rPr>
        <w:lastRenderedPageBreak/>
        <w:t>consequently describe the state of the art as well as to identify potential gaps, to address the IEC standardization needed on AAL,</w:t>
      </w:r>
    </w:p>
    <w:p w:rsidR="00DC4BC9" w:rsidRDefault="00DC4BC9" w:rsidP="00DC4BC9">
      <w:pPr>
        <w:numPr>
          <w:ilvl w:val="0"/>
          <w:numId w:val="14"/>
        </w:numPr>
        <w:rPr>
          <w:lang w:eastAsia="en-US"/>
        </w:rPr>
      </w:pPr>
      <w:r w:rsidRPr="00864FE0">
        <w:rPr>
          <w:lang w:eastAsia="en-US"/>
        </w:rPr>
        <w:t>fill these gaps by drawing a roadmap with a timeline that includes a reference architecture and prospective standardization projects.</w:t>
      </w:r>
    </w:p>
    <w:p w:rsidR="00DC4BC9" w:rsidRDefault="00DC4BC9" w:rsidP="00DC4BC9">
      <w:pPr>
        <w:rPr>
          <w:lang w:eastAsia="en-US"/>
        </w:rPr>
      </w:pPr>
      <w:r>
        <w:rPr>
          <w:lang w:eastAsia="en-US"/>
        </w:rPr>
        <w:t xml:space="preserve">At the recent meeting in </w:t>
      </w:r>
      <w:smartTag w:uri="urn:schemas-microsoft-com:office:smarttags" w:element="City">
        <w:smartTag w:uri="urn:schemas-microsoft-com:office:smarttags" w:element="place">
          <w:r>
            <w:rPr>
              <w:lang w:eastAsia="en-US"/>
            </w:rPr>
            <w:t>Tokyo</w:t>
          </w:r>
        </w:smartTag>
      </w:smartTag>
      <w:r>
        <w:rPr>
          <w:lang w:eastAsia="en-US"/>
        </w:rPr>
        <w:t xml:space="preserve"> the 3 </w:t>
      </w:r>
      <w:proofErr w:type="spellStart"/>
      <w:r>
        <w:rPr>
          <w:lang w:eastAsia="en-US"/>
        </w:rPr>
        <w:t>subteams</w:t>
      </w:r>
      <w:proofErr w:type="spellEnd"/>
      <w:r>
        <w:rPr>
          <w:lang w:eastAsia="en-US"/>
        </w:rPr>
        <w:t xml:space="preserve"> (status (</w:t>
      </w:r>
      <w:proofErr w:type="spellStart"/>
      <w:r>
        <w:rPr>
          <w:lang w:eastAsia="en-US"/>
        </w:rPr>
        <w:t>ie</w:t>
      </w:r>
      <w:proofErr w:type="spellEnd"/>
      <w:r>
        <w:rPr>
          <w:lang w:eastAsia="en-US"/>
        </w:rPr>
        <w:t xml:space="preserve"> the survey of standardisation activities), modelling and data security) reported and a consolidated activity report was provided to the IEC SMB. It was recommended that the SG should transform into the new IEC structure a “systems evaluation group” and finalise its report covering all the items in the SG5 </w:t>
      </w:r>
      <w:proofErr w:type="spellStart"/>
      <w:r>
        <w:rPr>
          <w:lang w:eastAsia="en-US"/>
        </w:rPr>
        <w:t>ToR</w:t>
      </w:r>
      <w:proofErr w:type="spellEnd"/>
      <w:r>
        <w:rPr>
          <w:lang w:eastAsia="en-US"/>
        </w:rPr>
        <w:t xml:space="preserve"> in 2014. At that time it may become a Systems Committee within IEC.</w:t>
      </w:r>
    </w:p>
    <w:p w:rsidR="00DC4BC9" w:rsidRPr="00864FE0" w:rsidRDefault="00DC4BC9" w:rsidP="00DC4BC9">
      <w:pPr>
        <w:rPr>
          <w:lang w:eastAsia="en-US"/>
        </w:rPr>
      </w:pPr>
      <w:r w:rsidRPr="004360CF">
        <w:rPr>
          <w:b/>
          <w:bCs/>
          <w:lang w:eastAsia="en-US"/>
        </w:rPr>
        <w:t>IEC TC100 began a Stage 0 project to compile use cases for AAL in the area of audio, video and multimedia systems and equipment and produce a TR</w:t>
      </w:r>
      <w:r>
        <w:rPr>
          <w:b/>
          <w:bCs/>
          <w:lang w:eastAsia="en-US"/>
        </w:rPr>
        <w:t xml:space="preserve"> which</w:t>
      </w:r>
      <w:r>
        <w:rPr>
          <w:lang w:eastAsia="en-US"/>
        </w:rPr>
        <w:t xml:space="preserve"> </w:t>
      </w:r>
      <w:r w:rsidRPr="00864FE0">
        <w:rPr>
          <w:b/>
          <w:bCs/>
          <w:lang w:eastAsia="en-US"/>
        </w:rPr>
        <w:t>includes use cases classified in accordance with SG5 work</w:t>
      </w:r>
    </w:p>
    <w:p w:rsidR="00DC4BC9" w:rsidRPr="00864FE0" w:rsidRDefault="00DC4BC9" w:rsidP="00DC4BC9">
      <w:pPr>
        <w:numPr>
          <w:ilvl w:val="1"/>
          <w:numId w:val="15"/>
        </w:numPr>
        <w:rPr>
          <w:lang w:eastAsia="en-US"/>
        </w:rPr>
      </w:pPr>
      <w:r w:rsidRPr="00864FE0">
        <w:rPr>
          <w:lang w:eastAsia="en-US"/>
        </w:rPr>
        <w:t>Communication and social interaction use case scenario (1)</w:t>
      </w:r>
    </w:p>
    <w:p w:rsidR="00DC4BC9" w:rsidRPr="00864FE0" w:rsidRDefault="00DC4BC9" w:rsidP="00DC4BC9">
      <w:pPr>
        <w:numPr>
          <w:ilvl w:val="1"/>
          <w:numId w:val="15"/>
        </w:numPr>
        <w:rPr>
          <w:lang w:eastAsia="en-US"/>
        </w:rPr>
      </w:pPr>
      <w:r w:rsidRPr="00864FE0">
        <w:rPr>
          <w:lang w:eastAsia="en-US"/>
        </w:rPr>
        <w:t>Entertainment use case scenarios (4)</w:t>
      </w:r>
    </w:p>
    <w:p w:rsidR="00DC4BC9" w:rsidRPr="00864FE0" w:rsidRDefault="00DC4BC9" w:rsidP="00DC4BC9">
      <w:pPr>
        <w:numPr>
          <w:ilvl w:val="1"/>
          <w:numId w:val="15"/>
        </w:numPr>
        <w:rPr>
          <w:lang w:eastAsia="en-US"/>
        </w:rPr>
      </w:pPr>
      <w:r w:rsidRPr="00864FE0">
        <w:rPr>
          <w:lang w:eastAsia="en-US"/>
        </w:rPr>
        <w:t>Daily life support (1).</w:t>
      </w:r>
    </w:p>
    <w:p w:rsidR="00DC4BC9" w:rsidRPr="00864FE0" w:rsidRDefault="00DC4BC9" w:rsidP="00DC4BC9">
      <w:pPr>
        <w:numPr>
          <w:ilvl w:val="1"/>
          <w:numId w:val="15"/>
        </w:numPr>
        <w:rPr>
          <w:lang w:eastAsia="en-US"/>
        </w:rPr>
      </w:pPr>
      <w:r w:rsidRPr="00864FE0">
        <w:rPr>
          <w:lang w:eastAsia="en-US"/>
        </w:rPr>
        <w:t>Safety, security and privacy at home Use Case Scenario (0)</w:t>
      </w:r>
    </w:p>
    <w:p w:rsidR="00DC4BC9" w:rsidRPr="00864FE0" w:rsidRDefault="00DC4BC9" w:rsidP="00DC4BC9">
      <w:pPr>
        <w:numPr>
          <w:ilvl w:val="1"/>
          <w:numId w:val="15"/>
        </w:numPr>
        <w:rPr>
          <w:lang w:eastAsia="en-US"/>
        </w:rPr>
      </w:pPr>
      <w:r w:rsidRPr="00864FE0">
        <w:rPr>
          <w:lang w:eastAsia="en-US"/>
        </w:rPr>
        <w:t>Monitoring, Healthcare and Wellness Use Case Scenario (3)</w:t>
      </w:r>
    </w:p>
    <w:p w:rsidR="00DC4BC9" w:rsidRPr="00864FE0" w:rsidRDefault="00DC4BC9" w:rsidP="00DC4BC9">
      <w:pPr>
        <w:numPr>
          <w:ilvl w:val="1"/>
          <w:numId w:val="15"/>
        </w:numPr>
        <w:rPr>
          <w:lang w:eastAsia="en-US"/>
        </w:rPr>
      </w:pPr>
      <w:r w:rsidRPr="00864FE0">
        <w:rPr>
          <w:lang w:eastAsia="en-US"/>
        </w:rPr>
        <w:t>Active aging use case scenario (2)</w:t>
      </w:r>
    </w:p>
    <w:p w:rsidR="00DC4BC9" w:rsidRPr="00864FE0" w:rsidRDefault="00DC4BC9" w:rsidP="00DC4BC9">
      <w:pPr>
        <w:numPr>
          <w:ilvl w:val="1"/>
          <w:numId w:val="15"/>
        </w:numPr>
        <w:rPr>
          <w:lang w:eastAsia="en-US"/>
        </w:rPr>
      </w:pPr>
      <w:r w:rsidRPr="00864FE0">
        <w:rPr>
          <w:lang w:eastAsia="en-US"/>
        </w:rPr>
        <w:t>Mobility use case scenario (1)</w:t>
      </w:r>
    </w:p>
    <w:p w:rsidR="00DC4BC9" w:rsidRDefault="00DC4BC9" w:rsidP="00DC4BC9">
      <w:pPr>
        <w:rPr>
          <w:lang w:eastAsia="en-US"/>
        </w:rPr>
      </w:pPr>
      <w:r>
        <w:rPr>
          <w:lang w:eastAsia="en-US"/>
        </w:rPr>
        <w:t>The AAL TR is about to be balloted by NCs. (see also presentation to ITU FG/AVA workshop)</w:t>
      </w:r>
    </w:p>
    <w:p w:rsidR="00DC4BC9" w:rsidRDefault="00DC4BC9" w:rsidP="00DC4BC9">
      <w:pPr>
        <w:tabs>
          <w:tab w:val="num" w:pos="1440"/>
        </w:tabs>
        <w:rPr>
          <w:lang w:eastAsia="en-US"/>
        </w:rPr>
      </w:pPr>
      <w:r>
        <w:rPr>
          <w:lang w:eastAsia="en-US"/>
        </w:rPr>
        <w:t>As a result of the work in this project team there is likely to be an NP for a f</w:t>
      </w:r>
      <w:r w:rsidRPr="00864FE0">
        <w:rPr>
          <w:lang w:eastAsia="en-US"/>
        </w:rPr>
        <w:t>unctional specification focusing on accessibility and usability of TVs and control of access to, and consumption of, digital content through the TV in close partnership between industry and user groups</w:t>
      </w:r>
      <w:r>
        <w:rPr>
          <w:lang w:eastAsia="en-US"/>
        </w:rPr>
        <w:t xml:space="preserve">. Additionally the </w:t>
      </w:r>
      <w:proofErr w:type="spellStart"/>
      <w:r w:rsidRPr="00F53526">
        <w:rPr>
          <w:lang w:val="en-US" w:eastAsia="en-US"/>
        </w:rPr>
        <w:t>universAAL</w:t>
      </w:r>
      <w:proofErr w:type="spellEnd"/>
      <w:r w:rsidRPr="00F53526">
        <w:rPr>
          <w:lang w:val="en-US" w:eastAsia="en-US"/>
        </w:rPr>
        <w:t xml:space="preserve"> framework </w:t>
      </w:r>
      <w:r>
        <w:rPr>
          <w:lang w:val="en-US" w:eastAsia="en-US"/>
        </w:rPr>
        <w:t xml:space="preserve">specification has been processed </w:t>
      </w:r>
      <w:r w:rsidRPr="00F53526">
        <w:rPr>
          <w:lang w:val="en-US" w:eastAsia="en-US"/>
        </w:rPr>
        <w:t xml:space="preserve">as a PAS </w:t>
      </w:r>
      <w:r>
        <w:rPr>
          <w:lang w:val="en-US" w:eastAsia="en-US"/>
        </w:rPr>
        <w:t>in IEC TC100.</w:t>
      </w:r>
    </w:p>
    <w:p w:rsidR="00DC4BC9" w:rsidRDefault="00DC4BC9" w:rsidP="00D764EE">
      <w:pPr>
        <w:tabs>
          <w:tab w:val="num" w:pos="720"/>
        </w:tabs>
        <w:rPr>
          <w:lang w:eastAsia="en-US"/>
        </w:rPr>
      </w:pPr>
      <w:r>
        <w:rPr>
          <w:lang w:eastAsia="en-US"/>
        </w:rPr>
        <w:t xml:space="preserve">In September the TC100 plenary </w:t>
      </w:r>
      <w:r w:rsidRPr="00864FE0">
        <w:rPr>
          <w:lang w:eastAsia="en-US"/>
        </w:rPr>
        <w:t>agreed, in principle, to the establishment of a new TA in IEC TC 100</w:t>
      </w:r>
      <w:r>
        <w:rPr>
          <w:lang w:eastAsia="en-US"/>
        </w:rPr>
        <w:t xml:space="preserve">. </w:t>
      </w:r>
      <w:r w:rsidRPr="00864FE0">
        <w:rPr>
          <w:lang w:eastAsia="en-US"/>
        </w:rPr>
        <w:t>This TA will focus on AAL, accessibility and user interfaces (within the overall scope of IEC TC 100 - To prepare international publications in the field of audio, video and multimedia systems and equipment.)</w:t>
      </w:r>
      <w:r>
        <w:rPr>
          <w:lang w:eastAsia="en-US"/>
        </w:rPr>
        <w:t xml:space="preserve"> </w:t>
      </w:r>
      <w:r w:rsidRPr="00864FE0">
        <w:rPr>
          <w:lang w:eastAsia="en-US"/>
        </w:rPr>
        <w:t xml:space="preserve">The scope and </w:t>
      </w:r>
      <w:proofErr w:type="spellStart"/>
      <w:r w:rsidRPr="00864FE0">
        <w:rPr>
          <w:lang w:eastAsia="en-US"/>
        </w:rPr>
        <w:t>ToR</w:t>
      </w:r>
      <w:proofErr w:type="spellEnd"/>
      <w:r w:rsidRPr="00864FE0">
        <w:rPr>
          <w:lang w:eastAsia="en-US"/>
        </w:rPr>
        <w:t xml:space="preserve"> will be developed for approval in Seattle AGM meeting May</w:t>
      </w:r>
      <w:r w:rsidR="00D764EE">
        <w:rPr>
          <w:lang w:eastAsia="en-US"/>
        </w:rPr>
        <w:t> </w:t>
      </w:r>
      <w:r w:rsidRPr="00864FE0">
        <w:rPr>
          <w:lang w:eastAsia="en-US"/>
        </w:rPr>
        <w:t>2014</w:t>
      </w:r>
      <w:r>
        <w:rPr>
          <w:lang w:eastAsia="en-US"/>
        </w:rPr>
        <w:t>.</w:t>
      </w:r>
    </w:p>
    <w:p w:rsidR="003429F2" w:rsidRPr="00AB258E" w:rsidRDefault="00DC4BC9" w:rsidP="00DC4BC9">
      <w:pPr>
        <w:jc w:val="center"/>
      </w:pPr>
      <w:r>
        <w:t>________________</w:t>
      </w:r>
    </w:p>
    <w:sectPr w:rsidR="003429F2" w:rsidRPr="00AB258E" w:rsidSect="00D764EE">
      <w:headerReference w:type="default" r:id="rId11"/>
      <w:footerReference w:type="first" r:id="rId12"/>
      <w:pgSz w:w="11907" w:h="16840" w:code="9"/>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EE" w:rsidRDefault="00D764EE" w:rsidP="00D764EE">
      <w:pPr>
        <w:spacing w:before="0"/>
      </w:pPr>
      <w:r>
        <w:separator/>
      </w:r>
    </w:p>
  </w:endnote>
  <w:endnote w:type="continuationSeparator" w:id="0">
    <w:p w:rsidR="00D764EE" w:rsidRDefault="00D764EE" w:rsidP="00D764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252"/>
      <w:gridCol w:w="4054"/>
    </w:tblGrid>
    <w:tr w:rsidR="00D764EE" w:rsidRPr="00D764EE" w:rsidTr="00D764EE">
      <w:trPr>
        <w:cantSplit/>
        <w:trHeight w:val="204"/>
        <w:jc w:val="center"/>
      </w:trPr>
      <w:tc>
        <w:tcPr>
          <w:tcW w:w="1617" w:type="dxa"/>
          <w:tcBorders>
            <w:top w:val="single" w:sz="12" w:space="0" w:color="auto"/>
          </w:tcBorders>
        </w:tcPr>
        <w:p w:rsidR="00D764EE" w:rsidRPr="00D764EE" w:rsidRDefault="00D764EE" w:rsidP="002523D7">
          <w:pPr>
            <w:rPr>
              <w:b/>
              <w:bCs/>
              <w:sz w:val="22"/>
            </w:rPr>
          </w:pPr>
          <w:bookmarkStart w:id="29" w:name="dcontact"/>
          <w:bookmarkStart w:id="30" w:name="dcontent1" w:colFirst="1" w:colLast="1"/>
          <w:r w:rsidRPr="00D764EE">
            <w:rPr>
              <w:b/>
              <w:bCs/>
              <w:sz w:val="22"/>
            </w:rPr>
            <w:t>Contact:</w:t>
          </w:r>
        </w:p>
      </w:tc>
      <w:tc>
        <w:tcPr>
          <w:tcW w:w="4252" w:type="dxa"/>
          <w:tcBorders>
            <w:top w:val="single" w:sz="12" w:space="0" w:color="auto"/>
          </w:tcBorders>
        </w:tcPr>
        <w:p w:rsidR="00D764EE" w:rsidRPr="00D764EE" w:rsidRDefault="00D764EE" w:rsidP="002523D7">
          <w:pPr>
            <w:rPr>
              <w:sz w:val="22"/>
            </w:rPr>
          </w:pPr>
          <w:r w:rsidRPr="00D764EE">
            <w:rPr>
              <w:sz w:val="22"/>
            </w:rPr>
            <w:t>Masahito Kawamori</w:t>
          </w:r>
          <w:r w:rsidRPr="00D764EE">
            <w:rPr>
              <w:sz w:val="22"/>
            </w:rPr>
            <w:br/>
            <w:t>Keio University</w:t>
          </w:r>
          <w:r w:rsidRPr="00D764EE">
            <w:rPr>
              <w:sz w:val="22"/>
            </w:rPr>
            <w:br/>
            <w:t>Japan</w:t>
          </w:r>
        </w:p>
      </w:tc>
      <w:tc>
        <w:tcPr>
          <w:tcW w:w="4054" w:type="dxa"/>
          <w:tcBorders>
            <w:top w:val="single" w:sz="12" w:space="0" w:color="auto"/>
          </w:tcBorders>
        </w:tcPr>
        <w:p w:rsidR="00D764EE" w:rsidRPr="00D764EE" w:rsidRDefault="00D764EE" w:rsidP="002523D7">
          <w:pPr>
            <w:rPr>
              <w:sz w:val="22"/>
            </w:rPr>
          </w:pPr>
          <w:r w:rsidRPr="00D764EE">
            <w:rPr>
              <w:sz w:val="22"/>
            </w:rPr>
            <w:t xml:space="preserve">Tel: </w:t>
          </w:r>
          <w:r>
            <w:rPr>
              <w:sz w:val="22"/>
            </w:rPr>
            <w:tab/>
          </w:r>
          <w:r w:rsidRPr="00D764EE">
            <w:rPr>
              <w:sz w:val="22"/>
            </w:rPr>
            <w:t>+81 (466) 49-1170</w:t>
          </w:r>
          <w:r w:rsidRPr="00D764EE">
            <w:rPr>
              <w:sz w:val="22"/>
            </w:rPr>
            <w:br/>
            <w:t xml:space="preserve">Fax: </w:t>
          </w:r>
          <w:r>
            <w:rPr>
              <w:sz w:val="22"/>
            </w:rPr>
            <w:tab/>
          </w:r>
          <w:r w:rsidRPr="00D764EE">
            <w:rPr>
              <w:sz w:val="22"/>
            </w:rPr>
            <w:t>+81 (466) 49-1171</w:t>
          </w:r>
          <w:r w:rsidRPr="00D764EE">
            <w:rPr>
              <w:sz w:val="22"/>
            </w:rPr>
            <w:br/>
            <w:t>Email:</w:t>
          </w:r>
          <w:r>
            <w:rPr>
              <w:sz w:val="22"/>
            </w:rPr>
            <w:tab/>
          </w:r>
          <w:hyperlink r:id="rId1" w:history="1">
            <w:r w:rsidRPr="00D764EE">
              <w:rPr>
                <w:rStyle w:val="Hyperlink"/>
                <w:sz w:val="22"/>
              </w:rPr>
              <w:t>masahito.kawamori@ties.itu.int</w:t>
            </w:r>
          </w:hyperlink>
        </w:p>
      </w:tc>
    </w:tr>
    <w:bookmarkEnd w:id="29"/>
    <w:bookmarkEnd w:id="30"/>
    <w:tr w:rsidR="00D764EE" w:rsidRPr="00D764EE" w:rsidTr="00D764EE">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D764EE" w:rsidRPr="00D764EE" w:rsidRDefault="00D764EE" w:rsidP="00D764EE">
          <w:pPr>
            <w:spacing w:before="0"/>
            <w:rPr>
              <w:sz w:val="18"/>
            </w:rPr>
          </w:pPr>
          <w:r w:rsidRPr="00D764EE">
            <w:rPr>
              <w:b/>
              <w:bCs/>
              <w:sz w:val="18"/>
            </w:rPr>
            <w:t>Attention:</w:t>
          </w:r>
          <w:r w:rsidRPr="00D764EE">
            <w:rPr>
              <w:sz w:val="18"/>
            </w:rPr>
            <w:t xml:space="preserve"> This is not a publication made available to the public, but </w:t>
          </w:r>
          <w:r w:rsidRPr="00D764EE">
            <w:rPr>
              <w:b/>
              <w:bCs/>
              <w:sz w:val="18"/>
            </w:rPr>
            <w:t>an internal ITU-T Document</w:t>
          </w:r>
          <w:r w:rsidRPr="00D764EE">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764EE" w:rsidRPr="00D764EE" w:rsidRDefault="00D764EE" w:rsidP="00D764E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EE" w:rsidRDefault="00D764EE" w:rsidP="00D764EE">
      <w:pPr>
        <w:spacing w:before="0"/>
      </w:pPr>
      <w:r>
        <w:separator/>
      </w:r>
    </w:p>
  </w:footnote>
  <w:footnote w:type="continuationSeparator" w:id="0">
    <w:p w:rsidR="00D764EE" w:rsidRDefault="00D764EE" w:rsidP="00D764E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EE" w:rsidRPr="00D764EE" w:rsidRDefault="00D764EE" w:rsidP="00D764EE">
    <w:pPr>
      <w:pStyle w:val="Header"/>
    </w:pPr>
    <w:r w:rsidRPr="00D764EE">
      <w:t xml:space="preserve">- </w:t>
    </w:r>
    <w:r w:rsidRPr="00D764EE">
      <w:fldChar w:fldCharType="begin"/>
    </w:r>
    <w:r w:rsidRPr="00D764EE">
      <w:instrText xml:space="preserve"> PAGE  \* MERGEFORMAT </w:instrText>
    </w:r>
    <w:r w:rsidRPr="00D764EE">
      <w:fldChar w:fldCharType="separate"/>
    </w:r>
    <w:r w:rsidR="008A04D2">
      <w:rPr>
        <w:noProof/>
      </w:rPr>
      <w:t>4</w:t>
    </w:r>
    <w:r w:rsidRPr="00D764EE">
      <w:fldChar w:fldCharType="end"/>
    </w:r>
    <w:r w:rsidRPr="00D764EE">
      <w:t xml:space="preserve"> -</w:t>
    </w:r>
  </w:p>
  <w:p w:rsidR="00D764EE" w:rsidRPr="00D764EE" w:rsidRDefault="00D764EE" w:rsidP="00D764EE">
    <w:pPr>
      <w:pStyle w:val="Header"/>
      <w:spacing w:after="240"/>
    </w:pPr>
    <w:r w:rsidRPr="00D764EE">
      <w:fldChar w:fldCharType="begin"/>
    </w:r>
    <w:r w:rsidRPr="00D764EE">
      <w:instrText xml:space="preserve"> STYLEREF  Docnumber  </w:instrText>
    </w:r>
    <w:r w:rsidRPr="00D764EE">
      <w:fldChar w:fldCharType="separate"/>
    </w:r>
    <w:r w:rsidR="008A04D2">
      <w:rPr>
        <w:noProof/>
      </w:rPr>
      <w:t>Doc 104</w:t>
    </w:r>
    <w:r w:rsidRPr="00D764E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AA642B"/>
    <w:multiLevelType w:val="hybridMultilevel"/>
    <w:tmpl w:val="1E5ACE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318671D"/>
    <w:multiLevelType w:val="hybridMultilevel"/>
    <w:tmpl w:val="33E8C9B8"/>
    <w:lvl w:ilvl="0" w:tplc="3BF0BACE">
      <w:start w:val="1"/>
      <w:numFmt w:val="bullet"/>
      <w:lvlText w:val="•"/>
      <w:lvlJc w:val="left"/>
      <w:pPr>
        <w:tabs>
          <w:tab w:val="num" w:pos="720"/>
        </w:tabs>
        <w:ind w:left="720" w:hanging="360"/>
      </w:pPr>
      <w:rPr>
        <w:rFonts w:ascii="Tahoma" w:hAnsi="Tahoma" w:hint="default"/>
      </w:rPr>
    </w:lvl>
    <w:lvl w:ilvl="1" w:tplc="1B084C3A">
      <w:start w:val="1266"/>
      <w:numFmt w:val="bullet"/>
      <w:lvlText w:val="•"/>
      <w:lvlJc w:val="left"/>
      <w:pPr>
        <w:tabs>
          <w:tab w:val="num" w:pos="1440"/>
        </w:tabs>
        <w:ind w:left="1440" w:hanging="360"/>
      </w:pPr>
      <w:rPr>
        <w:rFonts w:ascii="Tahoma" w:hAnsi="Tahoma" w:hint="default"/>
      </w:rPr>
    </w:lvl>
    <w:lvl w:ilvl="2" w:tplc="A8F44C52" w:tentative="1">
      <w:start w:val="1"/>
      <w:numFmt w:val="bullet"/>
      <w:lvlText w:val="•"/>
      <w:lvlJc w:val="left"/>
      <w:pPr>
        <w:tabs>
          <w:tab w:val="num" w:pos="2160"/>
        </w:tabs>
        <w:ind w:left="2160" w:hanging="360"/>
      </w:pPr>
      <w:rPr>
        <w:rFonts w:ascii="Tahoma" w:hAnsi="Tahoma" w:hint="default"/>
      </w:rPr>
    </w:lvl>
    <w:lvl w:ilvl="3" w:tplc="7BBEC274" w:tentative="1">
      <w:start w:val="1"/>
      <w:numFmt w:val="bullet"/>
      <w:lvlText w:val="•"/>
      <w:lvlJc w:val="left"/>
      <w:pPr>
        <w:tabs>
          <w:tab w:val="num" w:pos="2880"/>
        </w:tabs>
        <w:ind w:left="2880" w:hanging="360"/>
      </w:pPr>
      <w:rPr>
        <w:rFonts w:ascii="Tahoma" w:hAnsi="Tahoma" w:hint="default"/>
      </w:rPr>
    </w:lvl>
    <w:lvl w:ilvl="4" w:tplc="71B46196" w:tentative="1">
      <w:start w:val="1"/>
      <w:numFmt w:val="bullet"/>
      <w:lvlText w:val="•"/>
      <w:lvlJc w:val="left"/>
      <w:pPr>
        <w:tabs>
          <w:tab w:val="num" w:pos="3600"/>
        </w:tabs>
        <w:ind w:left="3600" w:hanging="360"/>
      </w:pPr>
      <w:rPr>
        <w:rFonts w:ascii="Tahoma" w:hAnsi="Tahoma" w:hint="default"/>
      </w:rPr>
    </w:lvl>
    <w:lvl w:ilvl="5" w:tplc="24924604" w:tentative="1">
      <w:start w:val="1"/>
      <w:numFmt w:val="bullet"/>
      <w:lvlText w:val="•"/>
      <w:lvlJc w:val="left"/>
      <w:pPr>
        <w:tabs>
          <w:tab w:val="num" w:pos="4320"/>
        </w:tabs>
        <w:ind w:left="4320" w:hanging="360"/>
      </w:pPr>
      <w:rPr>
        <w:rFonts w:ascii="Tahoma" w:hAnsi="Tahoma" w:hint="default"/>
      </w:rPr>
    </w:lvl>
    <w:lvl w:ilvl="6" w:tplc="7B40A6A0" w:tentative="1">
      <w:start w:val="1"/>
      <w:numFmt w:val="bullet"/>
      <w:lvlText w:val="•"/>
      <w:lvlJc w:val="left"/>
      <w:pPr>
        <w:tabs>
          <w:tab w:val="num" w:pos="5040"/>
        </w:tabs>
        <w:ind w:left="5040" w:hanging="360"/>
      </w:pPr>
      <w:rPr>
        <w:rFonts w:ascii="Tahoma" w:hAnsi="Tahoma" w:hint="default"/>
      </w:rPr>
    </w:lvl>
    <w:lvl w:ilvl="7" w:tplc="BF92DC80" w:tentative="1">
      <w:start w:val="1"/>
      <w:numFmt w:val="bullet"/>
      <w:lvlText w:val="•"/>
      <w:lvlJc w:val="left"/>
      <w:pPr>
        <w:tabs>
          <w:tab w:val="num" w:pos="5760"/>
        </w:tabs>
        <w:ind w:left="5760" w:hanging="360"/>
      </w:pPr>
      <w:rPr>
        <w:rFonts w:ascii="Tahoma" w:hAnsi="Tahoma" w:hint="default"/>
      </w:rPr>
    </w:lvl>
    <w:lvl w:ilvl="8" w:tplc="B45A7D6E" w:tentative="1">
      <w:start w:val="1"/>
      <w:numFmt w:val="bullet"/>
      <w:lvlText w:val="•"/>
      <w:lvlJc w:val="left"/>
      <w:pPr>
        <w:tabs>
          <w:tab w:val="num" w:pos="6480"/>
        </w:tabs>
        <w:ind w:left="6480" w:hanging="360"/>
      </w:pPr>
      <w:rPr>
        <w:rFonts w:ascii="Tahoma" w:hAnsi="Tahoma" w:hint="default"/>
      </w:rPr>
    </w:lvl>
  </w:abstractNum>
  <w:abstractNum w:abstractNumId="3">
    <w:nsid w:val="33AC7EB8"/>
    <w:multiLevelType w:val="multilevel"/>
    <w:tmpl w:val="7E5E5B94"/>
    <w:lvl w:ilvl="0">
      <w:numFmt w:val="decimal"/>
      <w:lvlText w:val="%1"/>
      <w:lvlJc w:val="left"/>
      <w:pPr>
        <w:tabs>
          <w:tab w:val="num" w:pos="432"/>
        </w:tabs>
        <w:ind w:left="432" w:hanging="432"/>
      </w:pPr>
      <w:rPr>
        <w:rFonts w:hint="default"/>
        <w:b/>
        <w:i w:val="0"/>
      </w:rPr>
    </w:lvl>
    <w:lvl w:ilvl="1">
      <w:start w:val="1"/>
      <w:numFmt w:val="decimal"/>
      <w:lvlText w:val="%1.%2"/>
      <w:lvlJc w:val="left"/>
      <w:pPr>
        <w:tabs>
          <w:tab w:val="num" w:pos="360"/>
        </w:tabs>
        <w:ind w:left="0" w:firstLine="0"/>
      </w:pPr>
      <w:rPr>
        <w:rFonts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
    <w:nsid w:val="35931227"/>
    <w:multiLevelType w:val="hybridMultilevel"/>
    <w:tmpl w:val="43EC2908"/>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5">
    <w:nsid w:val="52123879"/>
    <w:multiLevelType w:val="hybridMultilevel"/>
    <w:tmpl w:val="632A96F0"/>
    <w:lvl w:ilvl="0" w:tplc="163EC486">
      <w:start w:val="1"/>
      <w:numFmt w:val="bullet"/>
      <w:lvlText w:val="•"/>
      <w:lvlJc w:val="left"/>
      <w:pPr>
        <w:tabs>
          <w:tab w:val="num" w:pos="720"/>
        </w:tabs>
        <w:ind w:left="720" w:hanging="360"/>
      </w:pPr>
      <w:rPr>
        <w:rFonts w:ascii="Tahoma" w:hAnsi="Tahoma" w:hint="default"/>
      </w:rPr>
    </w:lvl>
    <w:lvl w:ilvl="1" w:tplc="CE86877E">
      <w:start w:val="1266"/>
      <w:numFmt w:val="bullet"/>
      <w:lvlText w:val="•"/>
      <w:lvlJc w:val="left"/>
      <w:pPr>
        <w:tabs>
          <w:tab w:val="num" w:pos="1440"/>
        </w:tabs>
        <w:ind w:left="1440" w:hanging="360"/>
      </w:pPr>
      <w:rPr>
        <w:rFonts w:ascii="Tahoma" w:hAnsi="Tahoma" w:hint="default"/>
      </w:rPr>
    </w:lvl>
    <w:lvl w:ilvl="2" w:tplc="580C214C" w:tentative="1">
      <w:start w:val="1"/>
      <w:numFmt w:val="bullet"/>
      <w:lvlText w:val="•"/>
      <w:lvlJc w:val="left"/>
      <w:pPr>
        <w:tabs>
          <w:tab w:val="num" w:pos="2160"/>
        </w:tabs>
        <w:ind w:left="2160" w:hanging="360"/>
      </w:pPr>
      <w:rPr>
        <w:rFonts w:ascii="Tahoma" w:hAnsi="Tahoma" w:hint="default"/>
      </w:rPr>
    </w:lvl>
    <w:lvl w:ilvl="3" w:tplc="E2A8EECA" w:tentative="1">
      <w:start w:val="1"/>
      <w:numFmt w:val="bullet"/>
      <w:lvlText w:val="•"/>
      <w:lvlJc w:val="left"/>
      <w:pPr>
        <w:tabs>
          <w:tab w:val="num" w:pos="2880"/>
        </w:tabs>
        <w:ind w:left="2880" w:hanging="360"/>
      </w:pPr>
      <w:rPr>
        <w:rFonts w:ascii="Tahoma" w:hAnsi="Tahoma" w:hint="default"/>
      </w:rPr>
    </w:lvl>
    <w:lvl w:ilvl="4" w:tplc="7A14D4E2" w:tentative="1">
      <w:start w:val="1"/>
      <w:numFmt w:val="bullet"/>
      <w:lvlText w:val="•"/>
      <w:lvlJc w:val="left"/>
      <w:pPr>
        <w:tabs>
          <w:tab w:val="num" w:pos="3600"/>
        </w:tabs>
        <w:ind w:left="3600" w:hanging="360"/>
      </w:pPr>
      <w:rPr>
        <w:rFonts w:ascii="Tahoma" w:hAnsi="Tahoma" w:hint="default"/>
      </w:rPr>
    </w:lvl>
    <w:lvl w:ilvl="5" w:tplc="7D409754" w:tentative="1">
      <w:start w:val="1"/>
      <w:numFmt w:val="bullet"/>
      <w:lvlText w:val="•"/>
      <w:lvlJc w:val="left"/>
      <w:pPr>
        <w:tabs>
          <w:tab w:val="num" w:pos="4320"/>
        </w:tabs>
        <w:ind w:left="4320" w:hanging="360"/>
      </w:pPr>
      <w:rPr>
        <w:rFonts w:ascii="Tahoma" w:hAnsi="Tahoma" w:hint="default"/>
      </w:rPr>
    </w:lvl>
    <w:lvl w:ilvl="6" w:tplc="0A083A80" w:tentative="1">
      <w:start w:val="1"/>
      <w:numFmt w:val="bullet"/>
      <w:lvlText w:val="•"/>
      <w:lvlJc w:val="left"/>
      <w:pPr>
        <w:tabs>
          <w:tab w:val="num" w:pos="5040"/>
        </w:tabs>
        <w:ind w:left="5040" w:hanging="360"/>
      </w:pPr>
      <w:rPr>
        <w:rFonts w:ascii="Tahoma" w:hAnsi="Tahoma" w:hint="default"/>
      </w:rPr>
    </w:lvl>
    <w:lvl w:ilvl="7" w:tplc="B476C736" w:tentative="1">
      <w:start w:val="1"/>
      <w:numFmt w:val="bullet"/>
      <w:lvlText w:val="•"/>
      <w:lvlJc w:val="left"/>
      <w:pPr>
        <w:tabs>
          <w:tab w:val="num" w:pos="5760"/>
        </w:tabs>
        <w:ind w:left="5760" w:hanging="360"/>
      </w:pPr>
      <w:rPr>
        <w:rFonts w:ascii="Tahoma" w:hAnsi="Tahoma" w:hint="default"/>
      </w:rPr>
    </w:lvl>
    <w:lvl w:ilvl="8" w:tplc="1C706780" w:tentative="1">
      <w:start w:val="1"/>
      <w:numFmt w:val="bullet"/>
      <w:lvlText w:val="•"/>
      <w:lvlJc w:val="left"/>
      <w:pPr>
        <w:tabs>
          <w:tab w:val="num" w:pos="6480"/>
        </w:tabs>
        <w:ind w:left="6480" w:hanging="360"/>
      </w:pPr>
      <w:rPr>
        <w:rFonts w:ascii="Tahoma" w:hAnsi="Tahoma" w:hint="default"/>
      </w:rPr>
    </w:lvl>
  </w:abstractNum>
  <w:abstractNum w:abstractNumId="6">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4"/>
  </w:num>
  <w:num w:numId="12">
    <w:abstractNumId w:val="3"/>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C9"/>
    <w:rsid w:val="000002CE"/>
    <w:rsid w:val="00000339"/>
    <w:rsid w:val="00000FA8"/>
    <w:rsid w:val="0001104D"/>
    <w:rsid w:val="00012EB5"/>
    <w:rsid w:val="00017655"/>
    <w:rsid w:val="00017FE7"/>
    <w:rsid w:val="00022B29"/>
    <w:rsid w:val="00025502"/>
    <w:rsid w:val="00027A32"/>
    <w:rsid w:val="00030DBC"/>
    <w:rsid w:val="0003117B"/>
    <w:rsid w:val="0004493F"/>
    <w:rsid w:val="00050A24"/>
    <w:rsid w:val="00055464"/>
    <w:rsid w:val="0006330F"/>
    <w:rsid w:val="00063556"/>
    <w:rsid w:val="000661D3"/>
    <w:rsid w:val="000769E6"/>
    <w:rsid w:val="00077E88"/>
    <w:rsid w:val="0008099A"/>
    <w:rsid w:val="000842F4"/>
    <w:rsid w:val="00085268"/>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77E9C"/>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66B9"/>
    <w:rsid w:val="00517C7D"/>
    <w:rsid w:val="00522154"/>
    <w:rsid w:val="00524AFA"/>
    <w:rsid w:val="00527984"/>
    <w:rsid w:val="005307FF"/>
    <w:rsid w:val="00542167"/>
    <w:rsid w:val="0054509D"/>
    <w:rsid w:val="00547A8B"/>
    <w:rsid w:val="00553C5C"/>
    <w:rsid w:val="00554DAD"/>
    <w:rsid w:val="00555133"/>
    <w:rsid w:val="00560C65"/>
    <w:rsid w:val="005614F6"/>
    <w:rsid w:val="005633B4"/>
    <w:rsid w:val="00575F9B"/>
    <w:rsid w:val="005771A3"/>
    <w:rsid w:val="0057782F"/>
    <w:rsid w:val="005815CC"/>
    <w:rsid w:val="00583141"/>
    <w:rsid w:val="0058633E"/>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1E34"/>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09AB"/>
    <w:rsid w:val="0089140E"/>
    <w:rsid w:val="00891EC9"/>
    <w:rsid w:val="00893909"/>
    <w:rsid w:val="00894717"/>
    <w:rsid w:val="008A04D2"/>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D6F80"/>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A0B6A"/>
    <w:rsid w:val="00CA0E12"/>
    <w:rsid w:val="00CA1EC3"/>
    <w:rsid w:val="00CA318C"/>
    <w:rsid w:val="00CA577E"/>
    <w:rsid w:val="00CA6505"/>
    <w:rsid w:val="00CA7227"/>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BAD"/>
    <w:rsid w:val="00D50DD7"/>
    <w:rsid w:val="00D5167B"/>
    <w:rsid w:val="00D51AFF"/>
    <w:rsid w:val="00D53F49"/>
    <w:rsid w:val="00D561D6"/>
    <w:rsid w:val="00D671C7"/>
    <w:rsid w:val="00D672BA"/>
    <w:rsid w:val="00D6768B"/>
    <w:rsid w:val="00D67CAA"/>
    <w:rsid w:val="00D70D16"/>
    <w:rsid w:val="00D72F49"/>
    <w:rsid w:val="00D764EE"/>
    <w:rsid w:val="00D80ACE"/>
    <w:rsid w:val="00D816A5"/>
    <w:rsid w:val="00D816D3"/>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4BC9"/>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104F7"/>
    <w:rsid w:val="00F127BF"/>
    <w:rsid w:val="00F13B70"/>
    <w:rsid w:val="00F150E2"/>
    <w:rsid w:val="00F154A1"/>
    <w:rsid w:val="00F208FE"/>
    <w:rsid w:val="00F226EE"/>
    <w:rsid w:val="00F303CD"/>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828"/>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qFormat/>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qFormat/>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qFormat/>
    <w:rsid w:val="00BB46A0"/>
    <w:pPr>
      <w:numPr>
        <w:ilvl w:val="5"/>
        <w:numId w:val="9"/>
      </w:numPr>
      <w:spacing w:before="240" w:after="60"/>
      <w:outlineLvl w:val="5"/>
    </w:pPr>
    <w:rPr>
      <w:b/>
      <w:bCs/>
      <w:szCs w:val="22"/>
    </w:rPr>
  </w:style>
  <w:style w:type="paragraph" w:styleId="Heading7">
    <w:name w:val="heading 7"/>
    <w:basedOn w:val="Normal"/>
    <w:next w:val="Normal"/>
    <w:link w:val="Heading7Char"/>
    <w:qFormat/>
    <w:rsid w:val="00BB46A0"/>
    <w:pPr>
      <w:numPr>
        <w:ilvl w:val="6"/>
        <w:numId w:val="9"/>
      </w:numPr>
      <w:spacing w:before="240" w:after="60"/>
      <w:outlineLvl w:val="6"/>
    </w:pPr>
  </w:style>
  <w:style w:type="paragraph" w:styleId="Heading8">
    <w:name w:val="heading 8"/>
    <w:basedOn w:val="Normal"/>
    <w:next w:val="Normal"/>
    <w:link w:val="Heading8Char"/>
    <w:qFormat/>
    <w:rsid w:val="00BB46A0"/>
    <w:pPr>
      <w:numPr>
        <w:ilvl w:val="7"/>
        <w:numId w:val="9"/>
      </w:numPr>
      <w:spacing w:before="240" w:after="60"/>
      <w:outlineLvl w:val="7"/>
    </w:pPr>
    <w:rPr>
      <w:i/>
      <w:iCs/>
    </w:rPr>
  </w:style>
  <w:style w:type="paragraph" w:styleId="Heading9">
    <w:name w:val="heading 9"/>
    <w:basedOn w:val="Normal"/>
    <w:next w:val="Normal"/>
    <w:link w:val="Heading9Char"/>
    <w:qFormat/>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B10963"/>
    <w:pPr>
      <w:tabs>
        <w:tab w:val="clear" w:pos="964"/>
      </w:tabs>
      <w:spacing w:before="80"/>
      <w:ind w:left="1531" w:hanging="851"/>
    </w:pPr>
  </w:style>
  <w:style w:type="paragraph" w:styleId="TOC3">
    <w:name w:val="toc 3"/>
    <w:basedOn w:val="TOC2"/>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paragraph" w:styleId="Footer">
    <w:name w:val="footer"/>
    <w:basedOn w:val="Normal"/>
    <w:link w:val="FooterChar"/>
    <w:uiPriority w:val="99"/>
    <w:unhideWhenUsed/>
    <w:rsid w:val="00D764EE"/>
    <w:pPr>
      <w:tabs>
        <w:tab w:val="center" w:pos="4680"/>
        <w:tab w:val="right" w:pos="9360"/>
      </w:tabs>
      <w:spacing w:before="0"/>
    </w:pPr>
  </w:style>
  <w:style w:type="character" w:customStyle="1" w:styleId="FooterChar">
    <w:name w:val="Footer Char"/>
    <w:basedOn w:val="DefaultParagraphFont"/>
    <w:link w:val="Footer"/>
    <w:uiPriority w:val="99"/>
    <w:rsid w:val="00D764EE"/>
    <w:rPr>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qFormat/>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qFormat/>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qFormat/>
    <w:rsid w:val="00BB46A0"/>
    <w:pPr>
      <w:numPr>
        <w:ilvl w:val="5"/>
        <w:numId w:val="9"/>
      </w:numPr>
      <w:spacing w:before="240" w:after="60"/>
      <w:outlineLvl w:val="5"/>
    </w:pPr>
    <w:rPr>
      <w:b/>
      <w:bCs/>
      <w:szCs w:val="22"/>
    </w:rPr>
  </w:style>
  <w:style w:type="paragraph" w:styleId="Heading7">
    <w:name w:val="heading 7"/>
    <w:basedOn w:val="Normal"/>
    <w:next w:val="Normal"/>
    <w:link w:val="Heading7Char"/>
    <w:qFormat/>
    <w:rsid w:val="00BB46A0"/>
    <w:pPr>
      <w:numPr>
        <w:ilvl w:val="6"/>
        <w:numId w:val="9"/>
      </w:numPr>
      <w:spacing w:before="240" w:after="60"/>
      <w:outlineLvl w:val="6"/>
    </w:pPr>
  </w:style>
  <w:style w:type="paragraph" w:styleId="Heading8">
    <w:name w:val="heading 8"/>
    <w:basedOn w:val="Normal"/>
    <w:next w:val="Normal"/>
    <w:link w:val="Heading8Char"/>
    <w:qFormat/>
    <w:rsid w:val="00BB46A0"/>
    <w:pPr>
      <w:numPr>
        <w:ilvl w:val="7"/>
        <w:numId w:val="9"/>
      </w:numPr>
      <w:spacing w:before="240" w:after="60"/>
      <w:outlineLvl w:val="7"/>
    </w:pPr>
    <w:rPr>
      <w:i/>
      <w:iCs/>
    </w:rPr>
  </w:style>
  <w:style w:type="paragraph" w:styleId="Heading9">
    <w:name w:val="heading 9"/>
    <w:basedOn w:val="Normal"/>
    <w:next w:val="Normal"/>
    <w:link w:val="Heading9Char"/>
    <w:qFormat/>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B10963"/>
    <w:pPr>
      <w:tabs>
        <w:tab w:val="clear" w:pos="964"/>
      </w:tabs>
      <w:spacing w:before="80"/>
      <w:ind w:left="1531" w:hanging="851"/>
    </w:pPr>
  </w:style>
  <w:style w:type="paragraph" w:styleId="TOC3">
    <w:name w:val="toc 3"/>
    <w:basedOn w:val="TOC2"/>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paragraph" w:styleId="Footer">
    <w:name w:val="footer"/>
    <w:basedOn w:val="Normal"/>
    <w:link w:val="FooterChar"/>
    <w:uiPriority w:val="99"/>
    <w:unhideWhenUsed/>
    <w:rsid w:val="00D764EE"/>
    <w:pPr>
      <w:tabs>
        <w:tab w:val="center" w:pos="4680"/>
        <w:tab w:val="right" w:pos="9360"/>
      </w:tabs>
      <w:spacing w:before="0"/>
    </w:pPr>
  </w:style>
  <w:style w:type="character" w:customStyle="1" w:styleId="FooterChar">
    <w:name w:val="Footer Char"/>
    <w:basedOn w:val="DefaultParagraphFont"/>
    <w:link w:val="Footer"/>
    <w:uiPriority w:val="99"/>
    <w:rsid w:val="00D764EE"/>
    <w:rPr>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2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jtc1access.org/guidance.htm" TargetMode="External"/><Relationship Id="rId4" Type="http://schemas.openxmlformats.org/officeDocument/2006/relationships/settings" Target="settings.xml"/><Relationship Id="rId9" Type="http://schemas.openxmlformats.org/officeDocument/2006/relationships/hyperlink" Target="https://www.iso.org/obp/u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sahito.kawamori@ties.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889097-47AC-4A5B-8061-B6A307373BD6}"/>
</file>

<file path=customXml/itemProps2.xml><?xml version="1.0" encoding="utf-8"?>
<ds:datastoreItem xmlns:ds="http://schemas.openxmlformats.org/officeDocument/2006/customXml" ds:itemID="{56EC7059-7F22-45DE-A7D2-D8529732415C}"/>
</file>

<file path=customXml/itemProps3.xml><?xml version="1.0" encoding="utf-8"?>
<ds:datastoreItem xmlns:ds="http://schemas.openxmlformats.org/officeDocument/2006/customXml" ds:itemID="{FAB5C0A2-C00F-4FAC-A2BB-518FCED3EC1B}"/>
</file>

<file path=docProps/app.xml><?xml version="1.0" encoding="utf-8"?>
<Properties xmlns="http://schemas.openxmlformats.org/officeDocument/2006/extended-properties" xmlns:vt="http://schemas.openxmlformats.org/officeDocument/2006/docPropsVTypes">
  <Template>Normal.dotm</Template>
  <TotalTime>16</TotalTime>
  <Pages>4</Pages>
  <Words>1139</Words>
  <Characters>6257</Characters>
  <Application>Microsoft Office Word</Application>
  <DocSecurity>0</DocSecurity>
  <Lines>169</Lines>
  <Paragraphs>104</Paragraphs>
  <ScaleCrop>false</ScaleCrop>
  <HeadingPairs>
    <vt:vector size="2" baseType="variant">
      <vt:variant>
        <vt:lpstr>Title</vt:lpstr>
      </vt:variant>
      <vt:variant>
        <vt:i4>1</vt:i4>
      </vt:variant>
    </vt:vector>
  </HeadingPairs>
  <TitlesOfParts>
    <vt:vector size="1" baseType="lpstr">
      <vt:lpstr>Information accessibility work in ISO/IEC (Guide 71 and JTC1 SWG-A)</vt:lpstr>
    </vt:vector>
  </TitlesOfParts>
  <Manager>ITU-T</Manager>
  <Company>International Telecommunication Union (ITU)</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accessibility work in ISO/IEC (Guide 71 and JTC1 SWG-A)</dc:title>
  <dc:creator>Rapporteur Q26/16 a.i.</dc:creator>
  <cp:keywords>26/16</cp:keywords>
  <dc:description>TD 96 (WP 2/16)  For: Geneva, 28 October – 8 November 2013_x000d_Document date: _x000d_Saved by ITU51006831 at 15:32:46 on 29/10/13</dc:description>
  <cp:lastModifiedBy>Labare, Emmanuelle</cp:lastModifiedBy>
  <cp:revision>6</cp:revision>
  <cp:lastPrinted>2011-04-05T15:28:00Z</cp:lastPrinted>
  <dcterms:created xsi:type="dcterms:W3CDTF">2013-10-29T15:15:00Z</dcterms:created>
  <dcterms:modified xsi:type="dcterms:W3CDTF">2013-11-01T14:51:00Z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96 (WP 2/16)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26/16</vt:lpwstr>
  </property>
  <property fmtid="{D5CDD505-2E9C-101B-9397-08002B2CF9AE}" pid="6" name="Docdest">
    <vt:lpwstr>Geneva, 28 October – 8 November 2013</vt:lpwstr>
  </property>
  <property fmtid="{D5CDD505-2E9C-101B-9397-08002B2CF9AE}" pid="7" name="Docauthor">
    <vt:lpwstr>Rapporteur Q26/16 a.i.</vt:lpwstr>
  </property>
  <property fmtid="{D5CDD505-2E9C-101B-9397-08002B2CF9AE}" pid="8" name="ContentTypeId">
    <vt:lpwstr>0x0101000DCA7710EC0152459CD54D1C80338A63</vt:lpwstr>
  </property>
</Properties>
</file>