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25A12" w14:textId="77777777" w:rsidR="00780703" w:rsidRDefault="00780703">
      <w:bookmarkStart w:id="0" w:name="dtableau"/>
    </w:p>
    <w:tbl>
      <w:tblPr>
        <w:tblStyle w:val="a"/>
        <w:tblW w:w="9356" w:type="dxa"/>
        <w:jc w:val="center"/>
        <w:tblLayout w:type="fixed"/>
        <w:tblLook w:val="0000" w:firstRow="0" w:lastRow="0" w:firstColumn="0" w:lastColumn="0" w:noHBand="0" w:noVBand="0"/>
      </w:tblPr>
      <w:tblGrid>
        <w:gridCol w:w="1134"/>
        <w:gridCol w:w="483"/>
        <w:gridCol w:w="3360"/>
        <w:gridCol w:w="693"/>
        <w:gridCol w:w="100"/>
        <w:gridCol w:w="3586"/>
      </w:tblGrid>
      <w:tr w:rsidR="00780703" w14:paraId="32E3FF45" w14:textId="77777777">
        <w:trPr>
          <w:jc w:val="center"/>
        </w:trPr>
        <w:tc>
          <w:tcPr>
            <w:tcW w:w="1134" w:type="dxa"/>
            <w:vMerge w:val="restart"/>
          </w:tcPr>
          <w:p w14:paraId="6B661D55" w14:textId="77777777" w:rsidR="00780703" w:rsidRDefault="00783498">
            <w:pPr>
              <w:rPr>
                <w:sz w:val="20"/>
                <w:szCs w:val="20"/>
              </w:rPr>
            </w:pPr>
            <w:bookmarkStart w:id="1" w:name="bookmark=id.30j0zll" w:colFirst="0" w:colLast="0"/>
            <w:bookmarkStart w:id="2" w:name="bookmark=id.1fob9te" w:colFirst="0" w:colLast="0"/>
            <w:bookmarkStart w:id="3" w:name="bookmark=id.gjdgxs" w:colFirst="0" w:colLast="0"/>
            <w:bookmarkStart w:id="4" w:name="dsg" w:colFirst="1" w:colLast="1"/>
            <w:bookmarkStart w:id="5" w:name="dnum" w:colFirst="2" w:colLast="2"/>
            <w:bookmarkEnd w:id="1"/>
            <w:bookmarkEnd w:id="2"/>
            <w:bookmarkEnd w:id="3"/>
            <w:r>
              <w:rPr>
                <w:noProof/>
                <w:sz w:val="20"/>
                <w:szCs w:val="20"/>
              </w:rPr>
              <w:drawing>
                <wp:inline distT="0" distB="0" distL="0" distR="0" wp14:anchorId="0A9769F9" wp14:editId="6DC92017">
                  <wp:extent cx="647700" cy="828675"/>
                  <wp:effectExtent l="0" t="0" r="0" b="0"/>
                  <wp:docPr id="3" name="image1.gif" descr="D:\usr\campos\TSB-Reference\Logos\ITU\sigleITU.gif"/>
                  <wp:cNvGraphicFramePr/>
                  <a:graphic xmlns:a="http://schemas.openxmlformats.org/drawingml/2006/main">
                    <a:graphicData uri="http://schemas.openxmlformats.org/drawingml/2006/picture">
                      <pic:pic xmlns:pic="http://schemas.openxmlformats.org/drawingml/2006/picture">
                        <pic:nvPicPr>
                          <pic:cNvPr id="0" name="image1.gif" descr="D:\usr\campos\TSB-Reference\Logos\ITU\sigleITU.gif"/>
                          <pic:cNvPicPr preferRelativeResize="0"/>
                        </pic:nvPicPr>
                        <pic:blipFill>
                          <a:blip r:embed="rId8"/>
                          <a:srcRect t="-1" b="-12986"/>
                          <a:stretch>
                            <a:fillRect/>
                          </a:stretch>
                        </pic:blipFill>
                        <pic:spPr>
                          <a:xfrm>
                            <a:off x="0" y="0"/>
                            <a:ext cx="647700" cy="828675"/>
                          </a:xfrm>
                          <a:prstGeom prst="rect">
                            <a:avLst/>
                          </a:prstGeom>
                          <a:ln/>
                        </pic:spPr>
                      </pic:pic>
                    </a:graphicData>
                  </a:graphic>
                </wp:inline>
              </w:drawing>
            </w:r>
          </w:p>
        </w:tc>
        <w:tc>
          <w:tcPr>
            <w:tcW w:w="4536" w:type="dxa"/>
            <w:gridSpan w:val="3"/>
            <w:vMerge w:val="restart"/>
          </w:tcPr>
          <w:p w14:paraId="478039F1" w14:textId="77777777" w:rsidR="00780703" w:rsidRDefault="00783498">
            <w:pPr>
              <w:rPr>
                <w:sz w:val="16"/>
                <w:szCs w:val="16"/>
              </w:rPr>
            </w:pPr>
            <w:r>
              <w:rPr>
                <w:sz w:val="16"/>
                <w:szCs w:val="16"/>
              </w:rPr>
              <w:t>INTERNATIONAL TELECOMMUNICATION UNION</w:t>
            </w:r>
          </w:p>
          <w:p w14:paraId="1D3BBA54" w14:textId="77777777" w:rsidR="00780703" w:rsidRDefault="00783498">
            <w:pPr>
              <w:rPr>
                <w:b/>
                <w:sz w:val="26"/>
                <w:szCs w:val="26"/>
              </w:rPr>
            </w:pPr>
            <w:r>
              <w:rPr>
                <w:b/>
                <w:sz w:val="26"/>
                <w:szCs w:val="26"/>
              </w:rPr>
              <w:t>TELECOMMUNICATION</w:t>
            </w:r>
            <w:r>
              <w:rPr>
                <w:b/>
                <w:sz w:val="26"/>
                <w:szCs w:val="26"/>
              </w:rPr>
              <w:br/>
              <w:t>STANDARDIZATION SECTOR</w:t>
            </w:r>
          </w:p>
          <w:p w14:paraId="1767F1F3" w14:textId="77777777" w:rsidR="00780703" w:rsidRDefault="00783498">
            <w:pPr>
              <w:rPr>
                <w:sz w:val="20"/>
                <w:szCs w:val="20"/>
              </w:rPr>
            </w:pPr>
            <w:r>
              <w:rPr>
                <w:sz w:val="20"/>
                <w:szCs w:val="20"/>
              </w:rPr>
              <w:t>STUDY PERIOD 2017-2020</w:t>
            </w:r>
          </w:p>
        </w:tc>
        <w:tc>
          <w:tcPr>
            <w:tcW w:w="3686" w:type="dxa"/>
            <w:gridSpan w:val="2"/>
            <w:vAlign w:val="center"/>
          </w:tcPr>
          <w:p w14:paraId="09B9AB0E" w14:textId="7F787FB2" w:rsidR="00780703" w:rsidRDefault="00783498">
            <w:pPr>
              <w:pBdr>
                <w:top w:val="nil"/>
                <w:left w:val="nil"/>
                <w:bottom w:val="nil"/>
                <w:right w:val="nil"/>
                <w:between w:val="nil"/>
              </w:pBdr>
              <w:tabs>
                <w:tab w:val="left" w:pos="794"/>
                <w:tab w:val="left" w:pos="1191"/>
                <w:tab w:val="left" w:pos="1588"/>
                <w:tab w:val="left" w:pos="1985"/>
              </w:tabs>
              <w:jc w:val="right"/>
              <w:rPr>
                <w:b/>
                <w:color w:val="000000"/>
                <w:sz w:val="32"/>
                <w:szCs w:val="32"/>
              </w:rPr>
            </w:pPr>
            <w:r>
              <w:rPr>
                <w:b/>
                <w:color w:val="000000"/>
                <w:sz w:val="32"/>
                <w:szCs w:val="32"/>
              </w:rPr>
              <w:t>JCA-AHF-</w:t>
            </w:r>
            <w:r w:rsidR="00F87FB7">
              <w:rPr>
                <w:b/>
                <w:color w:val="000000"/>
                <w:sz w:val="32"/>
                <w:szCs w:val="32"/>
              </w:rPr>
              <w:t>428</w:t>
            </w:r>
          </w:p>
        </w:tc>
      </w:tr>
      <w:bookmarkEnd w:id="5"/>
      <w:tr w:rsidR="00780703" w14:paraId="696BD14E" w14:textId="77777777">
        <w:trPr>
          <w:jc w:val="center"/>
        </w:trPr>
        <w:tc>
          <w:tcPr>
            <w:tcW w:w="1134" w:type="dxa"/>
            <w:vMerge/>
          </w:tcPr>
          <w:p w14:paraId="6FC4C2F8" w14:textId="77777777" w:rsidR="00780703" w:rsidRDefault="00780703">
            <w:pPr>
              <w:widowControl w:val="0"/>
              <w:pBdr>
                <w:top w:val="nil"/>
                <w:left w:val="nil"/>
                <w:bottom w:val="nil"/>
                <w:right w:val="nil"/>
                <w:between w:val="nil"/>
              </w:pBdr>
              <w:spacing w:before="0" w:line="276" w:lineRule="auto"/>
              <w:rPr>
                <w:b/>
                <w:color w:val="000000"/>
                <w:sz w:val="32"/>
                <w:szCs w:val="32"/>
              </w:rPr>
            </w:pPr>
          </w:p>
        </w:tc>
        <w:tc>
          <w:tcPr>
            <w:tcW w:w="4536" w:type="dxa"/>
            <w:gridSpan w:val="3"/>
            <w:vMerge/>
          </w:tcPr>
          <w:p w14:paraId="6A789A2E" w14:textId="77777777" w:rsidR="00780703" w:rsidRDefault="00780703">
            <w:pPr>
              <w:widowControl w:val="0"/>
              <w:pBdr>
                <w:top w:val="nil"/>
                <w:left w:val="nil"/>
                <w:bottom w:val="nil"/>
                <w:right w:val="nil"/>
                <w:between w:val="nil"/>
              </w:pBdr>
              <w:spacing w:before="0" w:line="276" w:lineRule="auto"/>
              <w:rPr>
                <w:b/>
                <w:color w:val="000000"/>
                <w:sz w:val="32"/>
                <w:szCs w:val="32"/>
              </w:rPr>
            </w:pPr>
          </w:p>
        </w:tc>
        <w:tc>
          <w:tcPr>
            <w:tcW w:w="3686" w:type="dxa"/>
            <w:gridSpan w:val="2"/>
          </w:tcPr>
          <w:p w14:paraId="2FBFBABE" w14:textId="77777777" w:rsidR="00780703" w:rsidRDefault="00783498">
            <w:pPr>
              <w:jc w:val="right"/>
              <w:rPr>
                <w:b/>
                <w:sz w:val="28"/>
                <w:szCs w:val="28"/>
              </w:rPr>
            </w:pPr>
            <w:r>
              <w:rPr>
                <w:b/>
                <w:sz w:val="28"/>
                <w:szCs w:val="28"/>
              </w:rPr>
              <w:t>JCA-AHF</w:t>
            </w:r>
          </w:p>
        </w:tc>
      </w:tr>
      <w:tr w:rsidR="00780703" w14:paraId="1AA37ED1" w14:textId="77777777">
        <w:trPr>
          <w:jc w:val="center"/>
        </w:trPr>
        <w:tc>
          <w:tcPr>
            <w:tcW w:w="1134" w:type="dxa"/>
            <w:vMerge/>
          </w:tcPr>
          <w:p w14:paraId="684985B5" w14:textId="77777777" w:rsidR="00780703" w:rsidRDefault="00780703">
            <w:pPr>
              <w:widowControl w:val="0"/>
              <w:pBdr>
                <w:top w:val="nil"/>
                <w:left w:val="nil"/>
                <w:bottom w:val="nil"/>
                <w:right w:val="nil"/>
                <w:between w:val="nil"/>
              </w:pBdr>
              <w:spacing w:before="0" w:line="276" w:lineRule="auto"/>
              <w:rPr>
                <w:b/>
                <w:sz w:val="28"/>
                <w:szCs w:val="28"/>
              </w:rPr>
            </w:pPr>
          </w:p>
        </w:tc>
        <w:tc>
          <w:tcPr>
            <w:tcW w:w="4536" w:type="dxa"/>
            <w:gridSpan w:val="3"/>
            <w:vMerge/>
          </w:tcPr>
          <w:p w14:paraId="679B71EE" w14:textId="77777777" w:rsidR="00780703" w:rsidRDefault="00780703">
            <w:pPr>
              <w:widowControl w:val="0"/>
              <w:pBdr>
                <w:top w:val="nil"/>
                <w:left w:val="nil"/>
                <w:bottom w:val="nil"/>
                <w:right w:val="nil"/>
                <w:between w:val="nil"/>
              </w:pBdr>
              <w:spacing w:before="0" w:line="276" w:lineRule="auto"/>
              <w:rPr>
                <w:b/>
                <w:sz w:val="28"/>
                <w:szCs w:val="28"/>
              </w:rPr>
            </w:pPr>
          </w:p>
        </w:tc>
        <w:tc>
          <w:tcPr>
            <w:tcW w:w="3686" w:type="dxa"/>
            <w:gridSpan w:val="2"/>
            <w:tcBorders>
              <w:bottom w:val="single" w:sz="12" w:space="0" w:color="000000"/>
            </w:tcBorders>
            <w:vAlign w:val="center"/>
          </w:tcPr>
          <w:p w14:paraId="516E96FE" w14:textId="77777777" w:rsidR="00780703" w:rsidRDefault="00783498">
            <w:pPr>
              <w:jc w:val="right"/>
              <w:rPr>
                <w:b/>
                <w:sz w:val="28"/>
                <w:szCs w:val="28"/>
              </w:rPr>
            </w:pPr>
            <w:r>
              <w:rPr>
                <w:b/>
                <w:sz w:val="28"/>
                <w:szCs w:val="28"/>
              </w:rPr>
              <w:t>Original: English</w:t>
            </w:r>
          </w:p>
        </w:tc>
      </w:tr>
      <w:tr w:rsidR="00780703" w14:paraId="411EE22E" w14:textId="77777777">
        <w:trPr>
          <w:jc w:val="center"/>
        </w:trPr>
        <w:tc>
          <w:tcPr>
            <w:tcW w:w="1617" w:type="dxa"/>
            <w:gridSpan w:val="2"/>
          </w:tcPr>
          <w:p w14:paraId="0D44EB06" w14:textId="77777777" w:rsidR="00780703" w:rsidRDefault="00783498">
            <w:pPr>
              <w:rPr>
                <w:b/>
              </w:rPr>
            </w:pPr>
            <w:bookmarkStart w:id="6" w:name="bookmark=id.2et92p0" w:colFirst="0" w:colLast="0"/>
            <w:bookmarkStart w:id="7" w:name="bookmark=id.3znysh7" w:colFirst="0" w:colLast="0"/>
            <w:bookmarkStart w:id="8" w:name="dbluepink" w:colFirst="1" w:colLast="1"/>
            <w:bookmarkStart w:id="9" w:name="dmeeting" w:colFirst="2" w:colLast="2"/>
            <w:bookmarkEnd w:id="6"/>
            <w:bookmarkEnd w:id="7"/>
            <w:bookmarkEnd w:id="4"/>
            <w:r>
              <w:rPr>
                <w:b/>
              </w:rPr>
              <w:t>Question(s):</w:t>
            </w:r>
          </w:p>
        </w:tc>
        <w:tc>
          <w:tcPr>
            <w:tcW w:w="3360" w:type="dxa"/>
          </w:tcPr>
          <w:p w14:paraId="27F90984" w14:textId="77777777" w:rsidR="00780703" w:rsidRDefault="00783498">
            <w:r>
              <w:t>N/A</w:t>
            </w:r>
          </w:p>
        </w:tc>
        <w:tc>
          <w:tcPr>
            <w:tcW w:w="4379" w:type="dxa"/>
            <w:gridSpan w:val="3"/>
          </w:tcPr>
          <w:p w14:paraId="17EED99C" w14:textId="77777777" w:rsidR="00780703" w:rsidRDefault="00783498">
            <w:pPr>
              <w:jc w:val="right"/>
            </w:pPr>
            <w:r>
              <w:t>Virtual Geneva, 28 April 2021</w:t>
            </w:r>
          </w:p>
        </w:tc>
      </w:tr>
      <w:tr w:rsidR="00780703" w14:paraId="6B0031E0" w14:textId="77777777">
        <w:trPr>
          <w:jc w:val="center"/>
        </w:trPr>
        <w:tc>
          <w:tcPr>
            <w:tcW w:w="9356" w:type="dxa"/>
            <w:gridSpan w:val="6"/>
          </w:tcPr>
          <w:p w14:paraId="58D7D481" w14:textId="77777777" w:rsidR="00780703" w:rsidRDefault="00783498">
            <w:pPr>
              <w:jc w:val="center"/>
              <w:rPr>
                <w:b/>
              </w:rPr>
            </w:pPr>
            <w:bookmarkStart w:id="10" w:name="dtitle" w:colFirst="0" w:colLast="0"/>
            <w:bookmarkEnd w:id="8"/>
            <w:bookmarkEnd w:id="9"/>
            <w:r>
              <w:rPr>
                <w:b/>
              </w:rPr>
              <w:t>DOCUMENT</w:t>
            </w:r>
          </w:p>
        </w:tc>
      </w:tr>
      <w:tr w:rsidR="00780703" w14:paraId="2AE246C2" w14:textId="77777777">
        <w:trPr>
          <w:jc w:val="center"/>
        </w:trPr>
        <w:tc>
          <w:tcPr>
            <w:tcW w:w="1617" w:type="dxa"/>
            <w:gridSpan w:val="2"/>
          </w:tcPr>
          <w:p w14:paraId="0186567D" w14:textId="77777777" w:rsidR="00780703" w:rsidRDefault="00783498">
            <w:pPr>
              <w:rPr>
                <w:b/>
              </w:rPr>
            </w:pPr>
            <w:bookmarkStart w:id="11" w:name="bookmark=id.tyjcwt" w:colFirst="0" w:colLast="0"/>
            <w:bookmarkStart w:id="12" w:name="dsource" w:colFirst="1" w:colLast="1"/>
            <w:bookmarkEnd w:id="11"/>
            <w:bookmarkEnd w:id="10"/>
            <w:r>
              <w:rPr>
                <w:b/>
              </w:rPr>
              <w:t>Source:</w:t>
            </w:r>
          </w:p>
        </w:tc>
        <w:tc>
          <w:tcPr>
            <w:tcW w:w="7739" w:type="dxa"/>
            <w:gridSpan w:val="4"/>
          </w:tcPr>
          <w:p w14:paraId="19B0B37B" w14:textId="77777777" w:rsidR="00780703" w:rsidRDefault="00783498">
            <w:r>
              <w:t>G3ict</w:t>
            </w:r>
          </w:p>
        </w:tc>
      </w:tr>
      <w:tr w:rsidR="00780703" w14:paraId="6B834FAC" w14:textId="77777777">
        <w:trPr>
          <w:jc w:val="center"/>
        </w:trPr>
        <w:tc>
          <w:tcPr>
            <w:tcW w:w="1617" w:type="dxa"/>
            <w:gridSpan w:val="2"/>
          </w:tcPr>
          <w:p w14:paraId="45C153FC" w14:textId="77777777" w:rsidR="00780703" w:rsidRDefault="00783498">
            <w:bookmarkStart w:id="13" w:name="bookmark=id.3dy6vkm" w:colFirst="0" w:colLast="0"/>
            <w:bookmarkStart w:id="14" w:name="dtitle1" w:colFirst="1" w:colLast="1"/>
            <w:bookmarkEnd w:id="13"/>
            <w:bookmarkEnd w:id="12"/>
            <w:r>
              <w:rPr>
                <w:b/>
              </w:rPr>
              <w:t>Title:</w:t>
            </w:r>
          </w:p>
        </w:tc>
        <w:tc>
          <w:tcPr>
            <w:tcW w:w="7739" w:type="dxa"/>
            <w:gridSpan w:val="4"/>
          </w:tcPr>
          <w:p w14:paraId="24BFC207" w14:textId="77777777" w:rsidR="00780703" w:rsidRDefault="00783498">
            <w:r>
              <w:t>Telecoms Relay Services and need for robust key performance indicators (KPI)</w:t>
            </w:r>
          </w:p>
        </w:tc>
      </w:tr>
      <w:tr w:rsidR="00780703" w14:paraId="3C59B02B" w14:textId="77777777">
        <w:trPr>
          <w:jc w:val="center"/>
        </w:trPr>
        <w:tc>
          <w:tcPr>
            <w:tcW w:w="1617" w:type="dxa"/>
            <w:gridSpan w:val="2"/>
            <w:tcBorders>
              <w:bottom w:val="single" w:sz="6" w:space="0" w:color="000000"/>
            </w:tcBorders>
          </w:tcPr>
          <w:p w14:paraId="27945E1D" w14:textId="77777777" w:rsidR="00780703" w:rsidRDefault="00783498">
            <w:pPr>
              <w:rPr>
                <w:b/>
              </w:rPr>
            </w:pPr>
            <w:bookmarkStart w:id="15" w:name="bookmark=id.1t3h5sf" w:colFirst="0" w:colLast="0"/>
            <w:bookmarkStart w:id="16" w:name="dpurpose" w:colFirst="1" w:colLast="1"/>
            <w:bookmarkEnd w:id="15"/>
            <w:bookmarkEnd w:id="14"/>
            <w:r>
              <w:rPr>
                <w:b/>
              </w:rPr>
              <w:t>Purpose:</w:t>
            </w:r>
          </w:p>
        </w:tc>
        <w:tc>
          <w:tcPr>
            <w:tcW w:w="7739" w:type="dxa"/>
            <w:gridSpan w:val="4"/>
            <w:tcBorders>
              <w:bottom w:val="single" w:sz="6" w:space="0" w:color="000000"/>
            </w:tcBorders>
          </w:tcPr>
          <w:p w14:paraId="01EB5648" w14:textId="6AADBD19" w:rsidR="00780703" w:rsidRDefault="004D6969">
            <w:pPr>
              <w:tabs>
                <w:tab w:val="left" w:pos="4695"/>
              </w:tabs>
            </w:pPr>
            <w:r>
              <w:t>Discussion</w:t>
            </w:r>
          </w:p>
        </w:tc>
      </w:tr>
      <w:bookmarkEnd w:id="0"/>
      <w:bookmarkEnd w:id="16"/>
      <w:tr w:rsidR="00780703" w:rsidRPr="00F87FB7" w14:paraId="3DA4F0EF" w14:textId="77777777">
        <w:trPr>
          <w:jc w:val="center"/>
        </w:trPr>
        <w:tc>
          <w:tcPr>
            <w:tcW w:w="1617" w:type="dxa"/>
            <w:gridSpan w:val="2"/>
            <w:tcBorders>
              <w:top w:val="single" w:sz="6" w:space="0" w:color="000000"/>
              <w:bottom w:val="single" w:sz="6" w:space="0" w:color="000000"/>
            </w:tcBorders>
          </w:tcPr>
          <w:p w14:paraId="57C83B50" w14:textId="77777777" w:rsidR="00780703" w:rsidRDefault="00783498">
            <w:pPr>
              <w:rPr>
                <w:b/>
              </w:rPr>
            </w:pPr>
            <w:r>
              <w:rPr>
                <w:b/>
              </w:rPr>
              <w:t>Contact:</w:t>
            </w:r>
          </w:p>
        </w:tc>
        <w:tc>
          <w:tcPr>
            <w:tcW w:w="4153" w:type="dxa"/>
            <w:gridSpan w:val="3"/>
            <w:tcBorders>
              <w:top w:val="single" w:sz="6" w:space="0" w:color="000000"/>
              <w:bottom w:val="single" w:sz="6" w:space="0" w:color="000000"/>
            </w:tcBorders>
          </w:tcPr>
          <w:p w14:paraId="379846CD" w14:textId="77777777" w:rsidR="00780703" w:rsidRDefault="00783498">
            <w:r>
              <w:t>Christopher Jones</w:t>
            </w:r>
            <w:r>
              <w:br/>
              <w:t>G3ict</w:t>
            </w:r>
            <w:r>
              <w:br/>
              <w:t>UK</w:t>
            </w:r>
          </w:p>
        </w:tc>
        <w:tc>
          <w:tcPr>
            <w:tcW w:w="3586" w:type="dxa"/>
            <w:tcBorders>
              <w:top w:val="single" w:sz="6" w:space="0" w:color="000000"/>
              <w:bottom w:val="single" w:sz="6" w:space="0" w:color="000000"/>
            </w:tcBorders>
          </w:tcPr>
          <w:p w14:paraId="5BF685D8" w14:textId="77777777" w:rsidR="00780703" w:rsidRPr="00F87FB7" w:rsidRDefault="00783498">
            <w:pPr>
              <w:rPr>
                <w:lang w:val="fr-FR"/>
              </w:rPr>
            </w:pPr>
            <w:proofErr w:type="gramStart"/>
            <w:r w:rsidRPr="00F87FB7">
              <w:rPr>
                <w:lang w:val="fr-FR"/>
              </w:rPr>
              <w:t>E-mail:</w:t>
            </w:r>
            <w:proofErr w:type="gramEnd"/>
            <w:r w:rsidRPr="00F87FB7">
              <w:rPr>
                <w:lang w:val="fr-FR"/>
              </w:rPr>
              <w:t xml:space="preserve"> </w:t>
            </w:r>
          </w:p>
          <w:p w14:paraId="67E0FF09" w14:textId="1B798530" w:rsidR="00F23E68" w:rsidRPr="00F87FB7" w:rsidRDefault="004C4716">
            <w:pPr>
              <w:rPr>
                <w:lang w:val="fr-FR"/>
              </w:rPr>
            </w:pPr>
            <w:hyperlink r:id="rId9">
              <w:r w:rsidR="00F23E68" w:rsidRPr="00F87FB7">
                <w:rPr>
                  <w:color w:val="1155CC"/>
                  <w:u w:val="single"/>
                  <w:lang w:val="fr-FR"/>
                </w:rPr>
                <w:t>acceque@btinternet.com</w:t>
              </w:r>
            </w:hyperlink>
            <w:r w:rsidR="00F23E68" w:rsidRPr="00F87FB7">
              <w:rPr>
                <w:lang w:val="fr-FR"/>
              </w:rPr>
              <w:t xml:space="preserve">  </w:t>
            </w:r>
          </w:p>
        </w:tc>
      </w:tr>
      <w:tr w:rsidR="00780703" w:rsidRPr="00F87FB7" w14:paraId="7C7C6D9A" w14:textId="77777777">
        <w:trPr>
          <w:jc w:val="center"/>
        </w:trPr>
        <w:tc>
          <w:tcPr>
            <w:tcW w:w="1617" w:type="dxa"/>
            <w:gridSpan w:val="2"/>
            <w:tcBorders>
              <w:top w:val="single" w:sz="6" w:space="0" w:color="000000"/>
              <w:bottom w:val="single" w:sz="6" w:space="0" w:color="000000"/>
            </w:tcBorders>
          </w:tcPr>
          <w:p w14:paraId="7BBBD38B" w14:textId="77777777" w:rsidR="00780703" w:rsidRDefault="00783498">
            <w:pPr>
              <w:rPr>
                <w:b/>
              </w:rPr>
            </w:pPr>
            <w:r>
              <w:rPr>
                <w:b/>
              </w:rPr>
              <w:t>Contact:</w:t>
            </w:r>
          </w:p>
        </w:tc>
        <w:tc>
          <w:tcPr>
            <w:tcW w:w="4153" w:type="dxa"/>
            <w:gridSpan w:val="3"/>
            <w:tcBorders>
              <w:top w:val="single" w:sz="6" w:space="0" w:color="000000"/>
              <w:bottom w:val="single" w:sz="6" w:space="0" w:color="000000"/>
            </w:tcBorders>
          </w:tcPr>
          <w:p w14:paraId="6FAF69B7" w14:textId="77777777" w:rsidR="00780703" w:rsidRDefault="00783498">
            <w:r>
              <w:t>Lidia Best</w:t>
            </w:r>
            <w:r>
              <w:br/>
              <w:t>G3ict</w:t>
            </w:r>
            <w:r>
              <w:br/>
              <w:t>UK</w:t>
            </w:r>
          </w:p>
        </w:tc>
        <w:tc>
          <w:tcPr>
            <w:tcW w:w="3586" w:type="dxa"/>
            <w:tcBorders>
              <w:top w:val="single" w:sz="6" w:space="0" w:color="000000"/>
              <w:bottom w:val="single" w:sz="6" w:space="0" w:color="000000"/>
            </w:tcBorders>
          </w:tcPr>
          <w:p w14:paraId="7509BEC3" w14:textId="4FA68F67" w:rsidR="00780703" w:rsidRPr="00F87FB7" w:rsidRDefault="00783498">
            <w:pPr>
              <w:rPr>
                <w:lang w:val="fr-FR"/>
              </w:rPr>
            </w:pPr>
            <w:r w:rsidRPr="00F87FB7">
              <w:rPr>
                <w:lang w:val="fr-FR"/>
              </w:rPr>
              <w:br/>
            </w:r>
            <w:proofErr w:type="gramStart"/>
            <w:r w:rsidRPr="00F87FB7">
              <w:rPr>
                <w:lang w:val="fr-FR"/>
              </w:rPr>
              <w:t>E-mail:</w:t>
            </w:r>
            <w:proofErr w:type="gramEnd"/>
            <w:r w:rsidRPr="00F87FB7">
              <w:rPr>
                <w:lang w:val="fr-FR"/>
              </w:rPr>
              <w:t xml:space="preserve"> </w:t>
            </w:r>
          </w:p>
          <w:p w14:paraId="377772D0" w14:textId="5B3BD390" w:rsidR="00F23E68" w:rsidRPr="00F87FB7" w:rsidRDefault="004C4716">
            <w:pPr>
              <w:rPr>
                <w:lang w:val="fr-FR"/>
              </w:rPr>
            </w:pPr>
            <w:hyperlink r:id="rId10">
              <w:r w:rsidR="00F23E68" w:rsidRPr="00F87FB7">
                <w:rPr>
                  <w:color w:val="1155CC"/>
                  <w:u w:val="single"/>
                  <w:lang w:val="fr-FR"/>
                </w:rPr>
                <w:t>best.lidia@gmail.com</w:t>
              </w:r>
            </w:hyperlink>
          </w:p>
        </w:tc>
      </w:tr>
    </w:tbl>
    <w:p w14:paraId="4C859731" w14:textId="77777777" w:rsidR="00780703" w:rsidRPr="00F87FB7" w:rsidRDefault="00780703">
      <w:pPr>
        <w:rPr>
          <w:lang w:val="fr-FR"/>
        </w:rPr>
      </w:pPr>
    </w:p>
    <w:tbl>
      <w:tblPr>
        <w:tblStyle w:val="a0"/>
        <w:tblW w:w="9356" w:type="dxa"/>
        <w:jc w:val="center"/>
        <w:tblLayout w:type="fixed"/>
        <w:tblLook w:val="0000" w:firstRow="0" w:lastRow="0" w:firstColumn="0" w:lastColumn="0" w:noHBand="0" w:noVBand="0"/>
      </w:tblPr>
      <w:tblGrid>
        <w:gridCol w:w="1617"/>
        <w:gridCol w:w="7739"/>
      </w:tblGrid>
      <w:tr w:rsidR="00780703" w14:paraId="589655B6" w14:textId="77777777">
        <w:trPr>
          <w:jc w:val="center"/>
        </w:trPr>
        <w:tc>
          <w:tcPr>
            <w:tcW w:w="1617" w:type="dxa"/>
          </w:tcPr>
          <w:p w14:paraId="3C062285" w14:textId="77777777" w:rsidR="00780703" w:rsidRDefault="00783498">
            <w:pPr>
              <w:rPr>
                <w:b/>
              </w:rPr>
            </w:pPr>
            <w:r>
              <w:rPr>
                <w:b/>
              </w:rPr>
              <w:t>Keywords:</w:t>
            </w:r>
          </w:p>
        </w:tc>
        <w:tc>
          <w:tcPr>
            <w:tcW w:w="7739" w:type="dxa"/>
          </w:tcPr>
          <w:p w14:paraId="52671B7C" w14:textId="1A34E929" w:rsidR="00780703" w:rsidRDefault="00783498">
            <w:r>
              <w:t>Telecoms relay services</w:t>
            </w:r>
            <w:r w:rsidR="00ED0A46">
              <w:t>;</w:t>
            </w:r>
            <w:r>
              <w:t xml:space="preserve"> ASR</w:t>
            </w:r>
            <w:r w:rsidR="00ED0A46">
              <w:t>;</w:t>
            </w:r>
            <w:r>
              <w:t xml:space="preserve"> VRS</w:t>
            </w:r>
            <w:r w:rsidR="00ED0A46">
              <w:t>;</w:t>
            </w:r>
            <w:r>
              <w:t xml:space="preserve"> CTRS</w:t>
            </w:r>
            <w:r w:rsidR="00ED0A46">
              <w:t>;</w:t>
            </w:r>
            <w:r>
              <w:t xml:space="preserve"> FCC</w:t>
            </w:r>
          </w:p>
        </w:tc>
      </w:tr>
      <w:tr w:rsidR="00780703" w14:paraId="305A6984" w14:textId="77777777">
        <w:trPr>
          <w:jc w:val="center"/>
        </w:trPr>
        <w:tc>
          <w:tcPr>
            <w:tcW w:w="1617" w:type="dxa"/>
          </w:tcPr>
          <w:p w14:paraId="1A631604" w14:textId="77777777" w:rsidR="00780703" w:rsidRDefault="00783498">
            <w:pPr>
              <w:rPr>
                <w:b/>
              </w:rPr>
            </w:pPr>
            <w:r>
              <w:rPr>
                <w:b/>
              </w:rPr>
              <w:t>Abstract:</w:t>
            </w:r>
          </w:p>
        </w:tc>
        <w:tc>
          <w:tcPr>
            <w:tcW w:w="7739" w:type="dxa"/>
          </w:tcPr>
          <w:p w14:paraId="66504455" w14:textId="77777777" w:rsidR="00780703" w:rsidRDefault="00783498">
            <w:r>
              <w:t>This document contains examples of impact of the current pandemic on persons who are deaf or hard of relying on telephone relay services.</w:t>
            </w:r>
          </w:p>
        </w:tc>
      </w:tr>
    </w:tbl>
    <w:p w14:paraId="178EB15E" w14:textId="77777777" w:rsidR="00780703" w:rsidRDefault="00783498">
      <w:pPr>
        <w:pStyle w:val="Heading1"/>
        <w:keepLines w:val="0"/>
        <w:numPr>
          <w:ilvl w:val="0"/>
          <w:numId w:val="1"/>
        </w:numPr>
        <w:spacing w:before="240" w:after="60"/>
      </w:pPr>
      <w:r>
        <w:t>Introduction</w:t>
      </w:r>
    </w:p>
    <w:p w14:paraId="58371067" w14:textId="744BEB47" w:rsidR="00780703" w:rsidRDefault="00783498">
      <w:r>
        <w:t>The current global pandemic and the need to work remotely including primary health services</w:t>
      </w:r>
      <w:r w:rsidR="00F23E68">
        <w:t>,</w:t>
      </w:r>
      <w:r>
        <w:t xml:space="preserve"> has presented serious issues for access to telecoms for deaf, deafened and hard of hearing people worldwide. </w:t>
      </w:r>
    </w:p>
    <w:p w14:paraId="537D3488" w14:textId="77777777" w:rsidR="00780703" w:rsidRDefault="00783498">
      <w:pPr>
        <w:pStyle w:val="Heading1"/>
        <w:keepLines w:val="0"/>
        <w:numPr>
          <w:ilvl w:val="0"/>
          <w:numId w:val="1"/>
        </w:numPr>
        <w:spacing w:before="240" w:after="60"/>
      </w:pPr>
      <w:r>
        <w:t>Discussion</w:t>
      </w:r>
    </w:p>
    <w:p w14:paraId="05551B94" w14:textId="77777777" w:rsidR="00780703" w:rsidRDefault="00783498">
      <w:pPr>
        <w:rPr>
          <w:b/>
        </w:rPr>
      </w:pPr>
      <w:r>
        <w:rPr>
          <w:b/>
        </w:rPr>
        <w:t>UK examples:</w:t>
      </w:r>
    </w:p>
    <w:p w14:paraId="2D0FABE6" w14:textId="77777777" w:rsidR="00780703" w:rsidRDefault="00783498">
      <w:r>
        <w:rPr>
          <w:b/>
        </w:rPr>
        <w:t>VRS.</w:t>
      </w:r>
      <w:r>
        <w:t xml:space="preserve"> Currently, there is no nationwide VRS relay service. There are fragmented solutions in place such as BSL 111 and local health </w:t>
      </w:r>
      <w:proofErr w:type="gramStart"/>
      <w:r>
        <w:t>authorities</w:t>
      </w:r>
      <w:proofErr w:type="gramEnd"/>
      <w:r>
        <w:t xml:space="preserve"> budgets for interpretation. </w:t>
      </w:r>
    </w:p>
    <w:p w14:paraId="4D4253B2" w14:textId="77777777" w:rsidR="00780703" w:rsidRDefault="00783498">
      <w:r>
        <w:t>Deaf people who use British Sign Language have had 25,000 calls made by VRS to and from their local doctors, on a voluntary basis by a charity in England, only to be no longer available since 1</w:t>
      </w:r>
      <w:r>
        <w:rPr>
          <w:vertAlign w:val="superscript"/>
        </w:rPr>
        <w:t>st</w:t>
      </w:r>
      <w:r>
        <w:t xml:space="preserve"> April 2021. </w:t>
      </w:r>
      <w:r>
        <w:rPr>
          <w:sz w:val="22"/>
          <w:szCs w:val="22"/>
        </w:rPr>
        <w:t xml:space="preserve"> The link to the information is here </w:t>
      </w:r>
      <w:hyperlink r:id="rId11">
        <w:r>
          <w:rPr>
            <w:color w:val="0000FF"/>
            <w:u w:val="single"/>
          </w:rPr>
          <w:t>https://signhealth.org.uk/press-release/no-money-bsl-health-access-is-closing/</w:t>
        </w:r>
      </w:hyperlink>
    </w:p>
    <w:p w14:paraId="0491B5E6" w14:textId="77777777" w:rsidR="00780703" w:rsidRDefault="00780703"/>
    <w:p w14:paraId="64FBF10C" w14:textId="21203AA4" w:rsidR="00780703" w:rsidRDefault="00783498">
      <w:r>
        <w:rPr>
          <w:b/>
        </w:rPr>
        <w:t>Text Relay</w:t>
      </w:r>
      <w:r>
        <w:t xml:space="preserve">. Deaf and hard of hearing people have had serious telephone communications during the Covid-19 pandemic. This includes difficulties of their GPs (General Practitioners/local doctors) not understanding how best to use the text relay service, which </w:t>
      </w:r>
      <w:r w:rsidRPr="00F23E68">
        <w:t>requite require use</w:t>
      </w:r>
      <w:r>
        <w:t xml:space="preserve"> of prefix as well as inability of deaf and hard of hearing people to receive the call as the systems require toggling between app and phone system or even worse, using IP connection and phone line at the same time. Deafened and hard of hearing people who found it difficult to use the text relay had to rely on </w:t>
      </w:r>
      <w:r>
        <w:lastRenderedPageBreak/>
        <w:t xml:space="preserve">family members to </w:t>
      </w:r>
      <w:r w:rsidRPr="00F23E68">
        <w:rPr>
          <w:bCs/>
        </w:rPr>
        <w:t>relay</w:t>
      </w:r>
      <w:r w:rsidR="00F23E68" w:rsidRPr="00F23E68">
        <w:rPr>
          <w:bCs/>
        </w:rPr>
        <w:t xml:space="preserve"> </w:t>
      </w:r>
      <w:r w:rsidRPr="00F23E68">
        <w:rPr>
          <w:bCs/>
        </w:rPr>
        <w:t>calls</w:t>
      </w:r>
      <w:r>
        <w:t xml:space="preserve"> and if the matter was confidential, the only option was to have face to face appointment, putting at significant risk those who have been advised to shield.</w:t>
      </w:r>
    </w:p>
    <w:p w14:paraId="305B57EA" w14:textId="77777777" w:rsidR="00780703" w:rsidRDefault="00783498">
      <w:r>
        <w:t xml:space="preserve">During the recent WHO- IDDC </w:t>
      </w:r>
      <w:proofErr w:type="gramStart"/>
      <w:r>
        <w:t>workshop ,</w:t>
      </w:r>
      <w:proofErr w:type="gramEnd"/>
      <w:r>
        <w:t xml:space="preserve"> </w:t>
      </w:r>
      <w:r w:rsidRPr="00F23E68">
        <w:rPr>
          <w:bCs/>
        </w:rPr>
        <w:t>an</w:t>
      </w:r>
      <w:r>
        <w:t xml:space="preserve"> UK speaker described in detail barriers encountered using telephone consultations. To watch the seminar recording please click the </w:t>
      </w:r>
      <w:hyperlink r:id="rId12">
        <w:r>
          <w:rPr>
            <w:color w:val="0000FF"/>
            <w:u w:val="single"/>
          </w:rPr>
          <w:t>link</w:t>
        </w:r>
      </w:hyperlink>
      <w:r>
        <w:t xml:space="preserve">. </w:t>
      </w:r>
    </w:p>
    <w:p w14:paraId="3B487DD5" w14:textId="77777777" w:rsidR="00780703" w:rsidRDefault="00783498">
      <w:pPr>
        <w:spacing w:before="0"/>
        <w:rPr>
          <w:rFonts w:ascii="Arial" w:eastAsia="Arial" w:hAnsi="Arial" w:cs="Arial"/>
          <w:sz w:val="28"/>
          <w:szCs w:val="28"/>
        </w:rPr>
      </w:pPr>
      <w:r>
        <w:t xml:space="preserve">What is missing in the UK is the need for a CTRS/IPCTRS service and VRS service which will provide a functional equivalent and access. In the UK a new campaign group has been formed DAART – Deaf Access to Alternative Relay </w:t>
      </w:r>
      <w:r w:rsidRPr="00F23E68">
        <w:rPr>
          <w:bCs/>
        </w:rPr>
        <w:t>Telecommunications, one of the DAART</w:t>
      </w:r>
      <w:r>
        <w:t xml:space="preserve"> priorities is to challenge current KPI</w:t>
      </w:r>
      <w:r>
        <w:rPr>
          <w:b/>
        </w:rPr>
        <w:t>s</w:t>
      </w:r>
      <w:r>
        <w:t xml:space="preserve"> for UK  text relay which does not take into account technology </w:t>
      </w:r>
      <w:r w:rsidRPr="00F23E68">
        <w:t>development and the variety of services required. A captioned telephone relay service cannot be measured using the current KPI’s</w:t>
      </w:r>
      <w:r>
        <w:t xml:space="preserve"> in the UK for text relay because it is a different service and require compatible KPI’s for that purpose</w:t>
      </w:r>
    </w:p>
    <w:p w14:paraId="67101557" w14:textId="77777777" w:rsidR="00780703" w:rsidRDefault="00783498">
      <w:r>
        <w:t xml:space="preserve">From the anecdotal evidence, those issues as described are not confined just to the UK, with the exception being USA relay services. </w:t>
      </w:r>
    </w:p>
    <w:p w14:paraId="6F0F96F3" w14:textId="77777777" w:rsidR="00780703" w:rsidRDefault="00780703"/>
    <w:p w14:paraId="4A1714B5" w14:textId="09294154" w:rsidR="00F23E68" w:rsidRPr="004D6969" w:rsidRDefault="00783498">
      <w:pPr>
        <w:rPr>
          <w:bCs/>
          <w:u w:val="single"/>
        </w:rPr>
      </w:pPr>
      <w:r w:rsidRPr="004D6969">
        <w:rPr>
          <w:bCs/>
          <w:u w:val="single"/>
        </w:rPr>
        <w:t>Increased use of ASR in relay services and telecare</w:t>
      </w:r>
      <w:r w:rsidR="00F23E68" w:rsidRPr="004D6969">
        <w:rPr>
          <w:bCs/>
          <w:u w:val="single"/>
        </w:rPr>
        <w:t>.</w:t>
      </w:r>
    </w:p>
    <w:p w14:paraId="0EBBE51F" w14:textId="77777777" w:rsidR="00F23E68" w:rsidRPr="00F23E68" w:rsidRDefault="00F23E68">
      <w:pPr>
        <w:rPr>
          <w:bCs/>
        </w:rPr>
      </w:pPr>
    </w:p>
    <w:p w14:paraId="6EC9DF73" w14:textId="77777777" w:rsidR="00780703" w:rsidRDefault="00783498">
      <w:pPr>
        <w:spacing w:before="0"/>
      </w:pPr>
      <w:r w:rsidRPr="00F23E68">
        <w:rPr>
          <w:bCs/>
        </w:rPr>
        <w:t>Further concerns have been raised regarding the introduction of ASR (Automatic Speech Recognition) only Captioned Telephone Relay Service (CTRS) by the FCC against the regular CTRS with Communication</w:t>
      </w:r>
      <w:r>
        <w:t xml:space="preserve"> Assistants.   </w:t>
      </w:r>
    </w:p>
    <w:p w14:paraId="518E23C8" w14:textId="77777777" w:rsidR="00780703" w:rsidRDefault="00783498">
      <w:pPr>
        <w:spacing w:before="0"/>
        <w:rPr>
          <w:rFonts w:ascii="Arial" w:eastAsia="Arial" w:hAnsi="Arial" w:cs="Arial"/>
          <w:sz w:val="28"/>
          <w:szCs w:val="28"/>
        </w:rPr>
      </w:pPr>
      <w:r>
        <w:t>ASR only Captioned Telephone Relay Service does not fully meet functional equivalency.</w:t>
      </w:r>
    </w:p>
    <w:p w14:paraId="54FF83CD" w14:textId="77777777" w:rsidR="00780703" w:rsidRDefault="00783498">
      <w:pPr>
        <w:spacing w:before="0"/>
        <w:rPr>
          <w:color w:val="0000FF"/>
          <w:u w:val="single"/>
        </w:rPr>
      </w:pPr>
      <w:r>
        <w:t xml:space="preserve">Those concerns were raised in IFHOH/WFD joint statement </w:t>
      </w:r>
      <w:hyperlink r:id="rId13">
        <w:r>
          <w:rPr>
            <w:color w:val="0000FF"/>
            <w:u w:val="single"/>
          </w:rPr>
          <w:t>https://www.ifhoh.org/view-asr-statement</w:t>
        </w:r>
      </w:hyperlink>
      <w:r>
        <w:t xml:space="preserve"> and consortium of deaf and hard of hearing organizations in the USA showing their concerns </w:t>
      </w:r>
      <w:hyperlink r:id="rId14">
        <w:r>
          <w:rPr>
            <w:color w:val="0000FF"/>
            <w:u w:val="single"/>
          </w:rPr>
          <w:t>https://www.hearingreview.com/hearing-products/amplification/amplified-caption-phones/fcc-proposes-automating-phone-captioning</w:t>
        </w:r>
      </w:hyperlink>
      <w:r>
        <w:rPr>
          <w:rFonts w:ascii="Arial" w:eastAsia="Arial" w:hAnsi="Arial" w:cs="Arial"/>
        </w:rPr>
        <w:t xml:space="preserve"> </w:t>
      </w:r>
      <w:r>
        <w:t xml:space="preserve">. Clear to Connect organization has also added their concern </w:t>
      </w:r>
      <w:hyperlink r:id="rId15">
        <w:r>
          <w:rPr>
            <w:color w:val="0000FF"/>
            <w:u w:val="single"/>
          </w:rPr>
          <w:t>https://clear2connect.org/the-issue/</w:t>
        </w:r>
      </w:hyperlink>
    </w:p>
    <w:p w14:paraId="697028A3" w14:textId="77777777" w:rsidR="00780703" w:rsidRDefault="00780703">
      <w:pPr>
        <w:spacing w:before="0"/>
        <w:rPr>
          <w:color w:val="0000FF"/>
          <w:sz w:val="22"/>
          <w:szCs w:val="22"/>
          <w:u w:val="single"/>
        </w:rPr>
      </w:pPr>
    </w:p>
    <w:p w14:paraId="0ED3D4E7" w14:textId="77777777" w:rsidR="00780703" w:rsidRDefault="00783498">
      <w:pPr>
        <w:spacing w:before="0"/>
      </w:pPr>
      <w:r>
        <w:t xml:space="preserve">Recent changes in the provision of Captioned Telephone Relay Services (CTRS) in both Australia and New Zealand where the national relay services awarded new contracts has raised some serious issues. Both countries lost their </w:t>
      </w:r>
      <w:proofErr w:type="spellStart"/>
      <w:r>
        <w:t>CapTel</w:t>
      </w:r>
      <w:proofErr w:type="spellEnd"/>
      <w:r>
        <w:t xml:space="preserve"> services provided by ACE to Concentrix which have had no experience of providing a CTRS service. I understood Concentrix is using ASR hence winning the contract from ACE</w:t>
      </w:r>
    </w:p>
    <w:p w14:paraId="6F9B53AB" w14:textId="77777777" w:rsidR="00780703" w:rsidRDefault="00780703">
      <w:pPr>
        <w:spacing w:before="0"/>
      </w:pPr>
    </w:p>
    <w:p w14:paraId="34E5B857" w14:textId="77777777" w:rsidR="00780703" w:rsidRDefault="00783498">
      <w:pPr>
        <w:spacing w:before="0"/>
      </w:pPr>
      <w:r>
        <w:t xml:space="preserve">A simple comparison of two reports from the Australian Quarterly reports for their NRS National Relay Service.  </w:t>
      </w:r>
      <w:proofErr w:type="gramStart"/>
      <w:r>
        <w:t>Unfortunately</w:t>
      </w:r>
      <w:proofErr w:type="gramEnd"/>
      <w:r>
        <w:t xml:space="preserve"> they changed the format of reporting from Quarterly to Monthly.</w:t>
      </w:r>
    </w:p>
    <w:p w14:paraId="6BDDA6C3" w14:textId="77777777" w:rsidR="00780703" w:rsidRDefault="00780703">
      <w:pPr>
        <w:spacing w:before="0"/>
      </w:pPr>
    </w:p>
    <w:p w14:paraId="315379C8" w14:textId="77777777" w:rsidR="00780703" w:rsidRDefault="00783498">
      <w:pPr>
        <w:spacing w:before="0"/>
      </w:pPr>
      <w:r>
        <w:t>Monthly Report Feb 2021 shows 302 Outbound calls made by NRS Captions for the month with the service being provided by Concentrix.</w:t>
      </w:r>
    </w:p>
    <w:p w14:paraId="6A73B9B5" w14:textId="77777777" w:rsidR="00780703" w:rsidRDefault="00780703">
      <w:pPr>
        <w:spacing w:before="0"/>
      </w:pPr>
    </w:p>
    <w:p w14:paraId="74A83C9A" w14:textId="77777777" w:rsidR="00780703" w:rsidRDefault="004C4716">
      <w:pPr>
        <w:spacing w:before="0"/>
      </w:pPr>
      <w:hyperlink r:id="rId16">
        <w:r w:rsidR="00783498">
          <w:rPr>
            <w:color w:val="0000FF"/>
            <w:u w:val="single"/>
          </w:rPr>
          <w:t>https://www.communications.gov.au/documents/national-relay-service-monthly-performance-report-february-2021</w:t>
        </w:r>
      </w:hyperlink>
      <w:r w:rsidR="00783498">
        <w:t xml:space="preserve"> </w:t>
      </w:r>
    </w:p>
    <w:p w14:paraId="7529D6B4" w14:textId="77777777" w:rsidR="00780703" w:rsidRDefault="00780703">
      <w:pPr>
        <w:spacing w:before="0"/>
      </w:pPr>
    </w:p>
    <w:p w14:paraId="611EB3D8" w14:textId="77777777" w:rsidR="00780703" w:rsidRDefault="00783498">
      <w:pPr>
        <w:spacing w:before="0"/>
      </w:pPr>
      <w:r>
        <w:t xml:space="preserve">Quarterly </w:t>
      </w:r>
      <w:proofErr w:type="gramStart"/>
      <w:r>
        <w:t>Report  Quarter</w:t>
      </w:r>
      <w:proofErr w:type="gramEnd"/>
      <w:r>
        <w:t xml:space="preserve"> 1  2019-20, shows the yearly total of outbound calls made by </w:t>
      </w:r>
      <w:proofErr w:type="spellStart"/>
      <w:r>
        <w:t>CapTel</w:t>
      </w:r>
      <w:proofErr w:type="spellEnd"/>
      <w:r>
        <w:t xml:space="preserve"> handsets of approximately 220,000 calls per month with the service being provided by ACE.</w:t>
      </w:r>
    </w:p>
    <w:p w14:paraId="71E65A6E" w14:textId="77777777" w:rsidR="00780703" w:rsidRDefault="00780703">
      <w:pPr>
        <w:spacing w:before="0"/>
      </w:pPr>
    </w:p>
    <w:p w14:paraId="2D281C8E" w14:textId="77777777" w:rsidR="00780703" w:rsidRDefault="004C4716">
      <w:pPr>
        <w:spacing w:before="0"/>
      </w:pPr>
      <w:hyperlink r:id="rId17">
        <w:r w:rsidR="00783498">
          <w:rPr>
            <w:color w:val="0000FF"/>
            <w:u w:val="single"/>
          </w:rPr>
          <w:t>https://www.communications.gov.au/documents/national-relay-service-quarterly-performance-report-quarter-1-2019-20</w:t>
        </w:r>
      </w:hyperlink>
      <w:r w:rsidR="00783498">
        <w:t xml:space="preserve"> </w:t>
      </w:r>
    </w:p>
    <w:p w14:paraId="76DC5151" w14:textId="77777777" w:rsidR="00780703" w:rsidRDefault="00780703">
      <w:pPr>
        <w:spacing w:before="0"/>
      </w:pPr>
    </w:p>
    <w:p w14:paraId="7D28998B" w14:textId="77777777" w:rsidR="00780703" w:rsidRDefault="00783498">
      <w:pPr>
        <w:spacing w:before="0"/>
      </w:pPr>
      <w:r>
        <w:t>There is a significant drop in the CTRS calls from 220,000 down to 302 calls.</w:t>
      </w:r>
    </w:p>
    <w:p w14:paraId="199752EC" w14:textId="77777777" w:rsidR="00780703" w:rsidRDefault="00780703">
      <w:pPr>
        <w:spacing w:before="0"/>
      </w:pPr>
    </w:p>
    <w:p w14:paraId="6CA52EDC" w14:textId="405A27D5" w:rsidR="00780703" w:rsidRDefault="00783498">
      <w:pPr>
        <w:spacing w:before="0"/>
      </w:pPr>
      <w:r>
        <w:lastRenderedPageBreak/>
        <w:t xml:space="preserve">Two factors for drop in the </w:t>
      </w:r>
      <w:r w:rsidRPr="00F23E68">
        <w:rPr>
          <w:bCs/>
        </w:rPr>
        <w:t>number of</w:t>
      </w:r>
      <w:r>
        <w:rPr>
          <w:b/>
        </w:rPr>
        <w:t xml:space="preserve"> </w:t>
      </w:r>
      <w:r>
        <w:t xml:space="preserve">calls can be potentially explained by the change from </w:t>
      </w:r>
      <w:proofErr w:type="spellStart"/>
      <w:r>
        <w:t>CapTel</w:t>
      </w:r>
      <w:proofErr w:type="spellEnd"/>
      <w:r>
        <w:t xml:space="preserve"> handsets to IP devices or minicom which most of the users are elderly and find it difficult to make the change. Lack of robust monitoring and data on quality of services is needed.</w:t>
      </w:r>
    </w:p>
    <w:p w14:paraId="1803A789" w14:textId="77777777" w:rsidR="00780703" w:rsidRDefault="00780703">
      <w:pPr>
        <w:spacing w:before="0"/>
      </w:pPr>
    </w:p>
    <w:p w14:paraId="5F3EDEC0" w14:textId="77777777" w:rsidR="00780703" w:rsidRDefault="00783498">
      <w:pPr>
        <w:pStyle w:val="Heading1"/>
        <w:keepLines w:val="0"/>
        <w:numPr>
          <w:ilvl w:val="0"/>
          <w:numId w:val="1"/>
        </w:numPr>
        <w:spacing w:before="240" w:after="60"/>
      </w:pPr>
      <w:r>
        <w:t>Conclusion / Proposal /Proposals</w:t>
      </w:r>
    </w:p>
    <w:p w14:paraId="09F45D7F" w14:textId="77777777" w:rsidR="00780703" w:rsidRDefault="00780703">
      <w:pPr>
        <w:rPr>
          <w:highlight w:val="yellow"/>
        </w:rPr>
      </w:pPr>
    </w:p>
    <w:p w14:paraId="718D3EAF" w14:textId="03F4D11A" w:rsidR="00780703" w:rsidRDefault="00F23E68">
      <w:pPr>
        <w:spacing w:before="0"/>
      </w:pPr>
      <w:r>
        <w:t>We propose that ITU-T together with ITU-D and Q26/16</w:t>
      </w:r>
      <w:r w:rsidR="000A2C2D">
        <w:t xml:space="preserve"> organise a workshop dedicated to topic of </w:t>
      </w:r>
      <w:r w:rsidR="00783498">
        <w:t xml:space="preserve"> developing robust accessible telecoms framework with national coverage, which includes a range of relay services, mainly VRS, captioned telephony</w:t>
      </w:r>
      <w:r w:rsidR="004D6969">
        <w:t xml:space="preserve"> ( CTRS)</w:t>
      </w:r>
      <w:r w:rsidR="00783498">
        <w:t xml:space="preserve"> and text relay, which provides  equitable access to telecoms, providing a choice for the range of deaf, deafened and hard of hearing  who have different needs and requirements.</w:t>
      </w:r>
    </w:p>
    <w:p w14:paraId="52AAA4F4" w14:textId="77777777" w:rsidR="00780703" w:rsidRDefault="00780703">
      <w:pPr>
        <w:spacing w:before="0"/>
      </w:pPr>
    </w:p>
    <w:p w14:paraId="7786F556" w14:textId="2CFF3AEB" w:rsidR="00780703" w:rsidRDefault="00783498">
      <w:pPr>
        <w:spacing w:before="0"/>
      </w:pPr>
      <w:r>
        <w:t xml:space="preserve">Governments, telecoms regulators and persons responsible for public procurement services need to be aware of the issues </w:t>
      </w:r>
      <w:r w:rsidR="000A2C2D">
        <w:t>mentioned</w:t>
      </w:r>
      <w:r>
        <w:t xml:space="preserve"> and consult directly with organizations and groups representing persons who are deaf or hard of hearing when developing relay services and awarding contracts to ensure the service meets functional equivalence criteria. </w:t>
      </w:r>
    </w:p>
    <w:p w14:paraId="0F7ED623" w14:textId="77777777" w:rsidR="00780703" w:rsidRDefault="00780703">
      <w:pPr>
        <w:spacing w:before="0"/>
      </w:pPr>
    </w:p>
    <w:p w14:paraId="0FE9B3CA" w14:textId="4CD6D423" w:rsidR="00780703" w:rsidRDefault="00783498">
      <w:pPr>
        <w:spacing w:before="0"/>
      </w:pPr>
      <w:r>
        <w:t xml:space="preserve">Developing robust KPIs </w:t>
      </w:r>
      <w:r w:rsidR="004D6969">
        <w:t xml:space="preserve">for CTRS </w:t>
      </w:r>
      <w:r>
        <w:t>is a matter of urgency as advocates of the persons with disabilities and their representatives are seeking reviews with their respective regulators, notably in Australia, New Zealand, USA and the UK. Robust procurement criteria will allow national regulators to have the confidence in the services offered to persons who are deaf or hard of hearing.</w:t>
      </w:r>
    </w:p>
    <w:p w14:paraId="13A31345" w14:textId="77777777" w:rsidR="00780703" w:rsidRDefault="00780703">
      <w:pPr>
        <w:rPr>
          <w:highlight w:val="yellow"/>
        </w:rPr>
      </w:pPr>
    </w:p>
    <w:p w14:paraId="7226EB18" w14:textId="77777777" w:rsidR="00780703" w:rsidRDefault="00783498">
      <w:pPr>
        <w:jc w:val="center"/>
      </w:pPr>
      <w:r>
        <w:t>________________</w:t>
      </w:r>
    </w:p>
    <w:p w14:paraId="5A15FE4A" w14:textId="77777777" w:rsidR="00780703" w:rsidRDefault="00780703">
      <w:pPr>
        <w:spacing w:before="0"/>
        <w:rPr>
          <w:rFonts w:ascii="Arial" w:eastAsia="Arial" w:hAnsi="Arial" w:cs="Arial"/>
          <w:sz w:val="28"/>
          <w:szCs w:val="28"/>
        </w:rPr>
      </w:pPr>
      <w:bookmarkStart w:id="17" w:name="_heading=h.4d34og8" w:colFirst="0" w:colLast="0"/>
      <w:bookmarkEnd w:id="17"/>
    </w:p>
    <w:p w14:paraId="18C93F6B" w14:textId="77777777" w:rsidR="00780703" w:rsidRDefault="00780703">
      <w:pPr>
        <w:spacing w:before="0"/>
        <w:rPr>
          <w:rFonts w:ascii="Arial" w:eastAsia="Arial" w:hAnsi="Arial" w:cs="Arial"/>
          <w:sz w:val="28"/>
          <w:szCs w:val="28"/>
        </w:rPr>
      </w:pPr>
    </w:p>
    <w:p w14:paraId="7B9299E0" w14:textId="77777777" w:rsidR="00780703" w:rsidRDefault="00780703">
      <w:pPr>
        <w:spacing w:before="0"/>
        <w:rPr>
          <w:rFonts w:ascii="Arial" w:eastAsia="Arial" w:hAnsi="Arial" w:cs="Arial"/>
          <w:sz w:val="28"/>
          <w:szCs w:val="28"/>
        </w:rPr>
      </w:pPr>
    </w:p>
    <w:p w14:paraId="42261472" w14:textId="77777777" w:rsidR="00780703" w:rsidRDefault="00780703">
      <w:pPr>
        <w:spacing w:before="0"/>
        <w:rPr>
          <w:rFonts w:ascii="Arial" w:eastAsia="Arial" w:hAnsi="Arial" w:cs="Arial"/>
          <w:sz w:val="28"/>
          <w:szCs w:val="28"/>
        </w:rPr>
      </w:pPr>
    </w:p>
    <w:p w14:paraId="49EB2CCF" w14:textId="77777777" w:rsidR="00780703" w:rsidRDefault="00780703">
      <w:pPr>
        <w:spacing w:before="0"/>
        <w:rPr>
          <w:rFonts w:ascii="Arial" w:eastAsia="Arial" w:hAnsi="Arial" w:cs="Arial"/>
          <w:sz w:val="28"/>
          <w:szCs w:val="28"/>
        </w:rPr>
      </w:pPr>
    </w:p>
    <w:p w14:paraId="5E22E168" w14:textId="77777777" w:rsidR="00780703" w:rsidRDefault="00780703">
      <w:pPr>
        <w:spacing w:before="0"/>
        <w:rPr>
          <w:rFonts w:ascii="Arial" w:eastAsia="Arial" w:hAnsi="Arial" w:cs="Arial"/>
          <w:sz w:val="28"/>
          <w:szCs w:val="28"/>
        </w:rPr>
      </w:pPr>
    </w:p>
    <w:p w14:paraId="7B2E354F" w14:textId="77777777" w:rsidR="00780703" w:rsidRDefault="00780703">
      <w:pPr>
        <w:spacing w:before="0"/>
        <w:rPr>
          <w:rFonts w:ascii="Arial" w:eastAsia="Arial" w:hAnsi="Arial" w:cs="Arial"/>
          <w:sz w:val="28"/>
          <w:szCs w:val="28"/>
        </w:rPr>
      </w:pPr>
    </w:p>
    <w:p w14:paraId="36C0126F" w14:textId="77777777" w:rsidR="00780703" w:rsidRDefault="00780703">
      <w:pPr>
        <w:spacing w:before="0"/>
        <w:rPr>
          <w:rFonts w:ascii="Arial" w:eastAsia="Arial" w:hAnsi="Arial" w:cs="Arial"/>
          <w:sz w:val="28"/>
          <w:szCs w:val="28"/>
        </w:rPr>
      </w:pPr>
    </w:p>
    <w:p w14:paraId="018FF42F" w14:textId="77777777" w:rsidR="00780703" w:rsidRDefault="00780703">
      <w:pPr>
        <w:jc w:val="center"/>
      </w:pPr>
      <w:bookmarkStart w:id="18" w:name="_GoBack"/>
      <w:bookmarkEnd w:id="18"/>
    </w:p>
    <w:sectPr w:rsidR="00780703">
      <w:headerReference w:type="default" r:id="rId18"/>
      <w:pgSz w:w="11907" w:h="16840"/>
      <w:pgMar w:top="1134" w:right="1134"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2BB05" w14:textId="77777777" w:rsidR="00430E3F" w:rsidRDefault="00430E3F">
      <w:pPr>
        <w:spacing w:before="0"/>
      </w:pPr>
      <w:r>
        <w:separator/>
      </w:r>
    </w:p>
  </w:endnote>
  <w:endnote w:type="continuationSeparator" w:id="0">
    <w:p w14:paraId="3421E825" w14:textId="77777777" w:rsidR="00430E3F" w:rsidRDefault="00430E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
    <w:altName w:val="MS Mincho"/>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C194B" w14:textId="77777777" w:rsidR="00430E3F" w:rsidRDefault="00430E3F">
      <w:pPr>
        <w:spacing w:before="0"/>
      </w:pPr>
      <w:r>
        <w:separator/>
      </w:r>
    </w:p>
  </w:footnote>
  <w:footnote w:type="continuationSeparator" w:id="0">
    <w:p w14:paraId="1670F661" w14:textId="77777777" w:rsidR="00430E3F" w:rsidRDefault="00430E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21F84" w14:textId="77777777" w:rsidR="00780703" w:rsidRDefault="00783498">
    <w:pPr>
      <w:pBdr>
        <w:top w:val="nil"/>
        <w:left w:val="nil"/>
        <w:bottom w:val="nil"/>
        <w:right w:val="nil"/>
        <w:between w:val="nil"/>
      </w:pBdr>
      <w:tabs>
        <w:tab w:val="center" w:pos="4680"/>
        <w:tab w:val="right" w:pos="9360"/>
      </w:tabs>
      <w:spacing w:before="0"/>
      <w:jc w:val="center"/>
      <w:rPr>
        <w:color w:val="000000"/>
        <w:sz w:val="20"/>
        <w:szCs w:val="20"/>
      </w:rPr>
    </w:pPr>
    <w:r>
      <w:rPr>
        <w:color w:val="000000"/>
        <w:sz w:val="20"/>
        <w:szCs w:val="20"/>
      </w:rPr>
      <w:t xml:space="preserve">- </w:t>
    </w:r>
    <w:r>
      <w:rPr>
        <w:color w:val="000000"/>
        <w:sz w:val="20"/>
        <w:szCs w:val="20"/>
      </w:rPr>
      <w:fldChar w:fldCharType="begin"/>
    </w:r>
    <w:r>
      <w:rPr>
        <w:color w:val="000000"/>
        <w:sz w:val="20"/>
        <w:szCs w:val="20"/>
      </w:rPr>
      <w:instrText>PAGE</w:instrText>
    </w:r>
    <w:r>
      <w:rPr>
        <w:color w:val="000000"/>
        <w:sz w:val="20"/>
        <w:szCs w:val="20"/>
      </w:rPr>
      <w:fldChar w:fldCharType="separate"/>
    </w:r>
    <w:r w:rsidR="00F23E68">
      <w:rPr>
        <w:noProof/>
        <w:color w:val="000000"/>
        <w:sz w:val="20"/>
        <w:szCs w:val="20"/>
      </w:rPr>
      <w:t>2</w:t>
    </w:r>
    <w:r>
      <w:rPr>
        <w:color w:val="000000"/>
        <w:sz w:val="20"/>
        <w:szCs w:val="20"/>
      </w:rPr>
      <w:fldChar w:fldCharType="end"/>
    </w:r>
    <w:r>
      <w:rPr>
        <w:color w:val="000000"/>
        <w:sz w:val="20"/>
        <w:szCs w:val="20"/>
      </w:rPr>
      <w:t xml:space="preserve"> -</w:t>
    </w:r>
  </w:p>
  <w:p w14:paraId="2DDFF953" w14:textId="34F419CD" w:rsidR="00780703" w:rsidRDefault="00783498">
    <w:pPr>
      <w:pBdr>
        <w:top w:val="nil"/>
        <w:left w:val="nil"/>
        <w:bottom w:val="nil"/>
        <w:right w:val="nil"/>
        <w:between w:val="nil"/>
      </w:pBdr>
      <w:tabs>
        <w:tab w:val="center" w:pos="4680"/>
        <w:tab w:val="right" w:pos="9360"/>
      </w:tabs>
      <w:spacing w:before="0"/>
      <w:jc w:val="center"/>
      <w:rPr>
        <w:color w:val="000000"/>
        <w:sz w:val="20"/>
        <w:szCs w:val="20"/>
      </w:rPr>
    </w:pPr>
    <w:r>
      <w:rPr>
        <w:color w:val="000000"/>
        <w:sz w:val="20"/>
        <w:szCs w:val="20"/>
      </w:rPr>
      <w:t>JCA-AHF-</w:t>
    </w:r>
    <w:r w:rsidR="000F53C7">
      <w:rPr>
        <w:color w:val="000000"/>
        <w:sz w:val="20"/>
        <w:szCs w:val="20"/>
      </w:rPr>
      <w:t>428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757B5"/>
    <w:multiLevelType w:val="multilevel"/>
    <w:tmpl w:val="FB6043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703"/>
    <w:rsid w:val="000A2C2D"/>
    <w:rsid w:val="000F53C7"/>
    <w:rsid w:val="00430E3F"/>
    <w:rsid w:val="004C4716"/>
    <w:rsid w:val="004D6969"/>
    <w:rsid w:val="00780703"/>
    <w:rsid w:val="00783498"/>
    <w:rsid w:val="00ED0A46"/>
    <w:rsid w:val="00F23E68"/>
    <w:rsid w:val="00F87F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98BC"/>
  <w15:docId w15:val="{11565DE8-52E1-4F3A-8F60-C1E27F7F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GB"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15"/>
    <w:rPr>
      <w:lang w:val="en-GB" w:eastAsia="ja-JP"/>
    </w:rPr>
  </w:style>
  <w:style w:type="paragraph" w:styleId="Heading1">
    <w:name w:val="heading 1"/>
    <w:basedOn w:val="Normal"/>
    <w:next w:val="Normal"/>
    <w:link w:val="Heading1Char"/>
    <w:uiPriority w:val="9"/>
    <w:qFormat/>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b/>
      <w:szCs w:val="20"/>
      <w:lang w:eastAsia="en-US"/>
    </w:rPr>
  </w:style>
  <w:style w:type="paragraph" w:styleId="Heading2">
    <w:name w:val="heading 2"/>
    <w:basedOn w:val="Heading1"/>
    <w:next w:val="Normal"/>
    <w:link w:val="Heading2Char"/>
    <w:uiPriority w:val="9"/>
    <w:semiHidden/>
    <w:unhideWhenUsed/>
    <w:qFormat/>
    <w:rsid w:val="00566EDA"/>
    <w:pPr>
      <w:spacing w:before="240"/>
      <w:outlineLvl w:val="1"/>
    </w:pPr>
  </w:style>
  <w:style w:type="paragraph" w:styleId="Heading3">
    <w:name w:val="heading 3"/>
    <w:basedOn w:val="Heading1"/>
    <w:next w:val="Normal"/>
    <w:link w:val="Heading3Char"/>
    <w:uiPriority w:val="9"/>
    <w:semiHidden/>
    <w:unhideWhenUsed/>
    <w:qFormat/>
    <w:rsid w:val="00566EDA"/>
    <w:pPr>
      <w:spacing w:before="160"/>
      <w:outlineLvl w:val="2"/>
    </w:pPr>
  </w:style>
  <w:style w:type="paragraph" w:styleId="Heading4">
    <w:name w:val="heading 4"/>
    <w:basedOn w:val="Heading3"/>
    <w:next w:val="Normal"/>
    <w:link w:val="Heading4Char"/>
    <w:uiPriority w:val="9"/>
    <w:semiHidden/>
    <w:unhideWhenUsed/>
    <w:qFormat/>
    <w:rsid w:val="00566EDA"/>
    <w:pPr>
      <w:tabs>
        <w:tab w:val="clear" w:pos="794"/>
        <w:tab w:val="left" w:pos="1021"/>
      </w:tabs>
      <w:ind w:left="1021" w:hanging="1021"/>
      <w:outlineLvl w:val="3"/>
    </w:pPr>
  </w:style>
  <w:style w:type="paragraph" w:styleId="Heading5">
    <w:name w:val="heading 5"/>
    <w:basedOn w:val="Heading4"/>
    <w:next w:val="Normal"/>
    <w:link w:val="Heading5Char"/>
    <w:uiPriority w:val="9"/>
    <w:semiHidden/>
    <w:unhideWhenUsed/>
    <w:qFormat/>
    <w:rsid w:val="00566EDA"/>
    <w:pPr>
      <w:outlineLvl w:val="4"/>
    </w:pPr>
  </w:style>
  <w:style w:type="paragraph" w:styleId="Heading6">
    <w:name w:val="heading 6"/>
    <w:basedOn w:val="Heading4"/>
    <w:next w:val="Normal"/>
    <w:link w:val="Heading6Char"/>
    <w:uiPriority w:val="9"/>
    <w:semiHidden/>
    <w:unhideWhenUsed/>
    <w:qFormat/>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7405D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5DD"/>
    <w:rPr>
      <w:rFonts w:ascii="Segoe UI" w:hAnsi="Segoe UI" w:cs="Segoe UI"/>
      <w:sz w:val="18"/>
      <w:szCs w:val="18"/>
      <w:lang w:val="en-GB" w:eastAsia="ja-JP"/>
    </w:rPr>
  </w:style>
  <w:style w:type="character" w:customStyle="1" w:styleId="UnresolvedMention1">
    <w:name w:val="Unresolved Mention1"/>
    <w:basedOn w:val="DefaultParagraphFont"/>
    <w:uiPriority w:val="99"/>
    <w:semiHidden/>
    <w:unhideWhenUsed/>
    <w:rsid w:val="00B06A66"/>
    <w:rPr>
      <w:color w:val="605E5C"/>
      <w:shd w:val="clear" w:color="auto" w:fill="E1DFDD"/>
    </w:rPr>
  </w:style>
  <w:style w:type="character" w:styleId="CommentReference">
    <w:name w:val="annotation reference"/>
    <w:basedOn w:val="DefaultParagraphFont"/>
    <w:uiPriority w:val="99"/>
    <w:semiHidden/>
    <w:unhideWhenUsed/>
    <w:rsid w:val="00725DB0"/>
    <w:rPr>
      <w:sz w:val="16"/>
      <w:szCs w:val="16"/>
    </w:rPr>
  </w:style>
  <w:style w:type="paragraph" w:styleId="CommentText">
    <w:name w:val="annotation text"/>
    <w:basedOn w:val="Normal"/>
    <w:link w:val="CommentTextChar"/>
    <w:uiPriority w:val="99"/>
    <w:semiHidden/>
    <w:unhideWhenUsed/>
    <w:rsid w:val="00725DB0"/>
    <w:rPr>
      <w:sz w:val="20"/>
      <w:szCs w:val="20"/>
    </w:rPr>
  </w:style>
  <w:style w:type="character" w:customStyle="1" w:styleId="CommentTextChar">
    <w:name w:val="Comment Text Char"/>
    <w:basedOn w:val="DefaultParagraphFont"/>
    <w:link w:val="CommentText"/>
    <w:uiPriority w:val="99"/>
    <w:semiHidden/>
    <w:rsid w:val="00725DB0"/>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725DB0"/>
    <w:rPr>
      <w:b/>
      <w:bCs/>
    </w:rPr>
  </w:style>
  <w:style w:type="character" w:customStyle="1" w:styleId="CommentSubjectChar">
    <w:name w:val="Comment Subject Char"/>
    <w:basedOn w:val="CommentTextChar"/>
    <w:link w:val="CommentSubject"/>
    <w:uiPriority w:val="99"/>
    <w:semiHidden/>
    <w:rsid w:val="00725DB0"/>
    <w:rPr>
      <w:rFonts w:ascii="Times New Roman" w:hAnsi="Times New Roman" w:cs="Times New Roman"/>
      <w:b/>
      <w:bCs/>
      <w:sz w:val="20"/>
      <w:szCs w:val="20"/>
      <w:lang w:val="en-GB" w:eastAsia="ja-JP"/>
    </w:rPr>
  </w:style>
  <w:style w:type="table" w:customStyle="1" w:styleId="a">
    <w:basedOn w:val="TableNormal"/>
    <w:tblPr>
      <w:tblStyleRowBandSize w:val="1"/>
      <w:tblStyleColBandSize w:val="1"/>
      <w:tblCellMar>
        <w:left w:w="57" w:type="dxa"/>
        <w:right w:w="57" w:type="dxa"/>
      </w:tblCellMar>
    </w:tblPr>
  </w:style>
  <w:style w:type="table" w:customStyle="1" w:styleId="a0">
    <w:basedOn w:val="TableNormal"/>
    <w:tblPr>
      <w:tblStyleRowBandSize w:val="1"/>
      <w:tblStyleColBandSize w:val="1"/>
      <w:tblCellMar>
        <w:left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ifhoh.org/view-asr-stateme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ho.zoom.us/rec/play/SxQnI8UXyp3Q3-ZV0-gvnNYN7dA-n9UqkcQtv1cmj3Bq8MjmKH8IGVdou9ti_eJo2gDT8c32caVquoS6.pLQx0n4yL3E8Rxbc?continueMode=true&amp;_x_zm_rtaid=PvRJA66ESRq_n652VI3dPw.1617650177666.8306fa8753dd78ec223cd6abe2b293d8&amp;_x_zm_rhtaid=943" TargetMode="External"/><Relationship Id="rId17" Type="http://schemas.openxmlformats.org/officeDocument/2006/relationships/hyperlink" Target="https://www.communications.gov.au/documents/national-relay-service-quarterly-performance-report-quarter-1-2019-20" TargetMode="External"/><Relationship Id="rId2" Type="http://schemas.openxmlformats.org/officeDocument/2006/relationships/numbering" Target="numbering.xml"/><Relationship Id="rId16" Type="http://schemas.openxmlformats.org/officeDocument/2006/relationships/hyperlink" Target="https://www.communications.gov.au/documents/national-relay-service-monthly-performance-report-february-202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gnhealth.org.uk/press-release/no-money-bsl-health-access-is-closing/" TargetMode="External"/><Relationship Id="rId5" Type="http://schemas.openxmlformats.org/officeDocument/2006/relationships/webSettings" Target="webSettings.xml"/><Relationship Id="rId15" Type="http://schemas.openxmlformats.org/officeDocument/2006/relationships/hyperlink" Target="https://clear2connect.org/the-issue/" TargetMode="External"/><Relationship Id="rId23" Type="http://schemas.openxmlformats.org/officeDocument/2006/relationships/customXml" Target="../customXml/item4.xml"/><Relationship Id="rId10" Type="http://schemas.openxmlformats.org/officeDocument/2006/relationships/hyperlink" Target="mailto:best.lidia@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cceque@btinternet.com" TargetMode="External"/><Relationship Id="rId14" Type="http://schemas.openxmlformats.org/officeDocument/2006/relationships/hyperlink" Target="https://www.hearingreview.com/hearing-products/amplification/amplified-caption-phones/fcc-proposes-automating-phone-captioning"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bu7JJ8lVVbLRQ1ESBHtBw42SOcQ==">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</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78374F-31CC-4E9F-B2E2-D39892867451}"/>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B4F81D06-132B-40BE-BF2D-527EBD5B0E6A}"/>
</file>

<file path=customXml/itemProps4.xml><?xml version="1.0" encoding="utf-8"?>
<ds:datastoreItem xmlns:ds="http://schemas.openxmlformats.org/officeDocument/2006/customXml" ds:itemID="{380E4DA3-A32C-46AF-AF4E-C3A0B1A9437D}"/>
</file>

<file path=docProps/app.xml><?xml version="1.0" encoding="utf-8"?>
<Properties xmlns="http://schemas.openxmlformats.org/officeDocument/2006/extended-properties" xmlns:vt="http://schemas.openxmlformats.org/officeDocument/2006/docPropsVTypes">
  <Template>Normal.dotm</Template>
  <TotalTime>3</TotalTime>
  <Pages>3</Pages>
  <Words>949</Words>
  <Characters>5569</Characters>
  <Application>Microsoft Office Word</Application>
  <DocSecurity>0</DocSecurity>
  <Lines>142</Lines>
  <Paragraphs>55</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Telecoms Relay Services and need for robust key performance indicators (KPI)</dc:title>
  <dc:creator>G3ict</dc:creator>
  <dc:description>JCA-AHF-428  For: Virtual Geneva, 28 April 2021_x000d_Document date: _x000d_Saved by ITU51012069 at 10:04:21 AM on 4/26/2021</dc:description>
  <cp:lastModifiedBy>TSB</cp:lastModifiedBy>
  <cp:revision>5</cp:revision>
  <dcterms:created xsi:type="dcterms:W3CDTF">2021-04-26T08:02:00Z</dcterms:created>
  <dcterms:modified xsi:type="dcterms:W3CDTF">2021-04-26T08:04:00Z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0x0101000DCA7710EC0152459CD54D1C80338A63</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JCA-AHF-428</vt:lpwstr>
  </property>
  <property fmtid="{D5CDD505-2E9C-101B-9397-08002B2CF9AE}" pid="11" name="Docdate">
    <vt:lpwstr/>
  </property>
  <property fmtid="{D5CDD505-2E9C-101B-9397-08002B2CF9AE}" pid="12" name="Docorlang">
    <vt:lpwstr/>
  </property>
  <property fmtid="{D5CDD505-2E9C-101B-9397-08002B2CF9AE}" pid="13" name="Docbluepink">
    <vt:lpwstr>N/A</vt:lpwstr>
  </property>
  <property fmtid="{D5CDD505-2E9C-101B-9397-08002B2CF9AE}" pid="14" name="Docdest">
    <vt:lpwstr>Virtual Geneva, 28 April 2021</vt:lpwstr>
  </property>
  <property fmtid="{D5CDD505-2E9C-101B-9397-08002B2CF9AE}" pid="15" name="Docauthor">
    <vt:lpwstr>G3ict</vt:lpwstr>
  </property>
</Properties>
</file>