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5F08" w14:textId="77777777" w:rsidR="00287C9A" w:rsidRPr="00287C9A" w:rsidRDefault="00287C9A" w:rsidP="00287C9A">
      <w:pPr>
        <w:spacing w:before="0" w:after="160" w:line="252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 w:rsidRPr="00287C9A">
        <w:rPr>
          <w:rFonts w:ascii="Calibri" w:eastAsia="SimSun" w:hAnsi="Calibri" w:cs="Calibri"/>
          <w:b/>
          <w:bCs/>
          <w:sz w:val="28"/>
          <w:szCs w:val="28"/>
          <w:lang w:eastAsia="zh-CN"/>
        </w:rPr>
        <w:t>SEVENTH CTO MEETING</w:t>
      </w:r>
    </w:p>
    <w:p w14:paraId="23C95F09" w14:textId="77777777" w:rsidR="00287C9A" w:rsidRPr="00287C9A" w:rsidRDefault="00287C9A" w:rsidP="00287C9A">
      <w:pPr>
        <w:spacing w:before="0" w:after="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Sunday, 11 October 2015</w:t>
      </w:r>
    </w:p>
    <w:p w14:paraId="23C95F0A" w14:textId="77777777" w:rsidR="00287C9A" w:rsidRPr="00287C9A" w:rsidRDefault="00287C9A" w:rsidP="00287C9A">
      <w:pPr>
        <w:spacing w:before="0" w:after="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proofErr w:type="spellStart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Hungexpo</w:t>
      </w:r>
      <w:proofErr w:type="spellEnd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 - Budapest </w:t>
      </w:r>
    </w:p>
    <w:p w14:paraId="23C95F0B" w14:textId="77777777" w:rsidR="00287C9A" w:rsidRPr="00287C9A" w:rsidRDefault="00287C9A" w:rsidP="00287C9A">
      <w:pPr>
        <w:spacing w:before="0" w:after="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Budapest, Hungary</w:t>
      </w:r>
    </w:p>
    <w:p w14:paraId="23C95F0C" w14:textId="77777777" w:rsidR="00287C9A" w:rsidRPr="00287C9A" w:rsidRDefault="00287C9A" w:rsidP="00287C9A">
      <w:pPr>
        <w:spacing w:before="0" w:after="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8:30-12:30</w:t>
      </w:r>
    </w:p>
    <w:p w14:paraId="23C95F0D" w14:textId="77777777" w:rsidR="00287C9A" w:rsidRPr="00287C9A" w:rsidRDefault="00287C9A" w:rsidP="00287C9A">
      <w:pPr>
        <w:spacing w:before="0" w:after="0" w:line="252" w:lineRule="auto"/>
        <w:jc w:val="center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14:paraId="23C95F0E" w14:textId="551DF401" w:rsidR="00287C9A" w:rsidRPr="00287C9A" w:rsidRDefault="005F18F5" w:rsidP="005F18F5">
      <w:pPr>
        <w:spacing w:before="0" w:after="0" w:line="252" w:lineRule="auto"/>
        <w:jc w:val="center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zh-CN"/>
        </w:rPr>
        <w:t>AGENDA</w:t>
      </w:r>
    </w:p>
    <w:p w14:paraId="23C95F0F" w14:textId="77777777" w:rsidR="00287C9A" w:rsidRPr="00287C9A" w:rsidRDefault="00287C9A" w:rsidP="00287C9A">
      <w:pPr>
        <w:spacing w:before="0" w:after="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14:paraId="23C95F10" w14:textId="77777777" w:rsidR="00287C9A" w:rsidRPr="00287C9A" w:rsidRDefault="00287C9A" w:rsidP="00287C9A">
      <w:pPr>
        <w:spacing w:before="240" w:after="240" w:line="252" w:lineRule="auto"/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1.</w:t>
      </w:r>
      <w:r w:rsidRPr="00287C9A">
        <w:rPr>
          <w:rFonts w:ascii="Arial" w:eastAsia="SimSun" w:hAnsi="Arial" w:cs="Calibri"/>
          <w:b/>
          <w:bCs/>
          <w:sz w:val="24"/>
          <w:szCs w:val="24"/>
          <w:lang w:eastAsia="zh-CN"/>
        </w:rPr>
        <w:t xml:space="preserve">  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Opening Remarks and Welcome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theme="minorBidi"/>
          <w:sz w:val="24"/>
          <w:szCs w:val="24"/>
          <w:lang w:eastAsia="zh-CN"/>
        </w:rPr>
        <w:t>10’</w:t>
      </w:r>
    </w:p>
    <w:p w14:paraId="23C95F11" w14:textId="77777777" w:rsidR="00287C9A" w:rsidRPr="00287C9A" w:rsidRDefault="00287C9A" w:rsidP="00287C9A">
      <w:pPr>
        <w:spacing w:before="240" w:after="240" w:line="252" w:lineRule="auto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2.  Adoption of the Agenda</w:t>
      </w:r>
    </w:p>
    <w:p w14:paraId="23C95F12" w14:textId="77777777" w:rsidR="00287C9A" w:rsidRPr="00287C9A" w:rsidRDefault="00287C9A" w:rsidP="00287C9A">
      <w:pPr>
        <w:spacing w:before="240" w:after="240" w:line="252" w:lineRule="auto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3.  Executive Briefing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  <w:t>and Discussion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ab/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>40’</w:t>
      </w:r>
    </w:p>
    <w:p w14:paraId="7A419389" w14:textId="3AE1AEFB" w:rsidR="006A08B2" w:rsidRPr="00631FD4" w:rsidRDefault="006A08B2" w:rsidP="006A08B2">
      <w:pPr>
        <w:spacing w:before="240" w:after="240" w:line="252" w:lineRule="auto"/>
        <w:ind w:leftChars="50" w:left="100" w:firstLineChars="50" w:firstLine="120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631FD4">
        <w:rPr>
          <w:rFonts w:asciiTheme="minorHAnsi" w:eastAsia="SimSun" w:hAnsiTheme="minorHAnsi" w:cs="Calibri"/>
          <w:sz w:val="24"/>
          <w:szCs w:val="24"/>
          <w:lang w:eastAsia="zh-CN"/>
        </w:rPr>
        <w:t xml:space="preserve">3.1    Vision@2020 </w:t>
      </w:r>
      <w:r w:rsidRPr="00631FD4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(TSB)</w:t>
      </w:r>
    </w:p>
    <w:p w14:paraId="26B9501B" w14:textId="37F41782" w:rsidR="006A08B2" w:rsidRPr="00287C9A" w:rsidRDefault="006A08B2" w:rsidP="006A08B2">
      <w:pPr>
        <w:spacing w:before="240" w:after="240" w:line="252" w:lineRule="auto"/>
        <w:ind w:leftChars="50" w:left="100" w:firstLineChars="50" w:firstLine="120"/>
        <w:rPr>
          <w:rFonts w:asciiTheme="minorHAnsi" w:eastAsia="SimSun" w:hAnsiTheme="minorHAnsi" w:cs="Calibri"/>
          <w:sz w:val="24"/>
          <w:szCs w:val="24"/>
          <w:lang w:eastAsia="zh-CN"/>
        </w:rPr>
      </w:pPr>
      <w:r>
        <w:rPr>
          <w:rFonts w:asciiTheme="minorHAnsi" w:eastAsia="SimSun" w:hAnsiTheme="minorHAnsi" w:cs="Calibri"/>
          <w:sz w:val="24"/>
          <w:szCs w:val="24"/>
          <w:lang w:eastAsia="zh-CN"/>
        </w:rPr>
        <w:t>3.2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 xml:space="preserve">WTSA-16 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(TSB)</w:t>
      </w:r>
    </w:p>
    <w:p w14:paraId="23C95F14" w14:textId="77777777" w:rsidR="00287C9A" w:rsidRPr="00287C9A" w:rsidRDefault="00287C9A" w:rsidP="00287C9A">
      <w:pPr>
        <w:snapToGrid w:val="0"/>
        <w:spacing w:before="240" w:after="240" w:line="252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4.  Strategic Issues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sz w:val="24"/>
          <w:szCs w:val="24"/>
          <w:lang w:eastAsia="zh-CN"/>
        </w:rPr>
        <w:t>120’</w:t>
      </w:r>
    </w:p>
    <w:p w14:paraId="23C95F15" w14:textId="77777777" w:rsidR="00287C9A" w:rsidRPr="00287C9A" w:rsidRDefault="00287C9A" w:rsidP="00287C9A">
      <w:pPr>
        <w:spacing w:before="240" w:after="240" w:line="252" w:lineRule="auto"/>
        <w:ind w:left="284" w:hanging="142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4.1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5G</w:t>
      </w:r>
    </w:p>
    <w:p w14:paraId="23C95F16" w14:textId="79269B0F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New service opportunities – the role of Network Function Virtualization (NFV) in 5G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</w:t>
      </w:r>
      <w:r w:rsidR="005F18F5" w:rsidRPr="005F18F5">
        <w:rPr>
          <w:rFonts w:ascii="Calibri" w:eastAsia="SimSun" w:hAnsi="Calibri" w:cs="Calibri"/>
          <w:sz w:val="24"/>
          <w:szCs w:val="24"/>
          <w:lang w:eastAsia="zh-CN"/>
        </w:rPr>
        <w:t>on behalf of</w:t>
      </w:r>
      <w:r w:rsidR="005F18F5"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Telecom Italia)</w:t>
      </w:r>
    </w:p>
    <w:p w14:paraId="23C95F17" w14:textId="77777777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Operator requirements for 5G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(KT Corp)</w:t>
      </w:r>
    </w:p>
    <w:p w14:paraId="23C95F18" w14:textId="77777777" w:rsidR="00287C9A" w:rsidRPr="00287C9A" w:rsidRDefault="00287C9A" w:rsidP="00937E5F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Role of ITU-T towards SDG: Bridging the gap between industry driven standards and fulfilling sustainable development goals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(Nokia)</w:t>
      </w: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23C95F19" w14:textId="77777777" w:rsidR="00287C9A" w:rsidRPr="00287C9A" w:rsidRDefault="00287C9A" w:rsidP="00287C9A">
      <w:pPr>
        <w:spacing w:before="240" w:after="240" w:line="252" w:lineRule="auto"/>
        <w:ind w:left="284" w:hanging="142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4.2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</w:r>
      <w:proofErr w:type="spellStart"/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>IoT</w:t>
      </w:r>
      <w:proofErr w:type="spellEnd"/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 xml:space="preserve"> </w:t>
      </w:r>
    </w:p>
    <w:p w14:paraId="23C95F1A" w14:textId="77777777" w:rsidR="00287C9A" w:rsidRPr="00287C9A" w:rsidRDefault="00287C9A" w:rsidP="00937E5F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 xml:space="preserve">Update on ITU-T activities related to </w:t>
      </w:r>
      <w:proofErr w:type="spellStart"/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>IoT</w:t>
      </w:r>
      <w:proofErr w:type="spellEnd"/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 xml:space="preserve"> 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(TSB)</w:t>
      </w:r>
    </w:p>
    <w:p w14:paraId="23C95F1B" w14:textId="77777777" w:rsidR="00287C9A" w:rsidRPr="00287C9A" w:rsidRDefault="00287C9A" w:rsidP="00287C9A">
      <w:pPr>
        <w:spacing w:before="240" w:after="240" w:line="252" w:lineRule="auto"/>
        <w:ind w:firstLine="284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>4.3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Interoperability in fixed-mobile hybrid environments</w:t>
      </w:r>
    </w:p>
    <w:p w14:paraId="23C95F1C" w14:textId="77777777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Ensuring service interoperability between different operators and countries, especially supporting high quality voice and video communications over fixed-mobile hybrid environments; including control and management, architecture, and mechanisms that will support such service interoperability.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(TSB)</w:t>
      </w: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 (TSB Dir will summarize discussions he had with various CTOs)</w:t>
      </w:r>
    </w:p>
    <w:p w14:paraId="23C95F1D" w14:textId="77777777" w:rsidR="00287C9A" w:rsidRPr="00287C9A" w:rsidRDefault="00287C9A" w:rsidP="00287C9A">
      <w:pPr>
        <w:snapToGrid w:val="0"/>
        <w:spacing w:before="0" w:after="160" w:line="252" w:lineRule="auto"/>
        <w:ind w:left="284" w:hanging="426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>Coffee break</w:t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i/>
          <w:iCs/>
          <w:sz w:val="24"/>
          <w:szCs w:val="24"/>
          <w:lang w:eastAsia="zh-CN"/>
        </w:rPr>
        <w:tab/>
        <w:t>25’</w:t>
      </w:r>
    </w:p>
    <w:p w14:paraId="23C95F1E" w14:textId="77777777" w:rsidR="00287C9A" w:rsidRPr="00287C9A" w:rsidRDefault="00287C9A" w:rsidP="00287C9A">
      <w:pPr>
        <w:spacing w:before="240" w:after="240" w:line="252" w:lineRule="auto"/>
        <w:ind w:left="284" w:hanging="142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4.4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 xml:space="preserve">Trust </w:t>
      </w:r>
    </w:p>
    <w:p w14:paraId="23C95F1F" w14:textId="77777777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lastRenderedPageBreak/>
        <w:t xml:space="preserve">Strengthening trust in telecommunications systems and information and communication technologies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(TSB)</w:t>
      </w:r>
    </w:p>
    <w:p w14:paraId="23C95F20" w14:textId="77777777" w:rsidR="00287C9A" w:rsidRPr="00287C9A" w:rsidRDefault="00287C9A" w:rsidP="00287C9A">
      <w:pPr>
        <w:spacing w:before="240" w:after="240" w:line="252" w:lineRule="auto"/>
        <w:ind w:left="284" w:hanging="142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>4.5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 xml:space="preserve">Standards and Open Source </w:t>
      </w:r>
      <w:r w:rsidRPr="00287C9A">
        <w:rPr>
          <w:rFonts w:asciiTheme="minorHAnsi" w:eastAsia="SimSun" w:hAnsiTheme="minorHAnsi" w:cs="Calibri"/>
          <w:b/>
          <w:bCs/>
          <w:sz w:val="24"/>
          <w:szCs w:val="24"/>
          <w:lang w:eastAsia="zh-CN"/>
        </w:rPr>
        <w:t>(Huawei)</w:t>
      </w: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 xml:space="preserve"> </w:t>
      </w:r>
    </w:p>
    <w:p w14:paraId="23C95F21" w14:textId="77777777" w:rsidR="00287C9A" w:rsidRPr="00287C9A" w:rsidRDefault="00287C9A" w:rsidP="00287C9A">
      <w:pPr>
        <w:spacing w:before="240" w:after="240" w:line="252" w:lineRule="auto"/>
        <w:ind w:left="284" w:hanging="142"/>
        <w:rPr>
          <w:rFonts w:asciiTheme="minorHAnsi" w:eastAsia="SimSun" w:hAnsiTheme="minorHAnsi" w:cs="Calibri"/>
          <w:sz w:val="24"/>
          <w:szCs w:val="24"/>
          <w:lang w:eastAsia="zh-CN"/>
        </w:rPr>
      </w:pPr>
      <w:r w:rsidRPr="00287C9A">
        <w:rPr>
          <w:rFonts w:asciiTheme="minorHAnsi" w:eastAsia="SimSun" w:hAnsiTheme="minorHAnsi" w:cs="Calibri"/>
          <w:sz w:val="24"/>
          <w:szCs w:val="24"/>
          <w:lang w:eastAsia="zh-CN"/>
        </w:rPr>
        <w:tab/>
        <w:t xml:space="preserve">4.6 The role of CTOs in ITU-T governance </w:t>
      </w:r>
    </w:p>
    <w:p w14:paraId="23C95F22" w14:textId="77777777" w:rsidR="00287C9A" w:rsidRPr="00287C9A" w:rsidRDefault="00287C9A" w:rsidP="00937E5F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Status report on the proposed ITU-T Standardization Strategy Function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(Review Committee Chairman)</w:t>
      </w:r>
    </w:p>
    <w:p w14:paraId="23C95F23" w14:textId="77777777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proofErr w:type="spellStart"/>
      <w:r w:rsidRPr="00287C9A">
        <w:rPr>
          <w:rFonts w:ascii="Calibri" w:eastAsia="SimSun" w:hAnsi="Calibri" w:cs="Calibri"/>
          <w:sz w:val="24"/>
          <w:szCs w:val="24"/>
          <w:lang w:eastAsia="zh-CN"/>
        </w:rPr>
        <w:t>Tunisie</w:t>
      </w:r>
      <w:proofErr w:type="spellEnd"/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 Telecom’s views on the nature of  the proposed ITU-T Standardization Strategy Function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</w:t>
      </w:r>
      <w:proofErr w:type="spellStart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Tunisie</w:t>
      </w:r>
      <w:proofErr w:type="spellEnd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 Telecom)</w:t>
      </w:r>
    </w:p>
    <w:p w14:paraId="23C95F24" w14:textId="77777777" w:rsidR="00287C9A" w:rsidRPr="00287C9A" w:rsidRDefault="00287C9A" w:rsidP="00287C9A">
      <w:pPr>
        <w:snapToGrid w:val="0"/>
        <w:spacing w:before="240" w:after="240" w:line="252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5.  Responding to the Needs of Developing Countries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sz w:val="24"/>
          <w:szCs w:val="24"/>
          <w:lang w:eastAsia="zh-CN"/>
        </w:rPr>
        <w:t>10’</w:t>
      </w:r>
    </w:p>
    <w:p w14:paraId="23C95F25" w14:textId="77777777" w:rsidR="00287C9A" w:rsidRPr="00287C9A" w:rsidRDefault="00287C9A" w:rsidP="00287C9A">
      <w:pPr>
        <w:numPr>
          <w:ilvl w:val="0"/>
          <w:numId w:val="5"/>
        </w:numPr>
        <w:snapToGrid w:val="0"/>
        <w:spacing w:before="0" w:after="160" w:line="254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sz w:val="24"/>
          <w:szCs w:val="24"/>
          <w:lang w:eastAsia="zh-CN"/>
        </w:rPr>
        <w:t xml:space="preserve">Identifying the needs of developing countries 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(</w:t>
      </w:r>
      <w:proofErr w:type="spellStart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Tunisie</w:t>
      </w:r>
      <w:proofErr w:type="spellEnd"/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 Telecom)</w:t>
      </w:r>
    </w:p>
    <w:p w14:paraId="23C95F26" w14:textId="77777777" w:rsidR="00287C9A" w:rsidRPr="00287C9A" w:rsidRDefault="00287C9A" w:rsidP="00287C9A">
      <w:pPr>
        <w:spacing w:before="240" w:after="240" w:line="252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6.  Communiqué and List of Actions</w:t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ab/>
      </w:r>
      <w:r w:rsidRPr="00287C9A">
        <w:rPr>
          <w:rFonts w:ascii="Calibri" w:eastAsia="SimSun" w:hAnsi="Calibri" w:cs="Calibri"/>
          <w:sz w:val="24"/>
          <w:szCs w:val="24"/>
          <w:lang w:eastAsia="zh-CN"/>
        </w:rPr>
        <w:t>35’</w:t>
      </w:r>
    </w:p>
    <w:p w14:paraId="23C95F27" w14:textId="77777777" w:rsidR="00287C9A" w:rsidRPr="00287C9A" w:rsidRDefault="00287C9A" w:rsidP="00287C9A">
      <w:pPr>
        <w:spacing w:before="240" w:after="240" w:line="252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287C9A">
        <w:rPr>
          <w:rFonts w:ascii="Calibri" w:eastAsia="SimSun" w:hAnsi="Calibri" w:cs="Calibri"/>
          <w:b/>
          <w:bCs/>
          <w:sz w:val="24"/>
          <w:szCs w:val="24"/>
          <w:lang w:eastAsia="zh-CN"/>
        </w:rPr>
        <w:t>7.  Close of Meeting</w:t>
      </w:r>
    </w:p>
    <w:p w14:paraId="23C95F28" w14:textId="77777777" w:rsidR="00287C9A" w:rsidRPr="00287C9A" w:rsidRDefault="00287C9A" w:rsidP="00287C9A">
      <w:pPr>
        <w:spacing w:before="0" w:after="160" w:line="252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23C95F29" w14:textId="77777777" w:rsidR="001B5C5F" w:rsidRPr="00C9418A" w:rsidRDefault="001B5C5F" w:rsidP="001129C2">
      <w:pPr>
        <w:adjustRightInd w:val="0"/>
        <w:spacing w:before="1200" w:after="0"/>
        <w:ind w:right="238"/>
        <w:rPr>
          <w:rFonts w:asciiTheme="minorHAnsi" w:hAnsiTheme="minorHAnsi" w:cstheme="minorHAnsi"/>
        </w:rPr>
      </w:pPr>
    </w:p>
    <w:sectPr w:rsidR="001B5C5F" w:rsidRPr="00C9418A" w:rsidSect="006D1CA6">
      <w:headerReference w:type="default" r:id="rId10"/>
      <w:headerReference w:type="first" r:id="rId11"/>
      <w:footerReference w:type="first" r:id="rId12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C9D2" w14:textId="77777777" w:rsidR="005959AF" w:rsidRDefault="005959AF">
      <w:r>
        <w:separator/>
      </w:r>
    </w:p>
  </w:endnote>
  <w:endnote w:type="continuationSeparator" w:id="0">
    <w:p w14:paraId="42E8BADA" w14:textId="77777777" w:rsidR="005959AF" w:rsidRDefault="005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5F34" w14:textId="77777777" w:rsidR="00286B53" w:rsidRPr="005D6D4C" w:rsidRDefault="00286B53" w:rsidP="005D6D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A933" w14:textId="77777777" w:rsidR="005959AF" w:rsidRDefault="005959AF">
      <w:r>
        <w:separator/>
      </w:r>
    </w:p>
  </w:footnote>
  <w:footnote w:type="continuationSeparator" w:id="0">
    <w:p w14:paraId="115D164A" w14:textId="77777777" w:rsidR="005959AF" w:rsidRDefault="0059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5F2E" w14:textId="77777777" w:rsidR="00852A14" w:rsidRDefault="00852A14" w:rsidP="00852A14">
    <w:pPr>
      <w:pStyle w:val="Header"/>
      <w:jc w:val="center"/>
    </w:pPr>
    <w:r>
      <w:rPr>
        <w:rStyle w:val="PageNumber"/>
        <w:sz w:val="16"/>
        <w:szCs w:val="16"/>
      </w:rPr>
      <w:t>- 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5F18F5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 -</w:t>
    </w:r>
  </w:p>
  <w:p w14:paraId="23C95F2F" w14:textId="77777777" w:rsidR="00A9115F" w:rsidRDefault="00A9115F">
    <w:pPr>
      <w:rPr>
        <w:b/>
        <w:vanish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889"/>
      <w:gridCol w:w="5000"/>
    </w:tblGrid>
    <w:tr w:rsidR="006D1CA6" w14:paraId="23C95F32" w14:textId="77777777" w:rsidTr="00930FCB">
      <w:tc>
        <w:tcPr>
          <w:tcW w:w="4889" w:type="dxa"/>
          <w:shd w:val="clear" w:color="auto" w:fill="auto"/>
        </w:tcPr>
        <w:p w14:paraId="23C95F30" w14:textId="77777777" w:rsidR="006D1CA6" w:rsidRPr="00930FCB" w:rsidRDefault="00BB53C9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23C95F35" wp14:editId="23C95F36">
                <wp:extent cx="53340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auto"/>
        </w:tcPr>
        <w:p w14:paraId="23C95F31" w14:textId="77777777" w:rsidR="006D1CA6" w:rsidRPr="00930FCB" w:rsidRDefault="00BB53C9" w:rsidP="00930FCB">
          <w:pPr>
            <w:pStyle w:val="Header"/>
            <w:spacing w:line="360" w:lineRule="auto"/>
            <w:jc w:val="right"/>
            <w:rPr>
              <w:rFonts w:cs="Calibri"/>
              <w:lang w:val="fr-CH"/>
            </w:rPr>
          </w:pPr>
          <w:r w:rsidRPr="00930FCB">
            <w:rPr>
              <w:rFonts w:cs="Calibri"/>
              <w:noProof/>
              <w:lang w:eastAsia="zh-CN"/>
            </w:rPr>
            <w:drawing>
              <wp:inline distT="0" distB="0" distL="0" distR="0" wp14:anchorId="23C95F37" wp14:editId="23C95F38">
                <wp:extent cx="1114425" cy="838200"/>
                <wp:effectExtent l="0" t="0" r="9525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C95F33" w14:textId="77777777" w:rsidR="006D1CA6" w:rsidRDefault="006D1CA6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DCA"/>
    <w:multiLevelType w:val="hybridMultilevel"/>
    <w:tmpl w:val="9AC60ACE"/>
    <w:lvl w:ilvl="0" w:tplc="EBDC1BB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756"/>
    <w:multiLevelType w:val="hybridMultilevel"/>
    <w:tmpl w:val="65C81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D2AF2C">
      <w:numFmt w:val="bullet"/>
      <w:lvlText w:val="–"/>
      <w:lvlJc w:val="left"/>
      <w:pPr>
        <w:ind w:left="2084" w:hanging="644"/>
      </w:pPr>
      <w:rPr>
        <w:rFonts w:ascii="Calibri" w:eastAsia="SimSu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6C1F"/>
    <w:multiLevelType w:val="hybridMultilevel"/>
    <w:tmpl w:val="6A46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F1AB1"/>
    <w:multiLevelType w:val="hybridMultilevel"/>
    <w:tmpl w:val="5BBA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7714"/>
    <w:rsid w:val="0000794D"/>
    <w:rsid w:val="000114F5"/>
    <w:rsid w:val="0001795F"/>
    <w:rsid w:val="00030613"/>
    <w:rsid w:val="00043820"/>
    <w:rsid w:val="00046EFE"/>
    <w:rsid w:val="0004783C"/>
    <w:rsid w:val="00075C61"/>
    <w:rsid w:val="00077924"/>
    <w:rsid w:val="00081173"/>
    <w:rsid w:val="0008220E"/>
    <w:rsid w:val="000839AF"/>
    <w:rsid w:val="00084B09"/>
    <w:rsid w:val="0008511A"/>
    <w:rsid w:val="000B3EAD"/>
    <w:rsid w:val="000B3FBF"/>
    <w:rsid w:val="000C16C2"/>
    <w:rsid w:val="000C773A"/>
    <w:rsid w:val="000E0DCF"/>
    <w:rsid w:val="000E51B9"/>
    <w:rsid w:val="000F01F7"/>
    <w:rsid w:val="000F2589"/>
    <w:rsid w:val="000F278D"/>
    <w:rsid w:val="000F2E9B"/>
    <w:rsid w:val="000F56EF"/>
    <w:rsid w:val="000F7FF3"/>
    <w:rsid w:val="0010441D"/>
    <w:rsid w:val="00106BAB"/>
    <w:rsid w:val="001129C2"/>
    <w:rsid w:val="00125AFD"/>
    <w:rsid w:val="001300E7"/>
    <w:rsid w:val="0013341D"/>
    <w:rsid w:val="00150A3B"/>
    <w:rsid w:val="00151B4C"/>
    <w:rsid w:val="0015216B"/>
    <w:rsid w:val="001527B6"/>
    <w:rsid w:val="00161FA8"/>
    <w:rsid w:val="00167BCA"/>
    <w:rsid w:val="0017243A"/>
    <w:rsid w:val="00175578"/>
    <w:rsid w:val="00185D65"/>
    <w:rsid w:val="001A3AA7"/>
    <w:rsid w:val="001B42A4"/>
    <w:rsid w:val="001B5C5F"/>
    <w:rsid w:val="001B6F09"/>
    <w:rsid w:val="001C3D88"/>
    <w:rsid w:val="001C6AFE"/>
    <w:rsid w:val="001C72A3"/>
    <w:rsid w:val="001D5BE1"/>
    <w:rsid w:val="001D7C41"/>
    <w:rsid w:val="001E1E2B"/>
    <w:rsid w:val="001F5E80"/>
    <w:rsid w:val="0020429F"/>
    <w:rsid w:val="002353A7"/>
    <w:rsid w:val="00253BC4"/>
    <w:rsid w:val="00263DB8"/>
    <w:rsid w:val="00264D77"/>
    <w:rsid w:val="002820B9"/>
    <w:rsid w:val="00286B53"/>
    <w:rsid w:val="00287C9A"/>
    <w:rsid w:val="0029673A"/>
    <w:rsid w:val="002A267B"/>
    <w:rsid w:val="002B17FF"/>
    <w:rsid w:val="002B3938"/>
    <w:rsid w:val="002C5709"/>
    <w:rsid w:val="002C7AA2"/>
    <w:rsid w:val="002D0E3D"/>
    <w:rsid w:val="002D55E3"/>
    <w:rsid w:val="002D7F32"/>
    <w:rsid w:val="002F2AB5"/>
    <w:rsid w:val="002F7603"/>
    <w:rsid w:val="0030369C"/>
    <w:rsid w:val="003105EB"/>
    <w:rsid w:val="003165F0"/>
    <w:rsid w:val="003253F2"/>
    <w:rsid w:val="00326B7C"/>
    <w:rsid w:val="00333F3B"/>
    <w:rsid w:val="00334517"/>
    <w:rsid w:val="00337CA4"/>
    <w:rsid w:val="0034222E"/>
    <w:rsid w:val="00350A1C"/>
    <w:rsid w:val="00370934"/>
    <w:rsid w:val="00390162"/>
    <w:rsid w:val="003A0432"/>
    <w:rsid w:val="003B22F7"/>
    <w:rsid w:val="003C1CA5"/>
    <w:rsid w:val="003C426F"/>
    <w:rsid w:val="003C502B"/>
    <w:rsid w:val="003D0970"/>
    <w:rsid w:val="003D421A"/>
    <w:rsid w:val="003D507D"/>
    <w:rsid w:val="003D7E61"/>
    <w:rsid w:val="003E1EE0"/>
    <w:rsid w:val="003E4306"/>
    <w:rsid w:val="003E622C"/>
    <w:rsid w:val="00402DEA"/>
    <w:rsid w:val="004035E9"/>
    <w:rsid w:val="00407239"/>
    <w:rsid w:val="004177BD"/>
    <w:rsid w:val="0043416A"/>
    <w:rsid w:val="00435428"/>
    <w:rsid w:val="004360BB"/>
    <w:rsid w:val="004371C6"/>
    <w:rsid w:val="004374A7"/>
    <w:rsid w:val="004567F7"/>
    <w:rsid w:val="00464C5B"/>
    <w:rsid w:val="0047039A"/>
    <w:rsid w:val="00473C99"/>
    <w:rsid w:val="00476FC5"/>
    <w:rsid w:val="00484601"/>
    <w:rsid w:val="0048609D"/>
    <w:rsid w:val="00491ECD"/>
    <w:rsid w:val="004A59A5"/>
    <w:rsid w:val="004B23C5"/>
    <w:rsid w:val="004C62E2"/>
    <w:rsid w:val="004D36CE"/>
    <w:rsid w:val="004E331B"/>
    <w:rsid w:val="004E6CC2"/>
    <w:rsid w:val="004F53BF"/>
    <w:rsid w:val="004F6910"/>
    <w:rsid w:val="00511F82"/>
    <w:rsid w:val="0052197A"/>
    <w:rsid w:val="00533D37"/>
    <w:rsid w:val="005345B1"/>
    <w:rsid w:val="00540F3E"/>
    <w:rsid w:val="00542FD9"/>
    <w:rsid w:val="00543E60"/>
    <w:rsid w:val="00544663"/>
    <w:rsid w:val="00547631"/>
    <w:rsid w:val="00574F8A"/>
    <w:rsid w:val="00591776"/>
    <w:rsid w:val="00594D25"/>
    <w:rsid w:val="005959AF"/>
    <w:rsid w:val="005A6C1E"/>
    <w:rsid w:val="005A7256"/>
    <w:rsid w:val="005B0BDF"/>
    <w:rsid w:val="005B0DBE"/>
    <w:rsid w:val="005C1958"/>
    <w:rsid w:val="005D4C52"/>
    <w:rsid w:val="005D6D4C"/>
    <w:rsid w:val="005F18F5"/>
    <w:rsid w:val="005F1E04"/>
    <w:rsid w:val="005F358A"/>
    <w:rsid w:val="005F5BC0"/>
    <w:rsid w:val="006029F1"/>
    <w:rsid w:val="006067B4"/>
    <w:rsid w:val="00615BB1"/>
    <w:rsid w:val="00626868"/>
    <w:rsid w:val="006275E0"/>
    <w:rsid w:val="00630DDC"/>
    <w:rsid w:val="00631FD4"/>
    <w:rsid w:val="00643008"/>
    <w:rsid w:val="00643369"/>
    <w:rsid w:val="00645267"/>
    <w:rsid w:val="006550C9"/>
    <w:rsid w:val="00664AF5"/>
    <w:rsid w:val="00670BE8"/>
    <w:rsid w:val="00677285"/>
    <w:rsid w:val="0068109A"/>
    <w:rsid w:val="00694FF5"/>
    <w:rsid w:val="00697332"/>
    <w:rsid w:val="006A08B2"/>
    <w:rsid w:val="006A3243"/>
    <w:rsid w:val="006A4DE4"/>
    <w:rsid w:val="006B3D5F"/>
    <w:rsid w:val="006C2BE9"/>
    <w:rsid w:val="006C5C35"/>
    <w:rsid w:val="006C708D"/>
    <w:rsid w:val="006D1CA6"/>
    <w:rsid w:val="006D3120"/>
    <w:rsid w:val="006D4855"/>
    <w:rsid w:val="006D4F80"/>
    <w:rsid w:val="006F3DA8"/>
    <w:rsid w:val="006F6C5C"/>
    <w:rsid w:val="00720B14"/>
    <w:rsid w:val="00721281"/>
    <w:rsid w:val="007443E4"/>
    <w:rsid w:val="00750BBA"/>
    <w:rsid w:val="00757841"/>
    <w:rsid w:val="00773872"/>
    <w:rsid w:val="00774A35"/>
    <w:rsid w:val="00783B51"/>
    <w:rsid w:val="007847C7"/>
    <w:rsid w:val="007921DE"/>
    <w:rsid w:val="0079399A"/>
    <w:rsid w:val="00793CE0"/>
    <w:rsid w:val="00796AC0"/>
    <w:rsid w:val="007A3E92"/>
    <w:rsid w:val="007A4FE1"/>
    <w:rsid w:val="007B3D41"/>
    <w:rsid w:val="007B451F"/>
    <w:rsid w:val="007B5237"/>
    <w:rsid w:val="007B73C4"/>
    <w:rsid w:val="007C18FF"/>
    <w:rsid w:val="007C3F93"/>
    <w:rsid w:val="007C4EA3"/>
    <w:rsid w:val="007E2096"/>
    <w:rsid w:val="007E61ED"/>
    <w:rsid w:val="007E770B"/>
    <w:rsid w:val="007F58F6"/>
    <w:rsid w:val="007F5CC1"/>
    <w:rsid w:val="00821E58"/>
    <w:rsid w:val="00824B53"/>
    <w:rsid w:val="008250EF"/>
    <w:rsid w:val="00835D89"/>
    <w:rsid w:val="00837686"/>
    <w:rsid w:val="00847A5D"/>
    <w:rsid w:val="00852A14"/>
    <w:rsid w:val="00860E87"/>
    <w:rsid w:val="00863785"/>
    <w:rsid w:val="00875A84"/>
    <w:rsid w:val="008772E5"/>
    <w:rsid w:val="008777AE"/>
    <w:rsid w:val="00880AA1"/>
    <w:rsid w:val="008901A9"/>
    <w:rsid w:val="00890E86"/>
    <w:rsid w:val="00891057"/>
    <w:rsid w:val="008A2EBE"/>
    <w:rsid w:val="008A6BD4"/>
    <w:rsid w:val="008B05AB"/>
    <w:rsid w:val="008B088F"/>
    <w:rsid w:val="008B7543"/>
    <w:rsid w:val="008C32C1"/>
    <w:rsid w:val="0090442A"/>
    <w:rsid w:val="00907F05"/>
    <w:rsid w:val="00914148"/>
    <w:rsid w:val="00915EDC"/>
    <w:rsid w:val="00925711"/>
    <w:rsid w:val="00930FCB"/>
    <w:rsid w:val="0093296C"/>
    <w:rsid w:val="00933107"/>
    <w:rsid w:val="00937E5F"/>
    <w:rsid w:val="00945C2D"/>
    <w:rsid w:val="00956ED1"/>
    <w:rsid w:val="009578B1"/>
    <w:rsid w:val="00963103"/>
    <w:rsid w:val="00973779"/>
    <w:rsid w:val="00976832"/>
    <w:rsid w:val="00983901"/>
    <w:rsid w:val="00984823"/>
    <w:rsid w:val="009940A6"/>
    <w:rsid w:val="00997E4F"/>
    <w:rsid w:val="009A1448"/>
    <w:rsid w:val="009B75FB"/>
    <w:rsid w:val="009C0883"/>
    <w:rsid w:val="009C15BD"/>
    <w:rsid w:val="009D0084"/>
    <w:rsid w:val="009D1466"/>
    <w:rsid w:val="009E522C"/>
    <w:rsid w:val="009E5DDF"/>
    <w:rsid w:val="009E709D"/>
    <w:rsid w:val="009F18C7"/>
    <w:rsid w:val="009F58DD"/>
    <w:rsid w:val="00A21ABD"/>
    <w:rsid w:val="00A272D6"/>
    <w:rsid w:val="00A31AEF"/>
    <w:rsid w:val="00A365DB"/>
    <w:rsid w:val="00A37354"/>
    <w:rsid w:val="00A47ACF"/>
    <w:rsid w:val="00A53214"/>
    <w:rsid w:val="00A5775D"/>
    <w:rsid w:val="00A61A36"/>
    <w:rsid w:val="00A64AB1"/>
    <w:rsid w:val="00A6636E"/>
    <w:rsid w:val="00A827DC"/>
    <w:rsid w:val="00A85A09"/>
    <w:rsid w:val="00A9115F"/>
    <w:rsid w:val="00A92C7A"/>
    <w:rsid w:val="00A95F09"/>
    <w:rsid w:val="00A96224"/>
    <w:rsid w:val="00AA45A1"/>
    <w:rsid w:val="00AA5D60"/>
    <w:rsid w:val="00AB3C06"/>
    <w:rsid w:val="00AB40C4"/>
    <w:rsid w:val="00AB45B0"/>
    <w:rsid w:val="00AB4AE6"/>
    <w:rsid w:val="00AC1AAC"/>
    <w:rsid w:val="00AD02CA"/>
    <w:rsid w:val="00AD1F1F"/>
    <w:rsid w:val="00AD2BD5"/>
    <w:rsid w:val="00AE2880"/>
    <w:rsid w:val="00AE7C62"/>
    <w:rsid w:val="00B0228D"/>
    <w:rsid w:val="00B10DEC"/>
    <w:rsid w:val="00B2152B"/>
    <w:rsid w:val="00B24EB9"/>
    <w:rsid w:val="00B2504C"/>
    <w:rsid w:val="00B25D09"/>
    <w:rsid w:val="00B27D10"/>
    <w:rsid w:val="00B34932"/>
    <w:rsid w:val="00B361CA"/>
    <w:rsid w:val="00B40515"/>
    <w:rsid w:val="00B60D11"/>
    <w:rsid w:val="00B62B90"/>
    <w:rsid w:val="00B7142F"/>
    <w:rsid w:val="00B725E5"/>
    <w:rsid w:val="00B76EF8"/>
    <w:rsid w:val="00B80349"/>
    <w:rsid w:val="00B854FE"/>
    <w:rsid w:val="00B95588"/>
    <w:rsid w:val="00B96EBA"/>
    <w:rsid w:val="00B9766B"/>
    <w:rsid w:val="00BA550B"/>
    <w:rsid w:val="00BA5C5C"/>
    <w:rsid w:val="00BA6EDA"/>
    <w:rsid w:val="00BB53C9"/>
    <w:rsid w:val="00BC11FB"/>
    <w:rsid w:val="00BC24B9"/>
    <w:rsid w:val="00BC267A"/>
    <w:rsid w:val="00BC2C0D"/>
    <w:rsid w:val="00BD10C0"/>
    <w:rsid w:val="00BD3BEC"/>
    <w:rsid w:val="00BD56FA"/>
    <w:rsid w:val="00BD6A35"/>
    <w:rsid w:val="00BF1EBF"/>
    <w:rsid w:val="00C05A82"/>
    <w:rsid w:val="00C07B31"/>
    <w:rsid w:val="00C275BC"/>
    <w:rsid w:val="00C56B71"/>
    <w:rsid w:val="00C572FB"/>
    <w:rsid w:val="00C6104D"/>
    <w:rsid w:val="00C63474"/>
    <w:rsid w:val="00C64179"/>
    <w:rsid w:val="00C75C25"/>
    <w:rsid w:val="00C84056"/>
    <w:rsid w:val="00C90402"/>
    <w:rsid w:val="00C9418A"/>
    <w:rsid w:val="00C96B88"/>
    <w:rsid w:val="00C96BB5"/>
    <w:rsid w:val="00CA06B0"/>
    <w:rsid w:val="00CA2407"/>
    <w:rsid w:val="00CA3D6F"/>
    <w:rsid w:val="00CA5B6F"/>
    <w:rsid w:val="00CA6D28"/>
    <w:rsid w:val="00CB2463"/>
    <w:rsid w:val="00CB2E75"/>
    <w:rsid w:val="00CC1BE9"/>
    <w:rsid w:val="00CC2456"/>
    <w:rsid w:val="00CC4615"/>
    <w:rsid w:val="00CC5E0F"/>
    <w:rsid w:val="00CD32CD"/>
    <w:rsid w:val="00CF39B5"/>
    <w:rsid w:val="00D01211"/>
    <w:rsid w:val="00D1192D"/>
    <w:rsid w:val="00D11CC6"/>
    <w:rsid w:val="00D144A4"/>
    <w:rsid w:val="00D14726"/>
    <w:rsid w:val="00D173DA"/>
    <w:rsid w:val="00D5135A"/>
    <w:rsid w:val="00D76346"/>
    <w:rsid w:val="00D82892"/>
    <w:rsid w:val="00D9557C"/>
    <w:rsid w:val="00D95C0C"/>
    <w:rsid w:val="00DA19E9"/>
    <w:rsid w:val="00DA4D9E"/>
    <w:rsid w:val="00DA7B0C"/>
    <w:rsid w:val="00DB628B"/>
    <w:rsid w:val="00DB67D0"/>
    <w:rsid w:val="00DC2FE8"/>
    <w:rsid w:val="00DC4651"/>
    <w:rsid w:val="00DC5C59"/>
    <w:rsid w:val="00DC70C6"/>
    <w:rsid w:val="00DD1256"/>
    <w:rsid w:val="00DD7352"/>
    <w:rsid w:val="00DE2686"/>
    <w:rsid w:val="00DE357B"/>
    <w:rsid w:val="00DF79E5"/>
    <w:rsid w:val="00E04851"/>
    <w:rsid w:val="00E061F4"/>
    <w:rsid w:val="00E36FFA"/>
    <w:rsid w:val="00E3797C"/>
    <w:rsid w:val="00E41599"/>
    <w:rsid w:val="00E4367B"/>
    <w:rsid w:val="00E6375F"/>
    <w:rsid w:val="00E63C22"/>
    <w:rsid w:val="00E67E4B"/>
    <w:rsid w:val="00E7526E"/>
    <w:rsid w:val="00E82D46"/>
    <w:rsid w:val="00E84F36"/>
    <w:rsid w:val="00E86B53"/>
    <w:rsid w:val="00E877C9"/>
    <w:rsid w:val="00E92C3D"/>
    <w:rsid w:val="00EA0826"/>
    <w:rsid w:val="00EB366C"/>
    <w:rsid w:val="00EC4B8B"/>
    <w:rsid w:val="00EC571C"/>
    <w:rsid w:val="00EC6D4E"/>
    <w:rsid w:val="00ED091F"/>
    <w:rsid w:val="00ED2C5A"/>
    <w:rsid w:val="00ED5F2A"/>
    <w:rsid w:val="00ED7AE2"/>
    <w:rsid w:val="00EF11FA"/>
    <w:rsid w:val="00EF4FF8"/>
    <w:rsid w:val="00F13FE9"/>
    <w:rsid w:val="00F14FEC"/>
    <w:rsid w:val="00F157DA"/>
    <w:rsid w:val="00F23CF9"/>
    <w:rsid w:val="00F362BC"/>
    <w:rsid w:val="00F4017C"/>
    <w:rsid w:val="00F644A3"/>
    <w:rsid w:val="00F72CD8"/>
    <w:rsid w:val="00F816E8"/>
    <w:rsid w:val="00F848BE"/>
    <w:rsid w:val="00F908A4"/>
    <w:rsid w:val="00F9619A"/>
    <w:rsid w:val="00FB576C"/>
    <w:rsid w:val="00FB791D"/>
    <w:rsid w:val="00FC2672"/>
    <w:rsid w:val="00FE0EA8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3C95F08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1B5C5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52A14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5E6D2-387D-47C2-946F-40190A4F0F04}"/>
</file>

<file path=customXml/itemProps2.xml><?xml version="1.0" encoding="utf-8"?>
<ds:datastoreItem xmlns:ds="http://schemas.openxmlformats.org/officeDocument/2006/customXml" ds:itemID="{3AC6CADC-3523-43F0-A838-A8B7BB8340DA}"/>
</file>

<file path=customXml/itemProps3.xml><?xml version="1.0" encoding="utf-8"?>
<ds:datastoreItem xmlns:ds="http://schemas.openxmlformats.org/officeDocument/2006/customXml" ds:itemID="{9774E0C7-4950-4C75-85B5-1335DED54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1696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Martin Adolph</cp:lastModifiedBy>
  <cp:revision>2</cp:revision>
  <cp:lastPrinted>2008-12-03T14:47:00Z</cp:lastPrinted>
  <dcterms:created xsi:type="dcterms:W3CDTF">2015-10-11T14:19:00Z</dcterms:created>
  <dcterms:modified xsi:type="dcterms:W3CDTF">2015-10-11T14:19:00Z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