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345"/>
        <w:gridCol w:w="566"/>
        <w:gridCol w:w="3120"/>
      </w:tblGrid>
      <w:tr w:rsidR="00BC5366" w:rsidRPr="00A268C0" w:rsidTr="00BC5366">
        <w:tblPrEx>
          <w:tblCellMar>
            <w:top w:w="0" w:type="dxa"/>
            <w:bottom w:w="0" w:type="dxa"/>
          </w:tblCellMar>
        </w:tblPrEx>
        <w:trPr>
          <w:cantSplit/>
        </w:trPr>
        <w:tc>
          <w:tcPr>
            <w:tcW w:w="6911" w:type="dxa"/>
            <w:gridSpan w:val="2"/>
          </w:tcPr>
          <w:p w:rsidR="00BC5366" w:rsidRPr="00A268C0" w:rsidRDefault="00BC5366" w:rsidP="00FD2987">
            <w:pPr>
              <w:spacing w:before="360" w:after="48" w:line="240" w:lineRule="atLeast"/>
              <w:rPr>
                <w:rFonts w:ascii="Verdana" w:hAnsi="Verdana"/>
                <w:position w:val="6"/>
              </w:rPr>
            </w:pPr>
            <w:bookmarkStart w:id="0" w:name="dc06"/>
            <w:bookmarkEnd w:id="0"/>
            <w:r w:rsidRPr="006443DB">
              <w:rPr>
                <w:rFonts w:ascii="Verdana" w:hAnsi="Verdana" w:cs="Times"/>
                <w:b/>
                <w:position w:val="6"/>
                <w:sz w:val="26"/>
                <w:szCs w:val="26"/>
                <w:highlight w:val="yellow"/>
              </w:rPr>
              <w:t>Council 20</w:t>
            </w:r>
            <w:r w:rsidR="002F3DB4" w:rsidRPr="006443DB">
              <w:rPr>
                <w:rFonts w:ascii="Verdana" w:hAnsi="Verdana" w:cs="Times"/>
                <w:b/>
                <w:position w:val="6"/>
                <w:sz w:val="26"/>
                <w:szCs w:val="26"/>
                <w:highlight w:val="yellow"/>
              </w:rPr>
              <w:t>15</w:t>
            </w:r>
            <w:r w:rsidRPr="00A268C0">
              <w:rPr>
                <w:rFonts w:ascii="Verdana" w:hAnsi="Verdana" w:cs="Times"/>
                <w:b/>
                <w:position w:val="6"/>
                <w:sz w:val="26"/>
                <w:szCs w:val="26"/>
              </w:rPr>
              <w:br/>
            </w:r>
            <w:r w:rsidRPr="006443DB">
              <w:rPr>
                <w:rFonts w:ascii="Verdana" w:hAnsi="Verdana"/>
                <w:b/>
                <w:bCs/>
                <w:position w:val="6"/>
                <w:sz w:val="20"/>
                <w:highlight w:val="yellow"/>
              </w:rPr>
              <w:t xml:space="preserve">Geneva, </w:t>
            </w:r>
            <w:r w:rsidR="00FD2987" w:rsidRPr="006443DB">
              <w:rPr>
                <w:rFonts w:ascii="Verdana" w:hAnsi="Verdana"/>
                <w:b/>
                <w:bCs/>
                <w:position w:val="6"/>
                <w:sz w:val="20"/>
                <w:highlight w:val="yellow"/>
              </w:rPr>
              <w:t>12</w:t>
            </w:r>
            <w:r w:rsidRPr="006443DB">
              <w:rPr>
                <w:rFonts w:ascii="Verdana" w:hAnsi="Verdana"/>
                <w:b/>
                <w:bCs/>
                <w:position w:val="6"/>
                <w:sz w:val="20"/>
                <w:highlight w:val="yellow"/>
              </w:rPr>
              <w:t>-</w:t>
            </w:r>
            <w:r w:rsidR="00FD2987" w:rsidRPr="006443DB">
              <w:rPr>
                <w:rFonts w:ascii="Verdana" w:hAnsi="Verdana"/>
                <w:b/>
                <w:bCs/>
                <w:position w:val="6"/>
                <w:sz w:val="20"/>
                <w:highlight w:val="yellow"/>
              </w:rPr>
              <w:t>22</w:t>
            </w:r>
            <w:r w:rsidRPr="006443DB">
              <w:rPr>
                <w:rFonts w:ascii="Verdana" w:hAnsi="Verdana"/>
                <w:b/>
                <w:bCs/>
                <w:position w:val="6"/>
                <w:sz w:val="20"/>
                <w:highlight w:val="yellow"/>
              </w:rPr>
              <w:t xml:space="preserve"> </w:t>
            </w:r>
            <w:r w:rsidR="00FD2987" w:rsidRPr="006443DB">
              <w:rPr>
                <w:rFonts w:ascii="Verdana" w:hAnsi="Verdana"/>
                <w:b/>
                <w:bCs/>
                <w:position w:val="6"/>
                <w:sz w:val="20"/>
                <w:highlight w:val="yellow"/>
              </w:rPr>
              <w:t>May</w:t>
            </w:r>
            <w:r w:rsidRPr="006443DB">
              <w:rPr>
                <w:rFonts w:ascii="Verdana" w:hAnsi="Verdana"/>
                <w:b/>
                <w:bCs/>
                <w:position w:val="6"/>
                <w:sz w:val="20"/>
                <w:highlight w:val="yellow"/>
              </w:rPr>
              <w:t xml:space="preserve"> 20</w:t>
            </w:r>
            <w:r w:rsidR="00FD2987" w:rsidRPr="006443DB">
              <w:rPr>
                <w:rFonts w:ascii="Verdana" w:hAnsi="Verdana"/>
                <w:b/>
                <w:bCs/>
                <w:position w:val="6"/>
                <w:sz w:val="20"/>
                <w:highlight w:val="yellow"/>
              </w:rPr>
              <w:t>15</w:t>
            </w:r>
          </w:p>
        </w:tc>
        <w:tc>
          <w:tcPr>
            <w:tcW w:w="3120" w:type="dxa"/>
          </w:tcPr>
          <w:p w:rsidR="00BC5366" w:rsidRPr="00A268C0" w:rsidRDefault="004F4237" w:rsidP="00BC5366">
            <w:pPr>
              <w:spacing w:before="0" w:line="240" w:lineRule="atLeast"/>
            </w:pPr>
            <w:bookmarkStart w:id="1" w:name="ditulogo"/>
            <w:bookmarkEnd w:id="1"/>
            <w:r>
              <w:rPr>
                <w:noProof/>
                <w:lang w:val="en-US"/>
              </w:rPr>
              <w:drawing>
                <wp:inline distT="0" distB="0" distL="0" distR="0" wp14:anchorId="448E5C69" wp14:editId="247C02CF">
                  <wp:extent cx="175768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680" cy="748030"/>
                          </a:xfrm>
                          <a:prstGeom prst="rect">
                            <a:avLst/>
                          </a:prstGeom>
                          <a:noFill/>
                          <a:ln>
                            <a:noFill/>
                          </a:ln>
                        </pic:spPr>
                      </pic:pic>
                    </a:graphicData>
                  </a:graphic>
                </wp:inline>
              </w:drawing>
            </w:r>
          </w:p>
        </w:tc>
      </w:tr>
      <w:tr w:rsidR="00BC5366" w:rsidRPr="00A268C0" w:rsidTr="00BC5366">
        <w:tblPrEx>
          <w:tblCellMar>
            <w:top w:w="0" w:type="dxa"/>
            <w:bottom w:w="0" w:type="dxa"/>
          </w:tblCellMar>
        </w:tblPrEx>
        <w:trPr>
          <w:cantSplit/>
        </w:trPr>
        <w:tc>
          <w:tcPr>
            <w:tcW w:w="6911" w:type="dxa"/>
            <w:gridSpan w:val="2"/>
            <w:tcBorders>
              <w:bottom w:val="single" w:sz="12" w:space="0" w:color="auto"/>
            </w:tcBorders>
          </w:tcPr>
          <w:p w:rsidR="00BC5366" w:rsidRPr="00A268C0" w:rsidRDefault="00BC5366" w:rsidP="00BC5366">
            <w:pPr>
              <w:spacing w:before="0" w:after="48" w:line="240" w:lineRule="atLeast"/>
              <w:rPr>
                <w:b/>
                <w:smallCaps/>
                <w:szCs w:val="24"/>
              </w:rPr>
            </w:pPr>
          </w:p>
        </w:tc>
        <w:tc>
          <w:tcPr>
            <w:tcW w:w="3120" w:type="dxa"/>
            <w:tcBorders>
              <w:bottom w:val="single" w:sz="12" w:space="0" w:color="auto"/>
            </w:tcBorders>
          </w:tcPr>
          <w:p w:rsidR="00BC5366" w:rsidRPr="00A268C0" w:rsidRDefault="00BC5366" w:rsidP="00BC5366">
            <w:pPr>
              <w:spacing w:before="0" w:line="240" w:lineRule="atLeast"/>
              <w:rPr>
                <w:rFonts w:ascii="Verdana" w:hAnsi="Verdana"/>
                <w:szCs w:val="24"/>
              </w:rPr>
            </w:pPr>
          </w:p>
        </w:tc>
      </w:tr>
      <w:tr w:rsidR="00BC5366" w:rsidRPr="00A268C0" w:rsidTr="00BC5366">
        <w:tblPrEx>
          <w:tblCellMar>
            <w:top w:w="0" w:type="dxa"/>
            <w:bottom w:w="0" w:type="dxa"/>
          </w:tblCellMar>
        </w:tblPrEx>
        <w:trPr>
          <w:cantSplit/>
        </w:trPr>
        <w:tc>
          <w:tcPr>
            <w:tcW w:w="6911" w:type="dxa"/>
            <w:gridSpan w:val="2"/>
            <w:tcBorders>
              <w:top w:val="single" w:sz="12" w:space="0" w:color="auto"/>
            </w:tcBorders>
          </w:tcPr>
          <w:p w:rsidR="00BC5366" w:rsidRPr="00A268C0" w:rsidRDefault="00BC5366" w:rsidP="00BC5366">
            <w:pPr>
              <w:spacing w:before="0" w:after="48" w:line="240" w:lineRule="atLeast"/>
              <w:rPr>
                <w:b/>
                <w:smallCaps/>
                <w:szCs w:val="24"/>
              </w:rPr>
            </w:pPr>
          </w:p>
        </w:tc>
        <w:tc>
          <w:tcPr>
            <w:tcW w:w="3120" w:type="dxa"/>
            <w:tcBorders>
              <w:top w:val="single" w:sz="12" w:space="0" w:color="auto"/>
            </w:tcBorders>
          </w:tcPr>
          <w:p w:rsidR="00BC5366" w:rsidRPr="00A268C0" w:rsidRDefault="00BC5366" w:rsidP="00BC5366">
            <w:pPr>
              <w:spacing w:before="0" w:line="240" w:lineRule="atLeast"/>
              <w:rPr>
                <w:rFonts w:ascii="Verdana" w:hAnsi="Verdana"/>
                <w:szCs w:val="24"/>
              </w:rPr>
            </w:pPr>
          </w:p>
        </w:tc>
      </w:tr>
      <w:tr w:rsidR="00BC5366" w:rsidRPr="00A268C0" w:rsidTr="007230D0">
        <w:tblPrEx>
          <w:tblCellMar>
            <w:top w:w="0" w:type="dxa"/>
            <w:bottom w:w="0" w:type="dxa"/>
          </w:tblCellMar>
        </w:tblPrEx>
        <w:trPr>
          <w:cantSplit/>
          <w:trHeight w:val="23"/>
        </w:trPr>
        <w:tc>
          <w:tcPr>
            <w:tcW w:w="6345" w:type="dxa"/>
            <w:vMerge w:val="restart"/>
          </w:tcPr>
          <w:p w:rsidR="00BC5366" w:rsidRPr="00A268C0" w:rsidRDefault="00BC5366" w:rsidP="00BC5366">
            <w:pPr>
              <w:tabs>
                <w:tab w:val="left" w:pos="851"/>
              </w:tabs>
              <w:spacing w:before="0" w:line="240" w:lineRule="atLeast"/>
              <w:rPr>
                <w:rFonts w:ascii="Verdana" w:hAnsi="Verdana"/>
                <w:b/>
                <w:sz w:val="20"/>
              </w:rPr>
            </w:pPr>
            <w:bookmarkStart w:id="2" w:name="dmeeting" w:colFirst="0" w:colLast="0"/>
            <w:bookmarkStart w:id="3" w:name="dnum" w:colFirst="1" w:colLast="1"/>
          </w:p>
        </w:tc>
        <w:tc>
          <w:tcPr>
            <w:tcW w:w="3686" w:type="dxa"/>
            <w:gridSpan w:val="2"/>
          </w:tcPr>
          <w:p w:rsidR="00BC5366" w:rsidRPr="00A268C0" w:rsidRDefault="00BC5366" w:rsidP="004F4237">
            <w:pPr>
              <w:tabs>
                <w:tab w:val="left" w:pos="851"/>
              </w:tabs>
              <w:spacing w:before="0" w:line="240" w:lineRule="atLeast"/>
              <w:rPr>
                <w:rFonts w:ascii="Verdana" w:hAnsi="Verdana"/>
                <w:b/>
                <w:sz w:val="20"/>
              </w:rPr>
            </w:pPr>
            <w:r w:rsidRPr="00A268C0">
              <w:rPr>
                <w:rFonts w:ascii="Verdana" w:hAnsi="Verdana"/>
                <w:b/>
                <w:sz w:val="20"/>
              </w:rPr>
              <w:t xml:space="preserve">Document </w:t>
            </w:r>
          </w:p>
        </w:tc>
      </w:tr>
      <w:tr w:rsidR="00BC5366" w:rsidRPr="00A268C0" w:rsidTr="007230D0">
        <w:tblPrEx>
          <w:tblCellMar>
            <w:top w:w="0" w:type="dxa"/>
            <w:bottom w:w="0" w:type="dxa"/>
          </w:tblCellMar>
        </w:tblPrEx>
        <w:trPr>
          <w:cantSplit/>
          <w:trHeight w:val="23"/>
        </w:trPr>
        <w:tc>
          <w:tcPr>
            <w:tcW w:w="6345" w:type="dxa"/>
            <w:vMerge/>
          </w:tcPr>
          <w:p w:rsidR="00BC5366" w:rsidRPr="00A268C0" w:rsidRDefault="00BC5366" w:rsidP="00BC5366">
            <w:pPr>
              <w:tabs>
                <w:tab w:val="left" w:pos="851"/>
              </w:tabs>
              <w:spacing w:line="240" w:lineRule="atLeast"/>
              <w:rPr>
                <w:b/>
              </w:rPr>
            </w:pPr>
            <w:bookmarkStart w:id="4" w:name="ddate" w:colFirst="1" w:colLast="1"/>
            <w:bookmarkEnd w:id="2"/>
            <w:bookmarkEnd w:id="3"/>
          </w:p>
        </w:tc>
        <w:tc>
          <w:tcPr>
            <w:tcW w:w="3686" w:type="dxa"/>
            <w:gridSpan w:val="2"/>
          </w:tcPr>
          <w:p w:rsidR="00BC5366" w:rsidRPr="00A268C0" w:rsidRDefault="00BC5366" w:rsidP="00BC5366">
            <w:pPr>
              <w:tabs>
                <w:tab w:val="left" w:pos="993"/>
              </w:tabs>
              <w:spacing w:before="0"/>
              <w:rPr>
                <w:rFonts w:ascii="Verdana" w:hAnsi="Verdana"/>
                <w:b/>
                <w:sz w:val="20"/>
              </w:rPr>
            </w:pPr>
          </w:p>
        </w:tc>
      </w:tr>
      <w:tr w:rsidR="00BC5366" w:rsidRPr="00A268C0" w:rsidTr="007230D0">
        <w:tblPrEx>
          <w:tblCellMar>
            <w:top w:w="0" w:type="dxa"/>
            <w:bottom w:w="0" w:type="dxa"/>
          </w:tblCellMar>
        </w:tblPrEx>
        <w:trPr>
          <w:cantSplit/>
          <w:trHeight w:val="23"/>
        </w:trPr>
        <w:tc>
          <w:tcPr>
            <w:tcW w:w="6345" w:type="dxa"/>
            <w:vMerge/>
          </w:tcPr>
          <w:p w:rsidR="00BC5366" w:rsidRPr="00A268C0" w:rsidRDefault="00BC5366" w:rsidP="00BC5366">
            <w:pPr>
              <w:tabs>
                <w:tab w:val="left" w:pos="851"/>
              </w:tabs>
              <w:spacing w:line="240" w:lineRule="atLeast"/>
              <w:rPr>
                <w:b/>
              </w:rPr>
            </w:pPr>
            <w:bookmarkStart w:id="5" w:name="dorlang" w:colFirst="1" w:colLast="1"/>
            <w:bookmarkEnd w:id="4"/>
          </w:p>
        </w:tc>
        <w:tc>
          <w:tcPr>
            <w:tcW w:w="3686" w:type="dxa"/>
            <w:gridSpan w:val="2"/>
          </w:tcPr>
          <w:p w:rsidR="00BC5366" w:rsidRPr="00A268C0" w:rsidRDefault="00BC5366" w:rsidP="00BC5366">
            <w:pPr>
              <w:tabs>
                <w:tab w:val="left" w:pos="993"/>
              </w:tabs>
              <w:spacing w:before="0"/>
              <w:rPr>
                <w:rFonts w:ascii="Verdana" w:hAnsi="Verdana"/>
                <w:b/>
                <w:sz w:val="20"/>
              </w:rPr>
            </w:pPr>
            <w:r w:rsidRPr="00A268C0">
              <w:rPr>
                <w:rFonts w:ascii="Verdana" w:hAnsi="Verdana"/>
                <w:b/>
                <w:sz w:val="20"/>
              </w:rPr>
              <w:t>Original: English</w:t>
            </w:r>
          </w:p>
        </w:tc>
      </w:tr>
      <w:tr w:rsidR="00BC5366" w:rsidRPr="00A268C0" w:rsidTr="00BC5366">
        <w:tblPrEx>
          <w:tblCellMar>
            <w:top w:w="0" w:type="dxa"/>
            <w:bottom w:w="0" w:type="dxa"/>
          </w:tblCellMar>
        </w:tblPrEx>
        <w:trPr>
          <w:cantSplit/>
        </w:trPr>
        <w:tc>
          <w:tcPr>
            <w:tcW w:w="10031" w:type="dxa"/>
            <w:gridSpan w:val="3"/>
          </w:tcPr>
          <w:p w:rsidR="00BC5366" w:rsidRPr="009A7A60" w:rsidRDefault="009A7A60" w:rsidP="00BC5366">
            <w:pPr>
              <w:pStyle w:val="Source"/>
              <w:rPr>
                <w:b w:val="0"/>
              </w:rPr>
            </w:pPr>
            <w:bookmarkStart w:id="6" w:name="dsource" w:colFirst="0" w:colLast="0"/>
            <w:bookmarkEnd w:id="5"/>
            <w:r w:rsidRPr="009A7A60">
              <w:rPr>
                <w:b w:val="0"/>
                <w:bCs/>
                <w:caps/>
                <w:szCs w:val="28"/>
              </w:rPr>
              <w:t>Resolution</w:t>
            </w:r>
            <w:r>
              <w:rPr>
                <w:b w:val="0"/>
                <w:bCs/>
                <w:caps/>
                <w:szCs w:val="28"/>
              </w:rPr>
              <w:t xml:space="preserve"> 1306</w:t>
            </w:r>
          </w:p>
        </w:tc>
      </w:tr>
      <w:tr w:rsidR="00BC5366" w:rsidRPr="00A268C0" w:rsidTr="00BC5366">
        <w:tblPrEx>
          <w:tblCellMar>
            <w:top w:w="0" w:type="dxa"/>
            <w:bottom w:w="0" w:type="dxa"/>
          </w:tblCellMar>
        </w:tblPrEx>
        <w:trPr>
          <w:cantSplit/>
        </w:trPr>
        <w:tc>
          <w:tcPr>
            <w:tcW w:w="10031" w:type="dxa"/>
            <w:gridSpan w:val="3"/>
          </w:tcPr>
          <w:p w:rsidR="00BC5366" w:rsidRPr="00A268C0" w:rsidRDefault="00BC5366" w:rsidP="004F4237">
            <w:pPr>
              <w:pStyle w:val="Title1"/>
            </w:pPr>
            <w:bookmarkStart w:id="7" w:name="dtitle1" w:colFirst="0" w:colLast="0"/>
            <w:bookmarkEnd w:id="6"/>
          </w:p>
        </w:tc>
      </w:tr>
    </w:tbl>
    <w:p w:rsidR="00BC5366" w:rsidRPr="00F92FB4" w:rsidRDefault="00BC5366" w:rsidP="00BC5366">
      <w:pPr>
        <w:spacing w:before="240"/>
        <w:jc w:val="center"/>
        <w:rPr>
          <w:sz w:val="28"/>
          <w:szCs w:val="28"/>
        </w:rPr>
      </w:pPr>
      <w:bookmarkStart w:id="8" w:name="dstart"/>
      <w:bookmarkStart w:id="9" w:name="dbreak"/>
      <w:bookmarkEnd w:id="7"/>
      <w:bookmarkEnd w:id="8"/>
      <w:bookmarkEnd w:id="9"/>
      <w:r w:rsidRPr="00F92FB4">
        <w:rPr>
          <w:b/>
          <w:bCs/>
          <w:sz w:val="28"/>
          <w:szCs w:val="28"/>
        </w:rPr>
        <w:t>ITU’s role with regard to International Public Policy Issues</w:t>
      </w:r>
      <w:r>
        <w:rPr>
          <w:b/>
          <w:bCs/>
          <w:sz w:val="28"/>
          <w:szCs w:val="28"/>
        </w:rPr>
        <w:br/>
      </w:r>
      <w:r w:rsidRPr="00F92FB4">
        <w:rPr>
          <w:b/>
          <w:bCs/>
          <w:sz w:val="28"/>
          <w:szCs w:val="28"/>
        </w:rPr>
        <w:t>concerning Creating a Safer Internet Environment for Children</w:t>
      </w:r>
    </w:p>
    <w:p w:rsidR="0088171E" w:rsidRPr="0088171E" w:rsidRDefault="0030344B" w:rsidP="0088171E">
      <w:pPr>
        <w:spacing w:before="240"/>
        <w:jc w:val="both"/>
        <w:rPr>
          <w:szCs w:val="24"/>
        </w:rPr>
      </w:pPr>
      <w:r>
        <w:rPr>
          <w:szCs w:val="24"/>
        </w:rPr>
        <w:t>The Council,</w:t>
      </w:r>
    </w:p>
    <w:p w:rsidR="0088171E" w:rsidRPr="0088171E" w:rsidRDefault="0030344B" w:rsidP="0088171E">
      <w:pPr>
        <w:spacing w:before="240"/>
        <w:jc w:val="both"/>
        <w:rPr>
          <w:i/>
          <w:iCs/>
          <w:szCs w:val="24"/>
        </w:rPr>
      </w:pPr>
      <w:r>
        <w:rPr>
          <w:i/>
          <w:iCs/>
          <w:szCs w:val="24"/>
        </w:rPr>
        <w:tab/>
      </w:r>
      <w:r w:rsidR="0088171E" w:rsidRPr="0088171E">
        <w:rPr>
          <w:i/>
          <w:iCs/>
          <w:szCs w:val="24"/>
        </w:rPr>
        <w:t>considering</w:t>
      </w:r>
    </w:p>
    <w:p w:rsidR="0088171E" w:rsidRPr="0088171E" w:rsidRDefault="0088171E" w:rsidP="0030344B">
      <w:pPr>
        <w:numPr>
          <w:ilvl w:val="0"/>
          <w:numId w:val="9"/>
        </w:numPr>
        <w:tabs>
          <w:tab w:val="clear" w:pos="794"/>
          <w:tab w:val="clear" w:pos="1191"/>
          <w:tab w:val="clear" w:pos="1588"/>
          <w:tab w:val="clear" w:pos="1985"/>
        </w:tabs>
        <w:overflowPunct/>
        <w:autoSpaceDE/>
        <w:autoSpaceDN/>
        <w:adjustRightInd/>
        <w:spacing w:before="240"/>
        <w:ind w:left="0" w:firstLine="0"/>
        <w:jc w:val="both"/>
        <w:textAlignment w:val="auto"/>
        <w:rPr>
          <w:szCs w:val="24"/>
        </w:rPr>
      </w:pPr>
      <w:r w:rsidRPr="0088171E">
        <w:rPr>
          <w:szCs w:val="24"/>
        </w:rPr>
        <w:t xml:space="preserve">that the purposes of the Union are, </w:t>
      </w:r>
      <w:r w:rsidRPr="0088171E">
        <w:rPr>
          <w:i/>
          <w:iCs/>
          <w:szCs w:val="24"/>
        </w:rPr>
        <w:t>inter alia</w:t>
      </w:r>
      <w:r w:rsidRPr="0088171E">
        <w:rPr>
          <w:szCs w:val="24"/>
        </w:rPr>
        <w:t>, to promote, at the international level, the adoption of a broad range of issues of telecommunications/information and technologies (ICTs), helping in promoting the extension of the benefits of new telecommunication technologies to all the world’s inhabitants and to harmonize the efforts of Member States and Sector Members in the attainment of those ends;</w:t>
      </w:r>
    </w:p>
    <w:p w:rsidR="0088171E" w:rsidRPr="0088171E" w:rsidRDefault="0088171E" w:rsidP="0030344B">
      <w:pPr>
        <w:numPr>
          <w:ilvl w:val="0"/>
          <w:numId w:val="9"/>
        </w:numPr>
        <w:tabs>
          <w:tab w:val="clear" w:pos="794"/>
          <w:tab w:val="clear" w:pos="1191"/>
          <w:tab w:val="clear" w:pos="1588"/>
          <w:tab w:val="clear" w:pos="1985"/>
        </w:tabs>
        <w:overflowPunct/>
        <w:autoSpaceDE/>
        <w:autoSpaceDN/>
        <w:adjustRightInd/>
        <w:spacing w:before="240"/>
        <w:ind w:left="0" w:firstLine="0"/>
        <w:jc w:val="both"/>
        <w:textAlignment w:val="auto"/>
        <w:rPr>
          <w:szCs w:val="24"/>
        </w:rPr>
      </w:pPr>
      <w:r w:rsidRPr="0088171E">
        <w:rPr>
          <w:szCs w:val="24"/>
        </w:rPr>
        <w:t>that the Internet is playing an increasingly important and valuable role in the provision of education of children of the world, enriching the curriculum and helping to bridge language and other barriers between the children of all nations;</w:t>
      </w:r>
    </w:p>
    <w:p w:rsidR="0088171E" w:rsidRPr="0088171E" w:rsidRDefault="0088171E" w:rsidP="0030344B">
      <w:pPr>
        <w:numPr>
          <w:ilvl w:val="0"/>
          <w:numId w:val="9"/>
        </w:numPr>
        <w:tabs>
          <w:tab w:val="clear" w:pos="794"/>
          <w:tab w:val="clear" w:pos="1191"/>
          <w:tab w:val="clear" w:pos="1588"/>
          <w:tab w:val="clear" w:pos="1985"/>
        </w:tabs>
        <w:overflowPunct/>
        <w:autoSpaceDE/>
        <w:autoSpaceDN/>
        <w:adjustRightInd/>
        <w:spacing w:before="240"/>
        <w:ind w:left="0" w:firstLine="0"/>
        <w:jc w:val="both"/>
        <w:textAlignment w:val="auto"/>
        <w:rPr>
          <w:szCs w:val="24"/>
        </w:rPr>
      </w:pPr>
      <w:r w:rsidRPr="0088171E">
        <w:rPr>
          <w:szCs w:val="24"/>
        </w:rPr>
        <w:t>that the Internet has become a major platform for many different kinds of educational, cultural and fun activities for children</w:t>
      </w:r>
      <w:r w:rsidR="00466F10">
        <w:rPr>
          <w:szCs w:val="24"/>
        </w:rPr>
        <w:t>;</w:t>
      </w:r>
    </w:p>
    <w:p w:rsidR="0088171E" w:rsidRPr="0088171E" w:rsidRDefault="0088171E" w:rsidP="0030344B">
      <w:pPr>
        <w:numPr>
          <w:ilvl w:val="0"/>
          <w:numId w:val="9"/>
        </w:numPr>
        <w:tabs>
          <w:tab w:val="clear" w:pos="794"/>
          <w:tab w:val="clear" w:pos="1191"/>
          <w:tab w:val="clear" w:pos="1588"/>
          <w:tab w:val="clear" w:pos="1985"/>
        </w:tabs>
        <w:overflowPunct/>
        <w:autoSpaceDE/>
        <w:autoSpaceDN/>
        <w:adjustRightInd/>
        <w:spacing w:before="240"/>
        <w:ind w:left="0" w:firstLine="0"/>
        <w:jc w:val="both"/>
        <w:textAlignment w:val="auto"/>
        <w:rPr>
          <w:szCs w:val="24"/>
        </w:rPr>
      </w:pPr>
      <w:r w:rsidRPr="0088171E">
        <w:rPr>
          <w:szCs w:val="24"/>
        </w:rPr>
        <w:t>that children are among the most active participants online;</w:t>
      </w:r>
    </w:p>
    <w:p w:rsidR="00FD2987" w:rsidRPr="0088171E" w:rsidRDefault="0088171E" w:rsidP="0030344B">
      <w:pPr>
        <w:numPr>
          <w:ilvl w:val="0"/>
          <w:numId w:val="9"/>
        </w:numPr>
        <w:tabs>
          <w:tab w:val="clear" w:pos="794"/>
          <w:tab w:val="clear" w:pos="1191"/>
          <w:tab w:val="clear" w:pos="1588"/>
          <w:tab w:val="clear" w:pos="1985"/>
        </w:tabs>
        <w:overflowPunct/>
        <w:autoSpaceDE/>
        <w:autoSpaceDN/>
        <w:adjustRightInd/>
        <w:spacing w:before="240"/>
        <w:ind w:left="0" w:firstLine="0"/>
        <w:textAlignment w:val="auto"/>
        <w:rPr>
          <w:szCs w:val="24"/>
        </w:rPr>
      </w:pPr>
      <w:r w:rsidRPr="0088171E">
        <w:rPr>
          <w:szCs w:val="24"/>
        </w:rPr>
        <w:t xml:space="preserve">that parents, guardians, and educators are not always aware of children’s activities on the internet; </w:t>
      </w:r>
    </w:p>
    <w:p w:rsidR="0088171E" w:rsidRPr="004F4237" w:rsidRDefault="00FD2987" w:rsidP="006443DB">
      <w:pPr>
        <w:numPr>
          <w:ilvl w:val="0"/>
          <w:numId w:val="9"/>
        </w:numPr>
        <w:tabs>
          <w:tab w:val="clear" w:pos="794"/>
          <w:tab w:val="clear" w:pos="1191"/>
          <w:tab w:val="clear" w:pos="1588"/>
          <w:tab w:val="clear" w:pos="1985"/>
        </w:tabs>
        <w:overflowPunct/>
        <w:autoSpaceDE/>
        <w:autoSpaceDN/>
        <w:adjustRightInd/>
        <w:spacing w:before="240"/>
        <w:ind w:left="0" w:firstLine="0"/>
        <w:textAlignment w:val="auto"/>
        <w:rPr>
          <w:szCs w:val="24"/>
        </w:rPr>
      </w:pPr>
      <w:r w:rsidRPr="006443DB">
        <w:rPr>
          <w:szCs w:val="24"/>
          <w:highlight w:val="yellow"/>
        </w:rPr>
        <w:t>that child online protection initiatives always consider the empowerment of the child online and have due regard to an equal balancing of children's right to be protected from harm and their civil and political rights</w:t>
      </w:r>
      <w:r w:rsidR="0088171E" w:rsidRPr="004F4237">
        <w:rPr>
          <w:szCs w:val="24"/>
        </w:rPr>
        <w:t xml:space="preserve">; </w:t>
      </w:r>
    </w:p>
    <w:p w:rsidR="0088171E" w:rsidRPr="0088171E" w:rsidRDefault="0088171E" w:rsidP="0030344B">
      <w:pPr>
        <w:numPr>
          <w:ilvl w:val="0"/>
          <w:numId w:val="9"/>
        </w:numPr>
        <w:tabs>
          <w:tab w:val="clear" w:pos="794"/>
          <w:tab w:val="clear" w:pos="1191"/>
          <w:tab w:val="clear" w:pos="1588"/>
          <w:tab w:val="clear" w:pos="1985"/>
        </w:tabs>
        <w:overflowPunct/>
        <w:autoSpaceDE/>
        <w:autoSpaceDN/>
        <w:adjustRightInd/>
        <w:spacing w:before="240"/>
        <w:ind w:left="0" w:firstLine="0"/>
        <w:textAlignment w:val="auto"/>
        <w:rPr>
          <w:szCs w:val="24"/>
        </w:rPr>
      </w:pPr>
      <w:r w:rsidRPr="0088171E">
        <w:rPr>
          <w:szCs w:val="24"/>
        </w:rPr>
        <w:t>that in order to address the issue of cybersecurity for children, it is critical that proactive measures be taken in order to protect children online on an international level;</w:t>
      </w:r>
    </w:p>
    <w:p w:rsidR="00FD2987" w:rsidRDefault="0088171E" w:rsidP="006443DB">
      <w:pPr>
        <w:numPr>
          <w:ilvl w:val="0"/>
          <w:numId w:val="9"/>
        </w:numPr>
        <w:tabs>
          <w:tab w:val="clear" w:pos="794"/>
          <w:tab w:val="clear" w:pos="1191"/>
          <w:tab w:val="clear" w:pos="1588"/>
          <w:tab w:val="clear" w:pos="1985"/>
        </w:tabs>
        <w:overflowPunct/>
        <w:autoSpaceDE/>
        <w:autoSpaceDN/>
        <w:adjustRightInd/>
        <w:spacing w:before="240"/>
        <w:ind w:left="0" w:firstLine="0"/>
        <w:textAlignment w:val="auto"/>
        <w:rPr>
          <w:szCs w:val="24"/>
        </w:rPr>
      </w:pPr>
      <w:r w:rsidRPr="0088171E">
        <w:rPr>
          <w:szCs w:val="24"/>
        </w:rPr>
        <w:t>that  child online protection is a subject of valid international global interest and shall be listed in the priorities of the world community’s global agenda</w:t>
      </w:r>
    </w:p>
    <w:p w:rsidR="00FD2987" w:rsidRPr="0088171E" w:rsidRDefault="0030344B" w:rsidP="006443DB">
      <w:pPr>
        <w:tabs>
          <w:tab w:val="clear" w:pos="794"/>
          <w:tab w:val="clear" w:pos="1191"/>
          <w:tab w:val="clear" w:pos="1588"/>
          <w:tab w:val="clear" w:pos="1985"/>
        </w:tabs>
        <w:overflowPunct/>
        <w:autoSpaceDE/>
        <w:autoSpaceDN/>
        <w:adjustRightInd/>
        <w:spacing w:before="240"/>
        <w:textAlignment w:val="auto"/>
        <w:rPr>
          <w:i/>
          <w:iCs/>
          <w:szCs w:val="24"/>
        </w:rPr>
      </w:pPr>
      <w:r>
        <w:rPr>
          <w:i/>
          <w:iCs/>
          <w:szCs w:val="24"/>
        </w:rPr>
        <w:tab/>
      </w:r>
      <w:r w:rsidR="00FD2987" w:rsidRPr="0088171E">
        <w:rPr>
          <w:i/>
          <w:iCs/>
          <w:szCs w:val="24"/>
        </w:rPr>
        <w:t>R</w:t>
      </w:r>
      <w:r w:rsidR="0088171E" w:rsidRPr="0088171E">
        <w:rPr>
          <w:i/>
          <w:iCs/>
          <w:szCs w:val="24"/>
        </w:rPr>
        <w:t>ecognizing</w:t>
      </w:r>
    </w:p>
    <w:p w:rsidR="00FD2987" w:rsidRPr="006443DB" w:rsidRDefault="00FD2987" w:rsidP="004F4237">
      <w:pPr>
        <w:tabs>
          <w:tab w:val="clear" w:pos="794"/>
          <w:tab w:val="clear" w:pos="1191"/>
          <w:tab w:val="clear" w:pos="1588"/>
          <w:tab w:val="clear" w:pos="1985"/>
        </w:tabs>
        <w:overflowPunct/>
        <w:autoSpaceDE/>
        <w:autoSpaceDN/>
        <w:adjustRightInd/>
        <w:spacing w:before="240"/>
        <w:textAlignment w:val="auto"/>
        <w:rPr>
          <w:szCs w:val="24"/>
          <w:highlight w:val="yellow"/>
        </w:rPr>
      </w:pPr>
      <w:r>
        <w:rPr>
          <w:szCs w:val="24"/>
        </w:rPr>
        <w:lastRenderedPageBreak/>
        <w:t xml:space="preserve">(a) </w:t>
      </w:r>
      <w:r>
        <w:rPr>
          <w:szCs w:val="24"/>
        </w:rPr>
        <w:tab/>
      </w:r>
      <w:r w:rsidRPr="006443DB">
        <w:rPr>
          <w:szCs w:val="24"/>
          <w:highlight w:val="yellow"/>
        </w:rPr>
        <w:t>Resolution 67 (Rev. Dubai, 2014) of the World Telecommunication Development Conference (WTDC), on the role of the ITU Telecommunication Development Sector (ITU D) in child online protection;</w:t>
      </w:r>
    </w:p>
    <w:p w:rsidR="0088171E" w:rsidRPr="0088171E" w:rsidRDefault="00FD2987" w:rsidP="006443DB">
      <w:pPr>
        <w:tabs>
          <w:tab w:val="clear" w:pos="794"/>
          <w:tab w:val="clear" w:pos="1191"/>
          <w:tab w:val="clear" w:pos="1588"/>
          <w:tab w:val="clear" w:pos="1985"/>
        </w:tabs>
        <w:overflowPunct/>
        <w:autoSpaceDE/>
        <w:autoSpaceDN/>
        <w:adjustRightInd/>
        <w:spacing w:before="240"/>
        <w:jc w:val="both"/>
        <w:textAlignment w:val="auto"/>
        <w:rPr>
          <w:szCs w:val="24"/>
        </w:rPr>
      </w:pPr>
      <w:r w:rsidRPr="006443DB">
        <w:rPr>
          <w:szCs w:val="24"/>
          <w:highlight w:val="yellow"/>
        </w:rPr>
        <w:t>b)</w:t>
      </w:r>
      <w:r w:rsidRPr="006443DB">
        <w:rPr>
          <w:szCs w:val="24"/>
          <w:highlight w:val="yellow"/>
        </w:rPr>
        <w:tab/>
        <w:t>Resolution 45 (Rev. Dubai, 2014) of WTDC, on mechanisms for enhancing cooperation on cybersecurity, including countering and combating spam</w:t>
      </w:r>
      <w:r w:rsidR="0088171E" w:rsidRPr="0088171E">
        <w:rPr>
          <w:szCs w:val="24"/>
        </w:rPr>
        <w:t>;</w:t>
      </w:r>
    </w:p>
    <w:p w:rsidR="0088171E" w:rsidRPr="0088171E" w:rsidRDefault="0030344B" w:rsidP="0088171E">
      <w:pPr>
        <w:spacing w:before="240"/>
        <w:jc w:val="both"/>
        <w:rPr>
          <w:i/>
          <w:iCs/>
          <w:szCs w:val="24"/>
        </w:rPr>
      </w:pPr>
      <w:r>
        <w:rPr>
          <w:i/>
          <w:iCs/>
          <w:szCs w:val="24"/>
        </w:rPr>
        <w:tab/>
      </w:r>
      <w:r w:rsidR="0088171E" w:rsidRPr="0088171E">
        <w:rPr>
          <w:i/>
          <w:iCs/>
          <w:szCs w:val="24"/>
        </w:rPr>
        <w:t>emphasizing</w:t>
      </w:r>
    </w:p>
    <w:p w:rsidR="0088171E" w:rsidRPr="0088171E" w:rsidRDefault="0088171E" w:rsidP="0030344B">
      <w:pPr>
        <w:numPr>
          <w:ilvl w:val="0"/>
          <w:numId w:val="10"/>
        </w:numPr>
        <w:tabs>
          <w:tab w:val="clear" w:pos="794"/>
          <w:tab w:val="clear" w:pos="1191"/>
          <w:tab w:val="clear" w:pos="1588"/>
          <w:tab w:val="clear" w:pos="1985"/>
        </w:tabs>
        <w:overflowPunct/>
        <w:autoSpaceDE/>
        <w:autoSpaceDN/>
        <w:adjustRightInd/>
        <w:spacing w:before="240"/>
        <w:ind w:left="0" w:firstLine="0"/>
        <w:jc w:val="both"/>
        <w:textAlignment w:val="auto"/>
        <w:rPr>
          <w:szCs w:val="24"/>
        </w:rPr>
      </w:pPr>
      <w:r w:rsidRPr="0088171E">
        <w:rPr>
          <w:szCs w:val="24"/>
        </w:rPr>
        <w:t xml:space="preserve">the commitment of the ITU to connecting the world responsibly to ensure cybersecurity, enable </w:t>
      </w:r>
      <w:proofErr w:type="spellStart"/>
      <w:r w:rsidRPr="0088171E">
        <w:rPr>
          <w:szCs w:val="24"/>
        </w:rPr>
        <w:t>cyberpeace</w:t>
      </w:r>
      <w:proofErr w:type="spellEnd"/>
      <w:r w:rsidRPr="0088171E">
        <w:rPr>
          <w:szCs w:val="24"/>
        </w:rPr>
        <w:t>, and protect children online;</w:t>
      </w:r>
    </w:p>
    <w:p w:rsidR="0088171E" w:rsidRPr="0088171E" w:rsidRDefault="0088171E" w:rsidP="0030344B">
      <w:pPr>
        <w:pStyle w:val="1avsnitt"/>
        <w:numPr>
          <w:ilvl w:val="0"/>
          <w:numId w:val="10"/>
        </w:numPr>
        <w:spacing w:before="240"/>
        <w:ind w:left="0" w:firstLine="0"/>
        <w:jc w:val="both"/>
        <w:rPr>
          <w:szCs w:val="24"/>
        </w:rPr>
      </w:pPr>
      <w:r w:rsidRPr="0088171E">
        <w:rPr>
          <w:szCs w:val="24"/>
        </w:rPr>
        <w:t xml:space="preserve">the ITU's role to facilitate the implementation of WSIS Action Line C5 </w:t>
      </w:r>
      <w:r w:rsidRPr="0088171E">
        <w:rPr>
          <w:i/>
          <w:iCs/>
          <w:szCs w:val="24"/>
        </w:rPr>
        <w:t>“Building confidence and security in the use of ICTs”</w:t>
      </w:r>
      <w:r w:rsidRPr="0088171E">
        <w:rPr>
          <w:szCs w:val="24"/>
        </w:rPr>
        <w:t xml:space="preserve">; </w:t>
      </w:r>
    </w:p>
    <w:p w:rsidR="0088171E" w:rsidRPr="0088171E" w:rsidRDefault="0088171E" w:rsidP="004F4237">
      <w:pPr>
        <w:numPr>
          <w:ilvl w:val="0"/>
          <w:numId w:val="10"/>
        </w:numPr>
        <w:tabs>
          <w:tab w:val="clear" w:pos="794"/>
          <w:tab w:val="clear" w:pos="1191"/>
          <w:tab w:val="clear" w:pos="1588"/>
          <w:tab w:val="clear" w:pos="1985"/>
        </w:tabs>
        <w:overflowPunct/>
        <w:autoSpaceDE/>
        <w:autoSpaceDN/>
        <w:adjustRightInd/>
        <w:spacing w:before="240"/>
        <w:ind w:left="0" w:firstLine="0"/>
        <w:jc w:val="both"/>
        <w:textAlignment w:val="auto"/>
        <w:rPr>
          <w:szCs w:val="24"/>
        </w:rPr>
      </w:pPr>
      <w:r w:rsidRPr="006443DB">
        <w:rPr>
          <w:szCs w:val="24"/>
          <w:highlight w:val="yellow"/>
        </w:rPr>
        <w:t xml:space="preserve">the </w:t>
      </w:r>
      <w:r w:rsidR="00FD2987" w:rsidRPr="006443DB">
        <w:rPr>
          <w:szCs w:val="24"/>
          <w:highlight w:val="yellow"/>
        </w:rPr>
        <w:t>assistance and support given to Member States, especially developing countries, in developing and implementing roadmaps for the COP initiative</w:t>
      </w:r>
      <w:r w:rsidR="00466F10">
        <w:rPr>
          <w:szCs w:val="24"/>
        </w:rPr>
        <w:t>,</w:t>
      </w:r>
    </w:p>
    <w:p w:rsidR="0088171E" w:rsidRPr="0088171E" w:rsidRDefault="0030344B" w:rsidP="0088171E">
      <w:pPr>
        <w:spacing w:before="240"/>
        <w:jc w:val="both"/>
        <w:rPr>
          <w:i/>
          <w:iCs/>
          <w:szCs w:val="24"/>
        </w:rPr>
      </w:pPr>
      <w:r>
        <w:rPr>
          <w:i/>
          <w:iCs/>
          <w:szCs w:val="24"/>
        </w:rPr>
        <w:tab/>
      </w:r>
      <w:r w:rsidR="0088171E" w:rsidRPr="0088171E">
        <w:rPr>
          <w:i/>
          <w:iCs/>
          <w:szCs w:val="24"/>
        </w:rPr>
        <w:t>noting</w:t>
      </w:r>
    </w:p>
    <w:p w:rsidR="000A2AEB" w:rsidRPr="004F4237" w:rsidRDefault="000A2AEB" w:rsidP="006443DB">
      <w:pPr>
        <w:numPr>
          <w:ilvl w:val="0"/>
          <w:numId w:val="17"/>
        </w:numPr>
        <w:tabs>
          <w:tab w:val="clear" w:pos="794"/>
          <w:tab w:val="clear" w:pos="1191"/>
          <w:tab w:val="clear" w:pos="1588"/>
          <w:tab w:val="clear" w:pos="1985"/>
        </w:tabs>
        <w:overflowPunct/>
        <w:autoSpaceDE/>
        <w:autoSpaceDN/>
        <w:adjustRightInd/>
        <w:spacing w:before="240"/>
        <w:ind w:hanging="1080"/>
        <w:jc w:val="both"/>
        <w:textAlignment w:val="auto"/>
        <w:rPr>
          <w:szCs w:val="24"/>
          <w:highlight w:val="yellow"/>
        </w:rPr>
      </w:pPr>
      <w:r w:rsidRPr="004F4237">
        <w:rPr>
          <w:szCs w:val="24"/>
          <w:highlight w:val="yellow"/>
        </w:rPr>
        <w:t>the discussions and observations made at the meetings of the Council Working Group on Child Online Protection (CWG-COP);</w:t>
      </w:r>
    </w:p>
    <w:p w:rsidR="000A2AEB" w:rsidRPr="00DA4FE2" w:rsidRDefault="000A2AEB" w:rsidP="006443DB">
      <w:pPr>
        <w:numPr>
          <w:ilvl w:val="0"/>
          <w:numId w:val="17"/>
        </w:numPr>
        <w:tabs>
          <w:tab w:val="clear" w:pos="794"/>
          <w:tab w:val="clear" w:pos="1191"/>
          <w:tab w:val="clear" w:pos="1588"/>
          <w:tab w:val="clear" w:pos="1985"/>
        </w:tabs>
        <w:overflowPunct/>
        <w:autoSpaceDE/>
        <w:autoSpaceDN/>
        <w:adjustRightInd/>
        <w:spacing w:before="240"/>
        <w:ind w:hanging="1080"/>
        <w:jc w:val="both"/>
        <w:textAlignment w:val="auto"/>
        <w:rPr>
          <w:szCs w:val="24"/>
          <w:highlight w:val="yellow"/>
        </w:rPr>
      </w:pPr>
      <w:r w:rsidRPr="00DA4FE2">
        <w:rPr>
          <w:szCs w:val="24"/>
          <w:highlight w:val="yellow"/>
        </w:rPr>
        <w:t xml:space="preserve">the need to continue working at global, regional and national levels to find available technological, managerial and organizational solutions to protect children online, along with innovative applications to make it easier for children to communicate with child online protection helplines; </w:t>
      </w:r>
    </w:p>
    <w:p w:rsidR="000A2AEB" w:rsidRPr="006443DB" w:rsidRDefault="000A2AEB" w:rsidP="000A2AEB">
      <w:pPr>
        <w:numPr>
          <w:ilvl w:val="0"/>
          <w:numId w:val="10"/>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the activities undertaken by many countries in recent years;</w:t>
      </w:r>
    </w:p>
    <w:p w:rsidR="000A2AEB" w:rsidRPr="006443DB" w:rsidRDefault="000A2AEB" w:rsidP="006443DB">
      <w:pPr>
        <w:numPr>
          <w:ilvl w:val="0"/>
          <w:numId w:val="10"/>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the call of the world's youth at the BYND2015 Global Youth Summit (San José, Costa Rica, 2013) for Member States to develop policies to make online communities safe and secure,</w:t>
      </w:r>
    </w:p>
    <w:p w:rsidR="000A2AEB" w:rsidRPr="00DA4FE2" w:rsidRDefault="000A2AEB" w:rsidP="006443DB">
      <w:pPr>
        <w:numPr>
          <w:ilvl w:val="0"/>
          <w:numId w:val="10"/>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4F4237">
        <w:rPr>
          <w:highlight w:val="yellow"/>
          <w:lang w:val="en-US"/>
        </w:rPr>
        <w:t>the activities undertaken by ITU in the area of child online protection at the national, regional and international levels</w:t>
      </w:r>
    </w:p>
    <w:p w:rsidR="000A2AEB" w:rsidRDefault="000A2AEB" w:rsidP="006443DB">
      <w:pPr>
        <w:tabs>
          <w:tab w:val="clear" w:pos="794"/>
          <w:tab w:val="clear" w:pos="1191"/>
          <w:tab w:val="clear" w:pos="1588"/>
          <w:tab w:val="clear" w:pos="1985"/>
        </w:tabs>
        <w:overflowPunct/>
        <w:autoSpaceDE/>
        <w:autoSpaceDN/>
        <w:adjustRightInd/>
        <w:spacing w:before="240"/>
        <w:jc w:val="both"/>
        <w:textAlignment w:val="auto"/>
        <w:rPr>
          <w:i/>
          <w:iCs/>
          <w:szCs w:val="24"/>
        </w:rPr>
      </w:pPr>
    </w:p>
    <w:p w:rsidR="0088171E" w:rsidRPr="0088171E" w:rsidRDefault="0030344B" w:rsidP="006443DB">
      <w:pPr>
        <w:tabs>
          <w:tab w:val="clear" w:pos="794"/>
          <w:tab w:val="clear" w:pos="1191"/>
          <w:tab w:val="clear" w:pos="1588"/>
          <w:tab w:val="clear" w:pos="1985"/>
        </w:tabs>
        <w:overflowPunct/>
        <w:autoSpaceDE/>
        <w:autoSpaceDN/>
        <w:adjustRightInd/>
        <w:spacing w:before="240"/>
        <w:jc w:val="both"/>
        <w:textAlignment w:val="auto"/>
        <w:rPr>
          <w:i/>
          <w:iCs/>
          <w:szCs w:val="24"/>
        </w:rPr>
      </w:pPr>
      <w:r>
        <w:rPr>
          <w:i/>
          <w:iCs/>
          <w:szCs w:val="24"/>
        </w:rPr>
        <w:tab/>
      </w:r>
      <w:r w:rsidR="0088171E" w:rsidRPr="0088171E">
        <w:rPr>
          <w:i/>
          <w:iCs/>
          <w:szCs w:val="24"/>
        </w:rPr>
        <w:t>resolves to instruct the Secretary</w:t>
      </w:r>
      <w:r w:rsidR="00466F10">
        <w:rPr>
          <w:i/>
          <w:iCs/>
          <w:szCs w:val="24"/>
        </w:rPr>
        <w:t>-</w:t>
      </w:r>
      <w:r w:rsidR="0088171E" w:rsidRPr="0088171E">
        <w:rPr>
          <w:i/>
          <w:iCs/>
          <w:szCs w:val="24"/>
        </w:rPr>
        <w:t>General</w:t>
      </w:r>
    </w:p>
    <w:p w:rsidR="00DA4FE2" w:rsidRDefault="00DA4FE2" w:rsidP="006443DB">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to bring this resolution to the attention of other COP members and of the United Nations Secretary-General, with the aim of increasing the engagement of the United Nations system in child online protection;</w:t>
      </w:r>
    </w:p>
    <w:p w:rsidR="00DA4FE2" w:rsidRPr="006443DB" w:rsidRDefault="00DA4FE2" w:rsidP="00DA4FE2">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 xml:space="preserve">to encourage Member States and Sector Members to submit </w:t>
      </w:r>
      <w:r>
        <w:rPr>
          <w:szCs w:val="24"/>
          <w:highlight w:val="yellow"/>
        </w:rPr>
        <w:t xml:space="preserve">and exchange </w:t>
      </w:r>
      <w:r w:rsidRPr="006443DB">
        <w:rPr>
          <w:szCs w:val="24"/>
          <w:highlight w:val="yellow"/>
        </w:rPr>
        <w:t>best practices on issues of child online protection,</w:t>
      </w:r>
      <w:r>
        <w:rPr>
          <w:szCs w:val="24"/>
          <w:highlight w:val="yellow"/>
        </w:rPr>
        <w:t xml:space="preserve"> and to regularly collect, analyse, and share relevant  statistics</w:t>
      </w:r>
    </w:p>
    <w:p w:rsidR="000A2AEB" w:rsidRPr="006443DB" w:rsidRDefault="000A2AEB" w:rsidP="00296880">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highlight w:val="yellow"/>
        </w:rPr>
        <w:t xml:space="preserve"> </w:t>
      </w:r>
      <w:r w:rsidRPr="006443DB">
        <w:rPr>
          <w:szCs w:val="24"/>
          <w:highlight w:val="yellow"/>
        </w:rPr>
        <w:t>to continue identifying those activities that are carried out by other United Nations organizations in this domain and to coordinate with them appropriately, with the objective of establishing partnerships to maximize and synergize efforts in this important area;</w:t>
      </w:r>
    </w:p>
    <w:p w:rsidR="000A2AEB" w:rsidRPr="006443DB" w:rsidRDefault="000A2AEB" w:rsidP="00296880">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lastRenderedPageBreak/>
        <w:t>to coordinate ITU efforts with other United Nations agencies and entities concerned with this issue, in order to contribute to existing global repositories with useful information, statistics and tools concerning child online protection;</w:t>
      </w:r>
    </w:p>
    <w:p w:rsidR="000A2AEB" w:rsidRPr="006443DB" w:rsidRDefault="000A2AEB" w:rsidP="00296880">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to continue the coordination of ITU activities with other similar initiatives being undertaken at the national, regional and international levels, in order to eliminate possible overlaps;</w:t>
      </w:r>
    </w:p>
    <w:p w:rsidR="000A2AEB" w:rsidRPr="006443DB" w:rsidRDefault="000A2AEB" w:rsidP="00296880">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to submit a progress report on the results of implementation of this resolution to the next plenipotentiary conference;</w:t>
      </w:r>
    </w:p>
    <w:p w:rsidR="000A2AEB" w:rsidRPr="006443DB" w:rsidRDefault="000A2AEB" w:rsidP="00296880">
      <w:pPr>
        <w:numPr>
          <w:ilvl w:val="0"/>
          <w:numId w:val="14"/>
        </w:numPr>
        <w:tabs>
          <w:tab w:val="clear" w:pos="794"/>
          <w:tab w:val="clear" w:pos="1191"/>
          <w:tab w:val="clear" w:pos="1588"/>
          <w:tab w:val="clear" w:pos="1985"/>
        </w:tabs>
        <w:overflowPunct/>
        <w:autoSpaceDE/>
        <w:autoSpaceDN/>
        <w:adjustRightInd/>
        <w:spacing w:before="240"/>
        <w:ind w:hanging="720"/>
        <w:jc w:val="both"/>
        <w:textAlignment w:val="auto"/>
        <w:rPr>
          <w:szCs w:val="24"/>
          <w:highlight w:val="yellow"/>
        </w:rPr>
      </w:pPr>
      <w:r w:rsidRPr="006443DB">
        <w:rPr>
          <w:szCs w:val="24"/>
          <w:highlight w:val="yellow"/>
        </w:rPr>
        <w:t>to continue to disseminate the documents and reports of CWG COP to all international organizations and stakeholders involved in such matters, so that they can collaborate fully;</w:t>
      </w:r>
    </w:p>
    <w:p w:rsidR="0088171E" w:rsidRPr="0088171E" w:rsidRDefault="0030344B" w:rsidP="006443DB">
      <w:pPr>
        <w:tabs>
          <w:tab w:val="left" w:pos="709"/>
        </w:tabs>
        <w:spacing w:before="240"/>
        <w:ind w:hanging="720"/>
        <w:rPr>
          <w:i/>
          <w:iCs/>
          <w:szCs w:val="24"/>
        </w:rPr>
      </w:pPr>
      <w:r>
        <w:rPr>
          <w:i/>
          <w:iCs/>
          <w:szCs w:val="24"/>
          <w:lang w:eastAsia="ru-RU"/>
        </w:rPr>
        <w:tab/>
      </w:r>
      <w:r>
        <w:rPr>
          <w:i/>
          <w:iCs/>
          <w:szCs w:val="24"/>
        </w:rPr>
        <w:tab/>
      </w:r>
      <w:r w:rsidR="0088171E" w:rsidRPr="0088171E">
        <w:rPr>
          <w:i/>
          <w:iCs/>
          <w:szCs w:val="24"/>
        </w:rPr>
        <w:t>instructs the</w:t>
      </w:r>
      <w:r w:rsidR="0088171E" w:rsidRPr="0088171E">
        <w:rPr>
          <w:szCs w:val="24"/>
        </w:rPr>
        <w:t xml:space="preserve"> </w:t>
      </w:r>
      <w:r w:rsidR="0088171E" w:rsidRPr="0088171E">
        <w:rPr>
          <w:i/>
          <w:iCs/>
          <w:szCs w:val="24"/>
        </w:rPr>
        <w:t>Director of the Telecommunication Development Bureau</w:t>
      </w:r>
    </w:p>
    <w:p w:rsidR="000A2AEB" w:rsidRPr="006443DB" w:rsidRDefault="000A2AEB" w:rsidP="006443DB">
      <w:pPr>
        <w:tabs>
          <w:tab w:val="left" w:pos="709"/>
        </w:tabs>
        <w:spacing w:before="240"/>
        <w:ind w:left="705" w:hanging="705"/>
        <w:rPr>
          <w:szCs w:val="24"/>
          <w:highlight w:val="yellow"/>
        </w:rPr>
      </w:pPr>
      <w:r w:rsidRPr="006443DB">
        <w:rPr>
          <w:szCs w:val="24"/>
          <w:highlight w:val="yellow"/>
        </w:rPr>
        <w:t xml:space="preserve">1 </w:t>
      </w:r>
      <w:r w:rsidRPr="006443DB">
        <w:rPr>
          <w:szCs w:val="24"/>
          <w:highlight w:val="yellow"/>
        </w:rPr>
        <w:tab/>
        <w:t>to report to the Council annually, as appropriate, on the implementation of Resolution 67 (Rev. Dubai, 2014);</w:t>
      </w:r>
    </w:p>
    <w:p w:rsidR="000A2AEB" w:rsidRPr="006443DB" w:rsidRDefault="000A2AEB" w:rsidP="006443DB">
      <w:pPr>
        <w:tabs>
          <w:tab w:val="left" w:pos="709"/>
        </w:tabs>
        <w:spacing w:before="240"/>
        <w:ind w:left="705" w:hanging="705"/>
        <w:rPr>
          <w:szCs w:val="24"/>
          <w:highlight w:val="yellow"/>
        </w:rPr>
      </w:pPr>
      <w:r w:rsidRPr="006443DB">
        <w:rPr>
          <w:szCs w:val="24"/>
          <w:highlight w:val="yellow"/>
        </w:rPr>
        <w:t>2</w:t>
      </w:r>
      <w:r w:rsidRPr="006443DB">
        <w:rPr>
          <w:szCs w:val="24"/>
          <w:highlight w:val="yellow"/>
        </w:rPr>
        <w:tab/>
        <w:t>to collaborate closely with CWG COP and CWG Internet in order to avoid duplication of effort and to gain the best possible outputs through the work on the relevant ITU D study questions and the regional initiatives relevant to protecting children online;</w:t>
      </w:r>
    </w:p>
    <w:p w:rsidR="000A2AEB" w:rsidRPr="006443DB" w:rsidRDefault="000A2AEB" w:rsidP="006443DB">
      <w:pPr>
        <w:tabs>
          <w:tab w:val="left" w:pos="709"/>
        </w:tabs>
        <w:spacing w:before="240"/>
        <w:ind w:left="705" w:hanging="705"/>
        <w:rPr>
          <w:szCs w:val="24"/>
          <w:highlight w:val="yellow"/>
        </w:rPr>
      </w:pPr>
      <w:r w:rsidRPr="006443DB">
        <w:rPr>
          <w:szCs w:val="24"/>
          <w:highlight w:val="yellow"/>
        </w:rPr>
        <w:t>3</w:t>
      </w:r>
      <w:r w:rsidRPr="006443DB">
        <w:rPr>
          <w:szCs w:val="24"/>
          <w:highlight w:val="yellow"/>
        </w:rPr>
        <w:tab/>
        <w:t xml:space="preserve">to coordinate with other similar initiatives being undertaken at national, regional and international level with the objective of establishing partnerships to maximize efforts in this important area; </w:t>
      </w:r>
    </w:p>
    <w:p w:rsidR="000A2AEB" w:rsidRPr="006443DB" w:rsidRDefault="000A2AEB" w:rsidP="006443DB">
      <w:pPr>
        <w:tabs>
          <w:tab w:val="left" w:pos="709"/>
        </w:tabs>
        <w:spacing w:before="240"/>
        <w:ind w:left="705" w:hanging="705"/>
        <w:rPr>
          <w:szCs w:val="24"/>
          <w:highlight w:val="yellow"/>
        </w:rPr>
      </w:pPr>
      <w:r w:rsidRPr="006443DB">
        <w:rPr>
          <w:szCs w:val="24"/>
          <w:highlight w:val="yellow"/>
        </w:rPr>
        <w:t>4</w:t>
      </w:r>
      <w:r w:rsidRPr="006443DB">
        <w:rPr>
          <w:szCs w:val="24"/>
          <w:highlight w:val="yellow"/>
        </w:rPr>
        <w:tab/>
        <w:t>to assist developing countries in drawing the greatest possible attention to the problem of child online protection</w:t>
      </w:r>
      <w:r w:rsidR="00DA4FE2">
        <w:rPr>
          <w:szCs w:val="24"/>
          <w:highlight w:val="yellow"/>
        </w:rPr>
        <w:t xml:space="preserve"> and in collecting and analysing relevant statistics</w:t>
      </w:r>
      <w:r w:rsidRPr="006443DB">
        <w:rPr>
          <w:szCs w:val="24"/>
          <w:highlight w:val="yellow"/>
        </w:rPr>
        <w:t>;</w:t>
      </w:r>
    </w:p>
    <w:p w:rsidR="000A2AEB" w:rsidRPr="006443DB" w:rsidRDefault="000A2AEB" w:rsidP="006443DB">
      <w:pPr>
        <w:tabs>
          <w:tab w:val="left" w:pos="709"/>
        </w:tabs>
        <w:spacing w:before="240"/>
        <w:ind w:left="705" w:hanging="705"/>
        <w:rPr>
          <w:szCs w:val="24"/>
          <w:highlight w:val="yellow"/>
        </w:rPr>
      </w:pPr>
      <w:r w:rsidRPr="006443DB">
        <w:rPr>
          <w:szCs w:val="24"/>
          <w:highlight w:val="yellow"/>
        </w:rPr>
        <w:t>5</w:t>
      </w:r>
      <w:r w:rsidRPr="006443DB">
        <w:rPr>
          <w:szCs w:val="24"/>
          <w:highlight w:val="yellow"/>
        </w:rPr>
        <w:tab/>
        <w:t>to disseminate the guidelines created by ITU, in collaboration with COP partners, through the ITU regio</w:t>
      </w:r>
      <w:bookmarkStart w:id="10" w:name="_GoBack"/>
      <w:bookmarkEnd w:id="10"/>
      <w:r w:rsidRPr="006443DB">
        <w:rPr>
          <w:szCs w:val="24"/>
          <w:highlight w:val="yellow"/>
        </w:rPr>
        <w:t xml:space="preserve">nal offices and relevant entities; </w:t>
      </w:r>
    </w:p>
    <w:p w:rsidR="000A2AEB" w:rsidRDefault="000A2AEB" w:rsidP="006443DB">
      <w:pPr>
        <w:spacing w:before="240"/>
        <w:ind w:left="705" w:hanging="705"/>
        <w:jc w:val="both"/>
        <w:rPr>
          <w:i/>
          <w:iCs/>
          <w:szCs w:val="24"/>
        </w:rPr>
      </w:pPr>
      <w:r w:rsidRPr="006443DB">
        <w:rPr>
          <w:szCs w:val="24"/>
          <w:highlight w:val="yellow"/>
        </w:rPr>
        <w:t>6</w:t>
      </w:r>
      <w:r w:rsidRPr="006443DB">
        <w:rPr>
          <w:szCs w:val="24"/>
          <w:highlight w:val="yellow"/>
        </w:rPr>
        <w:tab/>
        <w:t>to consider the needs of children with disabilities in current and future awareness campaigns undertaken in coordination with the Telecommunication Standardization Bureau (TSB) and in cooperation with relevant stakeholders and interested countries,</w:t>
      </w:r>
      <w:r w:rsidR="0030344B">
        <w:rPr>
          <w:i/>
          <w:iCs/>
          <w:szCs w:val="24"/>
        </w:rPr>
        <w:tab/>
      </w:r>
    </w:p>
    <w:p w:rsidR="0088171E" w:rsidRPr="0088171E" w:rsidRDefault="00B401FB" w:rsidP="0088171E">
      <w:pPr>
        <w:spacing w:before="240"/>
        <w:jc w:val="both"/>
        <w:rPr>
          <w:i/>
          <w:iCs/>
          <w:szCs w:val="24"/>
        </w:rPr>
      </w:pPr>
      <w:r>
        <w:rPr>
          <w:i/>
          <w:iCs/>
          <w:szCs w:val="24"/>
        </w:rPr>
        <w:t>resolves</w:t>
      </w:r>
    </w:p>
    <w:p w:rsidR="000A2AEB" w:rsidRPr="006443DB" w:rsidRDefault="000A2AEB" w:rsidP="006443DB">
      <w:pPr>
        <w:spacing w:before="240"/>
        <w:ind w:left="720" w:hanging="720"/>
        <w:jc w:val="both"/>
        <w:rPr>
          <w:szCs w:val="24"/>
          <w:highlight w:val="yellow"/>
        </w:rPr>
      </w:pPr>
      <w:r w:rsidRPr="006443DB">
        <w:rPr>
          <w:szCs w:val="24"/>
          <w:highlight w:val="yellow"/>
        </w:rPr>
        <w:t xml:space="preserve">1. </w:t>
      </w:r>
      <w:r w:rsidR="00296880">
        <w:rPr>
          <w:szCs w:val="24"/>
          <w:highlight w:val="yellow"/>
        </w:rPr>
        <w:tab/>
      </w:r>
      <w:r w:rsidR="0088171E" w:rsidRPr="006443DB">
        <w:rPr>
          <w:szCs w:val="24"/>
          <w:highlight w:val="yellow"/>
        </w:rPr>
        <w:t xml:space="preserve"> </w:t>
      </w:r>
      <w:r w:rsidRPr="006443DB">
        <w:rPr>
          <w:szCs w:val="24"/>
          <w:highlight w:val="yellow"/>
        </w:rPr>
        <w:t>to maintain CWG COP, in order to facilitate the membership's input and guidance on ITU's role in child online protection;</w:t>
      </w:r>
    </w:p>
    <w:p w:rsidR="000A2AEB" w:rsidRPr="006443DB" w:rsidRDefault="000A2AEB" w:rsidP="006443DB">
      <w:pPr>
        <w:spacing w:before="240"/>
        <w:ind w:left="720" w:hanging="720"/>
        <w:jc w:val="both"/>
        <w:rPr>
          <w:szCs w:val="24"/>
          <w:highlight w:val="yellow"/>
        </w:rPr>
      </w:pPr>
      <w:r w:rsidRPr="006443DB">
        <w:rPr>
          <w:szCs w:val="24"/>
          <w:highlight w:val="yellow"/>
        </w:rPr>
        <w:t>2.</w:t>
      </w:r>
      <w:r w:rsidR="00296880">
        <w:rPr>
          <w:szCs w:val="24"/>
          <w:highlight w:val="yellow"/>
        </w:rPr>
        <w:tab/>
      </w:r>
      <w:r w:rsidRPr="006443DB">
        <w:rPr>
          <w:szCs w:val="24"/>
          <w:highlight w:val="yellow"/>
        </w:rPr>
        <w:t xml:space="preserve"> to facilitate the contribution and participation of all relevant stakeholders in the work of the CWG COP to ensure maximum collaboration in implementing this resolution;</w:t>
      </w:r>
    </w:p>
    <w:p w:rsidR="000A2AEB" w:rsidRPr="006443DB" w:rsidRDefault="000A2AEB" w:rsidP="006443DB">
      <w:pPr>
        <w:spacing w:before="240"/>
        <w:ind w:left="720" w:hanging="720"/>
        <w:jc w:val="both"/>
        <w:rPr>
          <w:szCs w:val="24"/>
          <w:highlight w:val="yellow"/>
        </w:rPr>
      </w:pPr>
      <w:r w:rsidRPr="006443DB">
        <w:rPr>
          <w:szCs w:val="24"/>
          <w:highlight w:val="yellow"/>
        </w:rPr>
        <w:t>3.</w:t>
      </w:r>
      <w:r w:rsidR="00296880">
        <w:rPr>
          <w:szCs w:val="24"/>
          <w:highlight w:val="yellow"/>
        </w:rPr>
        <w:tab/>
      </w:r>
      <w:r w:rsidRPr="006443DB">
        <w:rPr>
          <w:szCs w:val="24"/>
          <w:highlight w:val="yellow"/>
        </w:rPr>
        <w:t xml:space="preserve"> to encourage CWG COP to conduct one-day online consultations for youth prior to its meetings to listen to their views and opinions on different matters related to child online protection;</w:t>
      </w:r>
    </w:p>
    <w:p w:rsidR="00B401FB" w:rsidRDefault="000A2AEB" w:rsidP="006443DB">
      <w:pPr>
        <w:spacing w:before="240"/>
        <w:ind w:left="720" w:hanging="720"/>
        <w:jc w:val="both"/>
        <w:rPr>
          <w:szCs w:val="24"/>
        </w:rPr>
      </w:pPr>
      <w:r w:rsidRPr="006443DB">
        <w:rPr>
          <w:szCs w:val="24"/>
          <w:highlight w:val="yellow"/>
        </w:rPr>
        <w:t>4.</w:t>
      </w:r>
      <w:r w:rsidR="00296880">
        <w:rPr>
          <w:szCs w:val="24"/>
          <w:highlight w:val="yellow"/>
        </w:rPr>
        <w:tab/>
      </w:r>
      <w:r w:rsidRPr="006443DB">
        <w:rPr>
          <w:szCs w:val="24"/>
          <w:highlight w:val="yellow"/>
        </w:rPr>
        <w:t xml:space="preserve"> to continue to make output documents related to child online protection issues publicly accessible without password protection.</w:t>
      </w:r>
    </w:p>
    <w:p w:rsidR="00466F10" w:rsidRPr="00466F10" w:rsidRDefault="00466F10" w:rsidP="00466F10">
      <w:pPr>
        <w:spacing w:before="100" w:after="100" w:line="240" w:lineRule="atLeast"/>
        <w:ind w:left="360"/>
        <w:jc w:val="center"/>
        <w:rPr>
          <w:sz w:val="25"/>
          <w:szCs w:val="25"/>
          <w:u w:val="single"/>
        </w:rPr>
      </w:pPr>
      <w:r>
        <w:rPr>
          <w:sz w:val="25"/>
          <w:szCs w:val="25"/>
          <w:u w:val="single"/>
        </w:rPr>
        <w:t>                       </w:t>
      </w:r>
    </w:p>
    <w:sectPr w:rsidR="00466F10" w:rsidRPr="00466F10" w:rsidSect="009A7A60">
      <w:headerReference w:type="default" r:id="rId10"/>
      <w:footerReference w:type="first" r:id="rId11"/>
      <w:pgSz w:w="11907" w:h="16834" w:code="9"/>
      <w:pgMar w:top="1418" w:right="1134" w:bottom="851"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81" w:rsidRDefault="00772881">
      <w:r>
        <w:separator/>
      </w:r>
    </w:p>
  </w:endnote>
  <w:endnote w:type="continuationSeparator" w:id="0">
    <w:p w:rsidR="00772881" w:rsidRDefault="0077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66" w:rsidRDefault="00BC5366">
    <w:pPr>
      <w:spacing w:after="120"/>
      <w:jc w:val="center"/>
    </w:pPr>
    <w:r>
      <w:t xml:space="preserve">• </w:t>
    </w:r>
    <w:hyperlink r:id="rId1" w:history="1">
      <w:r>
        <w:rPr>
          <w:rStyle w:val="Hyperlink"/>
        </w:rPr>
        <w:t>http://www.itu.int/council</w:t>
      </w:r>
    </w:hyperlink>
    <w:r>
      <w:t xml:space="preserve"> •</w:t>
    </w:r>
  </w:p>
  <w:p w:rsidR="00BC5366" w:rsidRPr="007C0F90" w:rsidRDefault="007C0F90">
    <w:pPr>
      <w:rPr>
        <w:caps/>
        <w:sz w:val="18"/>
      </w:rPr>
    </w:pPr>
    <w:r w:rsidRPr="007C0F90">
      <w:rPr>
        <w:caps/>
        <w:sz w:val="18"/>
      </w:rPr>
      <w:fldChar w:fldCharType="begin"/>
    </w:r>
    <w:r w:rsidRPr="007C0F90">
      <w:rPr>
        <w:caps/>
        <w:sz w:val="18"/>
      </w:rPr>
      <w:instrText xml:space="preserve"> FILENAME \p \* MERGEFORMAT </w:instrText>
    </w:r>
    <w:r w:rsidRPr="007C0F90">
      <w:rPr>
        <w:caps/>
        <w:sz w:val="18"/>
      </w:rPr>
      <w:fldChar w:fldCharType="separate"/>
    </w:r>
    <w:r>
      <w:rPr>
        <w:caps/>
        <w:noProof/>
        <w:sz w:val="18"/>
      </w:rPr>
      <w:t>P:\SPM\CORPGOV\c09\doc\108rev1e_res1306-clean.doc</w:t>
    </w:r>
    <w:r w:rsidRPr="007C0F90">
      <w:rPr>
        <w:cap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81" w:rsidRDefault="00772881">
      <w:r>
        <w:t>____________________</w:t>
      </w:r>
    </w:p>
    <w:p w:rsidR="00772881" w:rsidRDefault="00772881"/>
  </w:footnote>
  <w:footnote w:type="continuationSeparator" w:id="0">
    <w:p w:rsidR="00772881" w:rsidRDefault="0077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66" w:rsidRDefault="00BC5366">
    <w:pPr>
      <w:pStyle w:val="Header"/>
    </w:pPr>
    <w:r>
      <w:t xml:space="preserve">- </w:t>
    </w:r>
    <w:r>
      <w:fldChar w:fldCharType="begin"/>
    </w:r>
    <w:r>
      <w:instrText>PAGE</w:instrText>
    </w:r>
    <w:r>
      <w:fldChar w:fldCharType="separate"/>
    </w:r>
    <w:r w:rsidR="006443DB">
      <w:rPr>
        <w:noProof/>
      </w:rPr>
      <w:t>3</w:t>
    </w:r>
    <w:r>
      <w:fldChar w:fldCharType="end"/>
    </w:r>
    <w:r>
      <w:t xml:space="preserve"> -</w:t>
    </w:r>
  </w:p>
  <w:p w:rsidR="00BC5366" w:rsidRDefault="00BC5366" w:rsidP="005243FF">
    <w:pPr>
      <w:pStyle w:val="Header"/>
    </w:pPr>
    <w:r>
      <w:t>C09/</w:t>
    </w:r>
    <w:r w:rsidR="009A7A60">
      <w:t>108</w:t>
    </w:r>
    <w:r w:rsidR="00230D8B">
      <w:t>(Rev.1)</w:t>
    </w:r>
    <w:r>
      <w:t>-E</w:t>
    </w:r>
  </w:p>
  <w:p w:rsidR="00B401FB" w:rsidRDefault="00B401FB" w:rsidP="00524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1FA7911"/>
    <w:multiLevelType w:val="hybridMultilevel"/>
    <w:tmpl w:val="9F62F18C"/>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5964F5"/>
    <w:multiLevelType w:val="hybridMultilevel"/>
    <w:tmpl w:val="4F56F34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A56020A"/>
    <w:multiLevelType w:val="hybridMultilevel"/>
    <w:tmpl w:val="B3DA4D6A"/>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623282"/>
    <w:multiLevelType w:val="hybridMultilevel"/>
    <w:tmpl w:val="FE0CDA08"/>
    <w:lvl w:ilvl="0" w:tplc="B1F0C1AC">
      <w:start w:val="1"/>
      <w:numFmt w:val="decimal"/>
      <w:lvlText w:val="%1"/>
      <w:lvlJc w:val="left"/>
      <w:pPr>
        <w:ind w:left="720" w:hanging="360"/>
      </w:pPr>
      <w:rPr>
        <w:rFonts w:cs="Times New Roman" w:hint="default"/>
      </w:rPr>
    </w:lvl>
    <w:lvl w:ilvl="1" w:tplc="056A0FDE">
      <w:start w:val="1"/>
      <w:numFmt w:val="decimal"/>
      <w:lvlText w:val="%2."/>
      <w:lvlJc w:val="left"/>
      <w:pPr>
        <w:tabs>
          <w:tab w:val="num" w:pos="1440"/>
        </w:tabs>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nsid w:val="305564E7"/>
    <w:multiLevelType w:val="hybridMultilevel"/>
    <w:tmpl w:val="B298DEFC"/>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7">
      <w:start w:val="1"/>
      <w:numFmt w:val="lowerLetter"/>
      <w:lvlText w:val="%3)"/>
      <w:lvlJc w:val="left"/>
      <w:pPr>
        <w:tabs>
          <w:tab w:val="num" w:pos="2340"/>
        </w:tabs>
        <w:ind w:left="2340" w:hanging="360"/>
      </w:pPr>
      <w:rPr>
        <w:rFonts w:cs="Times New Roman"/>
      </w:rPr>
    </w:lvl>
    <w:lvl w:ilvl="3" w:tplc="B9C8C866">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1083145"/>
    <w:multiLevelType w:val="hybridMultilevel"/>
    <w:tmpl w:val="C680C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217CA"/>
    <w:multiLevelType w:val="hybridMultilevel"/>
    <w:tmpl w:val="A7666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160815"/>
    <w:multiLevelType w:val="hybridMultilevel"/>
    <w:tmpl w:val="A4B8B3E6"/>
    <w:lvl w:ilvl="0" w:tplc="FCC498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1934B1"/>
    <w:multiLevelType w:val="hybridMultilevel"/>
    <w:tmpl w:val="41746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A60306"/>
    <w:multiLevelType w:val="hybridMultilevel"/>
    <w:tmpl w:val="75EC3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0A678B"/>
    <w:multiLevelType w:val="hybridMultilevel"/>
    <w:tmpl w:val="2250C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E416FE"/>
    <w:multiLevelType w:val="hybridMultilevel"/>
    <w:tmpl w:val="B298DEFC"/>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7">
      <w:start w:val="1"/>
      <w:numFmt w:val="lowerLetter"/>
      <w:lvlText w:val="%3)"/>
      <w:lvlJc w:val="left"/>
      <w:pPr>
        <w:tabs>
          <w:tab w:val="num" w:pos="2340"/>
        </w:tabs>
        <w:ind w:left="2340" w:hanging="360"/>
      </w:pPr>
      <w:rPr>
        <w:rFonts w:cs="Times New Roman"/>
      </w:rPr>
    </w:lvl>
    <w:lvl w:ilvl="3" w:tplc="B9C8C866">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308390D"/>
    <w:multiLevelType w:val="hybridMultilevel"/>
    <w:tmpl w:val="D3E6A23E"/>
    <w:lvl w:ilvl="0" w:tplc="8EC82646">
      <w:start w:val="1"/>
      <w:numFmt w:val="lowerLetter"/>
      <w:lvlText w:val="%1)"/>
      <w:lvlJc w:val="left"/>
      <w:pPr>
        <w:ind w:left="780" w:hanging="360"/>
      </w:pPr>
      <w:rPr>
        <w:rFonts w:cs="Times New Roman" w:hint="default"/>
      </w:rPr>
    </w:lvl>
    <w:lvl w:ilvl="1" w:tplc="0C090019">
      <w:start w:val="1"/>
      <w:numFmt w:val="lowerLetter"/>
      <w:lvlText w:val="%2."/>
      <w:lvlJc w:val="left"/>
      <w:pPr>
        <w:ind w:left="1500" w:hanging="360"/>
      </w:pPr>
      <w:rPr>
        <w:rFonts w:cs="Times New Roman"/>
      </w:rPr>
    </w:lvl>
    <w:lvl w:ilvl="2" w:tplc="0C09001B">
      <w:start w:val="1"/>
      <w:numFmt w:val="lowerRoman"/>
      <w:lvlText w:val="%3."/>
      <w:lvlJc w:val="right"/>
      <w:pPr>
        <w:ind w:left="2220" w:hanging="180"/>
      </w:pPr>
      <w:rPr>
        <w:rFonts w:cs="Times New Roman"/>
      </w:rPr>
    </w:lvl>
    <w:lvl w:ilvl="3" w:tplc="0C09000F">
      <w:start w:val="1"/>
      <w:numFmt w:val="decimal"/>
      <w:lvlText w:val="%4."/>
      <w:lvlJc w:val="left"/>
      <w:pPr>
        <w:ind w:left="2940" w:hanging="360"/>
      </w:pPr>
      <w:rPr>
        <w:rFonts w:cs="Times New Roman"/>
      </w:rPr>
    </w:lvl>
    <w:lvl w:ilvl="4" w:tplc="0C090019">
      <w:start w:val="1"/>
      <w:numFmt w:val="lowerLetter"/>
      <w:lvlText w:val="%5."/>
      <w:lvlJc w:val="left"/>
      <w:pPr>
        <w:ind w:left="3660" w:hanging="360"/>
      </w:pPr>
      <w:rPr>
        <w:rFonts w:cs="Times New Roman"/>
      </w:rPr>
    </w:lvl>
    <w:lvl w:ilvl="5" w:tplc="0C09001B">
      <w:start w:val="1"/>
      <w:numFmt w:val="lowerRoman"/>
      <w:lvlText w:val="%6."/>
      <w:lvlJc w:val="right"/>
      <w:pPr>
        <w:ind w:left="4380" w:hanging="180"/>
      </w:pPr>
      <w:rPr>
        <w:rFonts w:cs="Times New Roman"/>
      </w:rPr>
    </w:lvl>
    <w:lvl w:ilvl="6" w:tplc="0C09000F">
      <w:start w:val="1"/>
      <w:numFmt w:val="decimal"/>
      <w:lvlText w:val="%7."/>
      <w:lvlJc w:val="left"/>
      <w:pPr>
        <w:ind w:left="5100" w:hanging="360"/>
      </w:pPr>
      <w:rPr>
        <w:rFonts w:cs="Times New Roman"/>
      </w:rPr>
    </w:lvl>
    <w:lvl w:ilvl="7" w:tplc="0C090019">
      <w:start w:val="1"/>
      <w:numFmt w:val="lowerLetter"/>
      <w:lvlText w:val="%8."/>
      <w:lvlJc w:val="left"/>
      <w:pPr>
        <w:ind w:left="5820" w:hanging="360"/>
      </w:pPr>
      <w:rPr>
        <w:rFonts w:cs="Times New Roman"/>
      </w:rPr>
    </w:lvl>
    <w:lvl w:ilvl="8" w:tplc="0C09001B">
      <w:start w:val="1"/>
      <w:numFmt w:val="lowerRoman"/>
      <w:lvlText w:val="%9."/>
      <w:lvlJc w:val="right"/>
      <w:pPr>
        <w:ind w:left="6540" w:hanging="180"/>
      </w:pPr>
      <w:rPr>
        <w:rFonts w:cs="Times New Roman"/>
      </w:rPr>
    </w:lvl>
  </w:abstractNum>
  <w:abstractNum w:abstractNumId="14">
    <w:nsid w:val="742338FC"/>
    <w:multiLevelType w:val="hybridMultilevel"/>
    <w:tmpl w:val="8E9EB6B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A4306B"/>
    <w:multiLevelType w:val="hybridMultilevel"/>
    <w:tmpl w:val="BF628470"/>
    <w:lvl w:ilvl="0" w:tplc="F54AB5B0">
      <w:start w:val="1"/>
      <w:numFmt w:val="decimal"/>
      <w:lvlText w:val="%1"/>
      <w:lvlJc w:val="left"/>
      <w:pPr>
        <w:ind w:left="735" w:hanging="375"/>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7DC66954"/>
    <w:multiLevelType w:val="hybridMultilevel"/>
    <w:tmpl w:val="0E5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7"/>
  </w:num>
  <w:num w:numId="4">
    <w:abstractNumId w:val="14"/>
  </w:num>
  <w:num w:numId="5">
    <w:abstractNumId w:val="6"/>
  </w:num>
  <w:num w:numId="6">
    <w:abstractNumId w:val="10"/>
  </w:num>
  <w:num w:numId="7">
    <w:abstractNumId w:val="9"/>
  </w:num>
  <w:num w:numId="8">
    <w:abstractNumId w:val="11"/>
  </w:num>
  <w:num w:numId="9">
    <w:abstractNumId w:val="2"/>
  </w:num>
  <w:num w:numId="10">
    <w:abstractNumId w:val="3"/>
  </w:num>
  <w:num w:numId="11">
    <w:abstractNumId w:val="12"/>
  </w:num>
  <w:num w:numId="12">
    <w:abstractNumId w:val="1"/>
  </w:num>
  <w:num w:numId="13">
    <w:abstractNumId w:val="13"/>
  </w:num>
  <w:num w:numId="14">
    <w:abstractNumId w:val="4"/>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07"/>
    <w:rsid w:val="000077A4"/>
    <w:rsid w:val="000313B3"/>
    <w:rsid w:val="00085CF2"/>
    <w:rsid w:val="000A2AEB"/>
    <w:rsid w:val="000B1705"/>
    <w:rsid w:val="000B4388"/>
    <w:rsid w:val="000E3113"/>
    <w:rsid w:val="001058FA"/>
    <w:rsid w:val="001121F5"/>
    <w:rsid w:val="001159D0"/>
    <w:rsid w:val="00140CE1"/>
    <w:rsid w:val="00166372"/>
    <w:rsid w:val="00166E28"/>
    <w:rsid w:val="0017539C"/>
    <w:rsid w:val="00175AC2"/>
    <w:rsid w:val="0017609F"/>
    <w:rsid w:val="001C628E"/>
    <w:rsid w:val="001D530C"/>
    <w:rsid w:val="001E0F7B"/>
    <w:rsid w:val="001E18A3"/>
    <w:rsid w:val="002119FD"/>
    <w:rsid w:val="00230D8B"/>
    <w:rsid w:val="00265875"/>
    <w:rsid w:val="0027303B"/>
    <w:rsid w:val="0028109B"/>
    <w:rsid w:val="00296880"/>
    <w:rsid w:val="002B1F58"/>
    <w:rsid w:val="002C1C7A"/>
    <w:rsid w:val="002E271E"/>
    <w:rsid w:val="002F3DB4"/>
    <w:rsid w:val="0030344B"/>
    <w:rsid w:val="003920D4"/>
    <w:rsid w:val="003942D4"/>
    <w:rsid w:val="003958A8"/>
    <w:rsid w:val="003E79CE"/>
    <w:rsid w:val="0040435A"/>
    <w:rsid w:val="00427A8A"/>
    <w:rsid w:val="00431D9E"/>
    <w:rsid w:val="00433CE8"/>
    <w:rsid w:val="004544D9"/>
    <w:rsid w:val="00455E0F"/>
    <w:rsid w:val="0046513E"/>
    <w:rsid w:val="00466F10"/>
    <w:rsid w:val="00490E72"/>
    <w:rsid w:val="004921C8"/>
    <w:rsid w:val="004E2EA5"/>
    <w:rsid w:val="004E3AEB"/>
    <w:rsid w:val="004F4237"/>
    <w:rsid w:val="0050223C"/>
    <w:rsid w:val="005243FF"/>
    <w:rsid w:val="00547F0E"/>
    <w:rsid w:val="00564FBC"/>
    <w:rsid w:val="00582442"/>
    <w:rsid w:val="00590F4C"/>
    <w:rsid w:val="006443DB"/>
    <w:rsid w:val="0065555E"/>
    <w:rsid w:val="0065557D"/>
    <w:rsid w:val="00662984"/>
    <w:rsid w:val="006B32FC"/>
    <w:rsid w:val="006B6DCC"/>
    <w:rsid w:val="007230D0"/>
    <w:rsid w:val="007400E4"/>
    <w:rsid w:val="00747C38"/>
    <w:rsid w:val="0075051B"/>
    <w:rsid w:val="00755E70"/>
    <w:rsid w:val="00772881"/>
    <w:rsid w:val="007C0F90"/>
    <w:rsid w:val="0083581B"/>
    <w:rsid w:val="0088171E"/>
    <w:rsid w:val="008B4A6A"/>
    <w:rsid w:val="008E536A"/>
    <w:rsid w:val="008F70AA"/>
    <w:rsid w:val="009173EF"/>
    <w:rsid w:val="00931914"/>
    <w:rsid w:val="00932906"/>
    <w:rsid w:val="00935440"/>
    <w:rsid w:val="00961B0B"/>
    <w:rsid w:val="009A7A60"/>
    <w:rsid w:val="009D1F19"/>
    <w:rsid w:val="009E17BD"/>
    <w:rsid w:val="00A0194B"/>
    <w:rsid w:val="00A04CEC"/>
    <w:rsid w:val="00A23FD9"/>
    <w:rsid w:val="00A268C0"/>
    <w:rsid w:val="00A27F92"/>
    <w:rsid w:val="00A55622"/>
    <w:rsid w:val="00A7315D"/>
    <w:rsid w:val="00A75AB8"/>
    <w:rsid w:val="00B04A67"/>
    <w:rsid w:val="00B0583C"/>
    <w:rsid w:val="00B401FB"/>
    <w:rsid w:val="00B40A81"/>
    <w:rsid w:val="00B44910"/>
    <w:rsid w:val="00B60B23"/>
    <w:rsid w:val="00B72267"/>
    <w:rsid w:val="00B76EB6"/>
    <w:rsid w:val="00B824C8"/>
    <w:rsid w:val="00B97617"/>
    <w:rsid w:val="00BC5366"/>
    <w:rsid w:val="00BD032B"/>
    <w:rsid w:val="00BE2640"/>
    <w:rsid w:val="00C01189"/>
    <w:rsid w:val="00C374DE"/>
    <w:rsid w:val="00C47AD4"/>
    <w:rsid w:val="00C52D81"/>
    <w:rsid w:val="00C55198"/>
    <w:rsid w:val="00CA6393"/>
    <w:rsid w:val="00CB3607"/>
    <w:rsid w:val="00CD0C08"/>
    <w:rsid w:val="00CE28C5"/>
    <w:rsid w:val="00CF33F3"/>
    <w:rsid w:val="00D06183"/>
    <w:rsid w:val="00D207F0"/>
    <w:rsid w:val="00D22C42"/>
    <w:rsid w:val="00D26694"/>
    <w:rsid w:val="00D65041"/>
    <w:rsid w:val="00D952E3"/>
    <w:rsid w:val="00DA4FE2"/>
    <w:rsid w:val="00DD5EFC"/>
    <w:rsid w:val="00DF7077"/>
    <w:rsid w:val="00E02AAF"/>
    <w:rsid w:val="00E10E80"/>
    <w:rsid w:val="00E124F0"/>
    <w:rsid w:val="00E429E0"/>
    <w:rsid w:val="00E60847"/>
    <w:rsid w:val="00EA2E7F"/>
    <w:rsid w:val="00EB2232"/>
    <w:rsid w:val="00EB2E43"/>
    <w:rsid w:val="00EC5337"/>
    <w:rsid w:val="00EF752D"/>
    <w:rsid w:val="00F2150A"/>
    <w:rsid w:val="00F231D8"/>
    <w:rsid w:val="00F409E1"/>
    <w:rsid w:val="00F4694E"/>
    <w:rsid w:val="00F818D7"/>
    <w:rsid w:val="00F97892"/>
    <w:rsid w:val="00FA53C3"/>
    <w:rsid w:val="00FD2987"/>
    <w:rsid w:val="00FE7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character" w:customStyle="1" w:styleId="FootnoteTextChar">
    <w:name w:val="Footnote Text Char"/>
    <w:link w:val="FootnoteText"/>
    <w:semiHidden/>
    <w:rsid w:val="00CB3607"/>
    <w:rPr>
      <w:sz w:val="24"/>
      <w:lang w:val="en-GB" w:eastAsia="en-US" w:bidi="ar-SA"/>
    </w:rPr>
  </w:style>
  <w:style w:type="character" w:customStyle="1" w:styleId="NormalaftertitleChar">
    <w:name w:val="Normal after title Char"/>
    <w:link w:val="Normalaftertitle"/>
    <w:rsid w:val="00D207F0"/>
    <w:rPr>
      <w:sz w:val="24"/>
      <w:lang w:val="en-GB" w:eastAsia="en-US" w:bidi="ar-SA"/>
    </w:rPr>
  </w:style>
  <w:style w:type="paragraph" w:customStyle="1" w:styleId="1avsnitt">
    <w:name w:val="1.avsnitt"/>
    <w:basedOn w:val="Normal"/>
    <w:rsid w:val="0088171E"/>
    <w:pPr>
      <w:tabs>
        <w:tab w:val="clear" w:pos="794"/>
        <w:tab w:val="clear" w:pos="1191"/>
        <w:tab w:val="clear" w:pos="1588"/>
        <w:tab w:val="clear" w:pos="1985"/>
        <w:tab w:val="left" w:pos="397"/>
      </w:tabs>
      <w:overflowPunct/>
      <w:autoSpaceDE/>
      <w:autoSpaceDN/>
      <w:adjustRightInd/>
      <w:textAlignment w:val="auto"/>
    </w:pPr>
    <w:rPr>
      <w:rFonts w:eastAsia="MS Mincho"/>
      <w:lang w:val="en-US" w:eastAsia="nb-NO"/>
    </w:rPr>
  </w:style>
  <w:style w:type="paragraph" w:styleId="BalloonText">
    <w:name w:val="Balloon Text"/>
    <w:basedOn w:val="Normal"/>
    <w:semiHidden/>
    <w:rsid w:val="00755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character" w:customStyle="1" w:styleId="FootnoteTextChar">
    <w:name w:val="Footnote Text Char"/>
    <w:link w:val="FootnoteText"/>
    <w:semiHidden/>
    <w:rsid w:val="00CB3607"/>
    <w:rPr>
      <w:sz w:val="24"/>
      <w:lang w:val="en-GB" w:eastAsia="en-US" w:bidi="ar-SA"/>
    </w:rPr>
  </w:style>
  <w:style w:type="character" w:customStyle="1" w:styleId="NormalaftertitleChar">
    <w:name w:val="Normal after title Char"/>
    <w:link w:val="Normalaftertitle"/>
    <w:rsid w:val="00D207F0"/>
    <w:rPr>
      <w:sz w:val="24"/>
      <w:lang w:val="en-GB" w:eastAsia="en-US" w:bidi="ar-SA"/>
    </w:rPr>
  </w:style>
  <w:style w:type="paragraph" w:customStyle="1" w:styleId="1avsnitt">
    <w:name w:val="1.avsnitt"/>
    <w:basedOn w:val="Normal"/>
    <w:rsid w:val="0088171E"/>
    <w:pPr>
      <w:tabs>
        <w:tab w:val="clear" w:pos="794"/>
        <w:tab w:val="clear" w:pos="1191"/>
        <w:tab w:val="clear" w:pos="1588"/>
        <w:tab w:val="clear" w:pos="1985"/>
        <w:tab w:val="left" w:pos="397"/>
      </w:tabs>
      <w:overflowPunct/>
      <w:autoSpaceDE/>
      <w:autoSpaceDN/>
      <w:adjustRightInd/>
      <w:textAlignment w:val="auto"/>
    </w:pPr>
    <w:rPr>
      <w:rFonts w:eastAsia="MS Mincho"/>
      <w:lang w:val="en-US" w:eastAsia="nb-NO"/>
    </w:rPr>
  </w:style>
  <w:style w:type="paragraph" w:styleId="BalloonText">
    <w:name w:val="Balloon Text"/>
    <w:basedOn w:val="Normal"/>
    <w:semiHidden/>
    <w:rsid w:val="00755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C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426211-414F-4D70-B784-74AE78D8BBC9}"/>
</file>

<file path=customXml/itemProps2.xml><?xml version="1.0" encoding="utf-8"?>
<ds:datastoreItem xmlns:ds="http://schemas.openxmlformats.org/officeDocument/2006/customXml" ds:itemID="{B25BC1D1-F888-47B3-BE2C-80A6BB2D8B96}"/>
</file>

<file path=customXml/itemProps3.xml><?xml version="1.0" encoding="utf-8"?>
<ds:datastoreItem xmlns:ds="http://schemas.openxmlformats.org/officeDocument/2006/customXml" ds:itemID="{400E10DB-0ECF-45D3-8140-99C3CB125D50}"/>
</file>

<file path=customXml/itemProps4.xml><?xml version="1.0" encoding="utf-8"?>
<ds:datastoreItem xmlns:ds="http://schemas.openxmlformats.org/officeDocument/2006/customXml" ds:itemID="{ADB0FA48-8F0A-41F8-8712-682C1FD169C7}"/>
</file>

<file path=docProps/app.xml><?xml version="1.0" encoding="utf-8"?>
<Properties xmlns="http://schemas.openxmlformats.org/officeDocument/2006/extended-properties" xmlns:vt="http://schemas.openxmlformats.org/officeDocument/2006/docPropsVTypes">
  <Template>PE_C09.DOT</Template>
  <TotalTime>2</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Council 2009</vt:lpstr>
    </vt:vector>
  </TitlesOfParts>
  <Manager>General Secretariat - Pool</Manager>
  <Company>International Telecommunication Union (ITU)</Company>
  <LinksUpToDate>false</LinksUpToDate>
  <CharactersWithSpaces>6581</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2009</dc:title>
  <dc:subject>Council 2008</dc:subject>
  <dc:creator>ITU</dc:creator>
  <cp:keywords>C2008</cp:keywords>
  <cp:lastModifiedBy>Sherif Hashem</cp:lastModifiedBy>
  <cp:revision>3</cp:revision>
  <cp:lastPrinted>2009-12-07T05:33:00Z</cp:lastPrinted>
  <dcterms:created xsi:type="dcterms:W3CDTF">2015-01-16T12:30:00Z</dcterms:created>
  <dcterms:modified xsi:type="dcterms:W3CDTF">2015-01-16T12:32:00Z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0x01010005B792512068564EBF97BFBE93919623</vt:lpwstr>
  </property>
</Properties>
</file>