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ayout w:type="fixed"/>
        <w:tblLook w:val="0000" w:firstRow="0" w:lastRow="0" w:firstColumn="0" w:lastColumn="0" w:noHBand="0" w:noVBand="0"/>
      </w:tblPr>
      <w:tblGrid>
        <w:gridCol w:w="1748"/>
        <w:gridCol w:w="3873"/>
        <w:gridCol w:w="3622"/>
      </w:tblGrid>
      <w:tr w:rsidR="00EB593F" w:rsidRPr="008642EF" w:rsidTr="00EB593F">
        <w:trPr>
          <w:cantSplit/>
          <w:jc w:val="center"/>
        </w:trPr>
        <w:tc>
          <w:tcPr>
            <w:tcW w:w="5621" w:type="dxa"/>
            <w:gridSpan w:val="2"/>
          </w:tcPr>
          <w:p w:rsidR="00EB593F" w:rsidRPr="008642EF" w:rsidRDefault="00EB593F" w:rsidP="00B7515B">
            <w:pPr>
              <w:spacing w:before="120" w:after="120" w:line="240" w:lineRule="auto"/>
              <w:rPr>
                <w:rFonts w:ascii="Verdana" w:hAnsi="Verdana"/>
                <w:b/>
                <w:bCs/>
                <w:sz w:val="30"/>
                <w:szCs w:val="30"/>
                <w:lang w:val="es-ES_tradnl"/>
              </w:rPr>
            </w:pPr>
            <w:bookmarkStart w:id="0" w:name="_Toc351017131"/>
            <w:bookmarkStart w:id="1" w:name="_Toc351122022"/>
            <w:bookmarkStart w:id="2" w:name="_GoBack"/>
            <w:bookmarkEnd w:id="2"/>
            <w:r w:rsidRPr="008642EF">
              <w:rPr>
                <w:rFonts w:ascii="Verdana" w:hAnsi="Verdana"/>
                <w:b/>
                <w:bCs/>
                <w:sz w:val="26"/>
                <w:szCs w:val="26"/>
                <w:lang w:val="es-ES_tradnl"/>
              </w:rPr>
              <w:t>Sector de Desarrollo de</w:t>
            </w:r>
            <w:r w:rsidRPr="008642EF">
              <w:rPr>
                <w:rFonts w:ascii="Verdana" w:hAnsi="Verdana"/>
                <w:b/>
                <w:bCs/>
                <w:sz w:val="30"/>
                <w:szCs w:val="30"/>
                <w:lang w:val="es-ES_tradnl"/>
              </w:rPr>
              <w:br/>
            </w:r>
            <w:r w:rsidRPr="008642EF">
              <w:rPr>
                <w:rFonts w:ascii="Verdana" w:hAnsi="Verdana"/>
                <w:b/>
                <w:bCs/>
                <w:sz w:val="26"/>
                <w:szCs w:val="26"/>
                <w:lang w:val="es-ES_tradnl"/>
              </w:rPr>
              <w:t>las Telecomunicaciones</w:t>
            </w:r>
          </w:p>
        </w:tc>
        <w:tc>
          <w:tcPr>
            <w:tcW w:w="3622" w:type="dxa"/>
          </w:tcPr>
          <w:p w:rsidR="00EB593F" w:rsidRPr="008642EF" w:rsidRDefault="00EB593F" w:rsidP="00B7515B">
            <w:pPr>
              <w:spacing w:after="0" w:line="240" w:lineRule="auto"/>
              <w:jc w:val="right"/>
              <w:rPr>
                <w:lang w:val="es-ES_tradnl"/>
              </w:rPr>
            </w:pPr>
            <w:r w:rsidRPr="008642EF">
              <w:rPr>
                <w:b/>
                <w:bCs/>
                <w:noProof/>
                <w:szCs w:val="24"/>
                <w:lang w:eastAsia="en-US"/>
              </w:rPr>
              <w:drawing>
                <wp:inline distT="0" distB="0" distL="0" distR="0" wp14:anchorId="058407DB" wp14:editId="352E0459">
                  <wp:extent cx="1767840" cy="701040"/>
                  <wp:effectExtent l="19050" t="0" r="3810" b="0"/>
                  <wp:docPr id="18" name="Picture 18"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_"/>
                          <pic:cNvPicPr>
                            <a:picLocks noChangeAspect="1" noChangeArrowheads="1"/>
                          </pic:cNvPicPr>
                        </pic:nvPicPr>
                        <pic:blipFill>
                          <a:blip r:embed="rId9" cstate="print"/>
                          <a:srcRect/>
                          <a:stretch>
                            <a:fillRect/>
                          </a:stretch>
                        </pic:blipFill>
                        <pic:spPr bwMode="auto">
                          <a:xfrm>
                            <a:off x="0" y="0"/>
                            <a:ext cx="1767840" cy="701040"/>
                          </a:xfrm>
                          <a:prstGeom prst="rect">
                            <a:avLst/>
                          </a:prstGeom>
                          <a:noFill/>
                          <a:ln w="9525">
                            <a:noFill/>
                            <a:miter lim="800000"/>
                            <a:headEnd/>
                            <a:tailEnd/>
                          </a:ln>
                        </pic:spPr>
                      </pic:pic>
                    </a:graphicData>
                  </a:graphic>
                </wp:inline>
              </w:drawing>
            </w:r>
          </w:p>
        </w:tc>
      </w:tr>
      <w:tr w:rsidR="00EB593F" w:rsidRPr="00BB148D" w:rsidTr="00EB593F">
        <w:trPr>
          <w:cantSplit/>
          <w:jc w:val="center"/>
        </w:trPr>
        <w:tc>
          <w:tcPr>
            <w:tcW w:w="5621" w:type="dxa"/>
            <w:gridSpan w:val="2"/>
          </w:tcPr>
          <w:p w:rsidR="00EB593F" w:rsidRPr="008642EF" w:rsidRDefault="007D794C" w:rsidP="007D794C">
            <w:pPr>
              <w:spacing w:after="40" w:line="240" w:lineRule="auto"/>
              <w:rPr>
                <w:rFonts w:ascii="Verdana" w:hAnsi="Verdana"/>
                <w:b/>
                <w:bCs/>
                <w:sz w:val="19"/>
                <w:szCs w:val="19"/>
                <w:lang w:val="es-ES_tradnl"/>
              </w:rPr>
            </w:pPr>
            <w:r w:rsidRPr="007D794C">
              <w:rPr>
                <w:rFonts w:ascii="Verdana" w:hAnsi="Verdana"/>
                <w:b/>
                <w:bCs/>
                <w:sz w:val="19"/>
                <w:szCs w:val="19"/>
                <w:lang w:val="es-ES_tradnl"/>
              </w:rPr>
              <w:t>Reunión Preparatoria Regional de la CMDT-14 para la Región de la Américas (RPM-AMS)</w:t>
            </w:r>
          </w:p>
        </w:tc>
        <w:tc>
          <w:tcPr>
            <w:tcW w:w="3622" w:type="dxa"/>
          </w:tcPr>
          <w:p w:rsidR="00EB593F" w:rsidRPr="008642EF" w:rsidRDefault="00EB593F" w:rsidP="00B7515B">
            <w:pPr>
              <w:pStyle w:val="CEONormal"/>
              <w:spacing w:before="0" w:after="0"/>
              <w:rPr>
                <w:rFonts w:ascii="Verdana" w:hAnsi="Verdana"/>
                <w:sz w:val="20"/>
                <w:szCs w:val="20"/>
                <w:lang w:val="es-ES_tradnl"/>
              </w:rPr>
            </w:pPr>
          </w:p>
        </w:tc>
      </w:tr>
      <w:tr w:rsidR="00EB593F" w:rsidRPr="00BB148D" w:rsidTr="00EB593F">
        <w:trPr>
          <w:cantSplit/>
          <w:jc w:val="center"/>
        </w:trPr>
        <w:tc>
          <w:tcPr>
            <w:tcW w:w="5621" w:type="dxa"/>
            <w:gridSpan w:val="2"/>
            <w:tcBorders>
              <w:bottom w:val="single" w:sz="12" w:space="0" w:color="auto"/>
            </w:tcBorders>
          </w:tcPr>
          <w:p w:rsidR="00EB593F" w:rsidRPr="008642EF" w:rsidRDefault="0057439F" w:rsidP="00B7515B">
            <w:pPr>
              <w:spacing w:after="40" w:line="240" w:lineRule="auto"/>
              <w:rPr>
                <w:rFonts w:ascii="Verdana" w:hAnsi="Verdana"/>
                <w:b/>
                <w:bCs/>
                <w:sz w:val="19"/>
                <w:szCs w:val="19"/>
                <w:lang w:val="es-ES_tradnl"/>
              </w:rPr>
            </w:pPr>
            <w:r w:rsidRPr="008642EF">
              <w:rPr>
                <w:rFonts w:ascii="Verdana" w:hAnsi="Verdana"/>
                <w:b/>
                <w:bCs/>
                <w:sz w:val="19"/>
                <w:szCs w:val="19"/>
                <w:lang w:val="es-ES_tradnl"/>
              </w:rPr>
              <w:t>Montevideo, Uruguay, 19 - 21 de agosto de 2013</w:t>
            </w:r>
          </w:p>
        </w:tc>
        <w:tc>
          <w:tcPr>
            <w:tcW w:w="3622" w:type="dxa"/>
            <w:tcBorders>
              <w:bottom w:val="single" w:sz="12" w:space="0" w:color="auto"/>
            </w:tcBorders>
          </w:tcPr>
          <w:p w:rsidR="00EB593F" w:rsidRPr="008642EF" w:rsidRDefault="00EB593F" w:rsidP="00B7515B">
            <w:pPr>
              <w:pStyle w:val="CEONormal"/>
              <w:spacing w:before="0" w:after="0"/>
              <w:rPr>
                <w:rFonts w:ascii="Verdana" w:hAnsi="Verdana"/>
                <w:sz w:val="20"/>
                <w:szCs w:val="20"/>
                <w:lang w:val="es-ES_tradnl"/>
              </w:rPr>
            </w:pPr>
          </w:p>
        </w:tc>
      </w:tr>
      <w:tr w:rsidR="00EB593F" w:rsidRPr="00BB148D" w:rsidTr="00EB593F">
        <w:trPr>
          <w:cantSplit/>
          <w:jc w:val="center"/>
        </w:trPr>
        <w:tc>
          <w:tcPr>
            <w:tcW w:w="5621" w:type="dxa"/>
            <w:gridSpan w:val="2"/>
            <w:tcBorders>
              <w:top w:val="single" w:sz="12" w:space="0" w:color="auto"/>
            </w:tcBorders>
          </w:tcPr>
          <w:p w:rsidR="00EB593F" w:rsidRPr="008642EF" w:rsidRDefault="00EB593F" w:rsidP="007D794C">
            <w:pPr>
              <w:pStyle w:val="CEONormal"/>
              <w:spacing w:before="0" w:after="0"/>
              <w:rPr>
                <w:rFonts w:ascii="Verdana" w:hAnsi="Verdana"/>
                <w:sz w:val="20"/>
                <w:szCs w:val="20"/>
                <w:lang w:val="es-ES_tradnl"/>
              </w:rPr>
            </w:pPr>
          </w:p>
        </w:tc>
        <w:tc>
          <w:tcPr>
            <w:tcW w:w="3622" w:type="dxa"/>
            <w:tcBorders>
              <w:top w:val="single" w:sz="12" w:space="0" w:color="auto"/>
            </w:tcBorders>
          </w:tcPr>
          <w:p w:rsidR="00EB593F" w:rsidRPr="008642EF" w:rsidRDefault="00EB593F" w:rsidP="007D794C">
            <w:pPr>
              <w:pStyle w:val="CEONormal"/>
              <w:spacing w:before="0" w:after="0"/>
              <w:rPr>
                <w:rFonts w:ascii="Verdana" w:hAnsi="Verdana"/>
                <w:sz w:val="20"/>
                <w:szCs w:val="20"/>
                <w:lang w:val="es-ES_tradnl"/>
              </w:rPr>
            </w:pPr>
          </w:p>
        </w:tc>
      </w:tr>
      <w:tr w:rsidR="00EB593F" w:rsidRPr="008642EF" w:rsidTr="00EB593F">
        <w:trPr>
          <w:cantSplit/>
          <w:trHeight w:val="23"/>
          <w:jc w:val="center"/>
        </w:trPr>
        <w:tc>
          <w:tcPr>
            <w:tcW w:w="5621" w:type="dxa"/>
            <w:gridSpan w:val="2"/>
            <w:vMerge w:val="restart"/>
          </w:tcPr>
          <w:p w:rsidR="00EB593F" w:rsidRPr="008642EF" w:rsidRDefault="00EB593F" w:rsidP="00B7515B">
            <w:pPr>
              <w:spacing w:line="240" w:lineRule="auto"/>
              <w:rPr>
                <w:rFonts w:ascii="Verdana" w:hAnsi="Verdana"/>
                <w:sz w:val="19"/>
                <w:szCs w:val="19"/>
                <w:lang w:val="es-ES_tradnl"/>
              </w:rPr>
            </w:pPr>
          </w:p>
        </w:tc>
        <w:tc>
          <w:tcPr>
            <w:tcW w:w="3622" w:type="dxa"/>
          </w:tcPr>
          <w:p w:rsidR="00EB593F" w:rsidRPr="008642EF" w:rsidRDefault="00EB593F" w:rsidP="00B7515B">
            <w:pPr>
              <w:spacing w:after="0" w:line="240" w:lineRule="auto"/>
              <w:rPr>
                <w:rFonts w:ascii="Verdana" w:hAnsi="Verdana"/>
                <w:b/>
                <w:bCs/>
                <w:sz w:val="19"/>
                <w:szCs w:val="19"/>
                <w:lang w:val="es-ES_tradnl"/>
              </w:rPr>
            </w:pPr>
            <w:r w:rsidRPr="008642EF">
              <w:rPr>
                <w:rFonts w:ascii="Verdana" w:hAnsi="Verdana"/>
                <w:b/>
                <w:bCs/>
                <w:sz w:val="19"/>
                <w:szCs w:val="19"/>
                <w:lang w:val="es-ES_tradnl"/>
              </w:rPr>
              <w:t>Documento RPM-AMS13/3-S</w:t>
            </w:r>
          </w:p>
        </w:tc>
      </w:tr>
      <w:tr w:rsidR="00EB593F" w:rsidRPr="008642EF" w:rsidTr="00EB593F">
        <w:trPr>
          <w:cantSplit/>
          <w:trHeight w:val="23"/>
          <w:jc w:val="center"/>
        </w:trPr>
        <w:tc>
          <w:tcPr>
            <w:tcW w:w="5621" w:type="dxa"/>
            <w:gridSpan w:val="2"/>
            <w:vMerge/>
          </w:tcPr>
          <w:p w:rsidR="00EB593F" w:rsidRPr="008642EF" w:rsidRDefault="00EB593F" w:rsidP="00B7515B">
            <w:pPr>
              <w:tabs>
                <w:tab w:val="left" w:pos="851"/>
              </w:tabs>
              <w:spacing w:line="240" w:lineRule="auto"/>
              <w:rPr>
                <w:rFonts w:ascii="Verdana" w:hAnsi="Verdana"/>
                <w:b/>
                <w:sz w:val="19"/>
                <w:szCs w:val="19"/>
                <w:lang w:val="es-ES_tradnl"/>
              </w:rPr>
            </w:pPr>
          </w:p>
        </w:tc>
        <w:tc>
          <w:tcPr>
            <w:tcW w:w="3622" w:type="dxa"/>
          </w:tcPr>
          <w:p w:rsidR="00EB593F" w:rsidRPr="008642EF" w:rsidRDefault="0057439F" w:rsidP="00B7515B">
            <w:pPr>
              <w:spacing w:after="0" w:line="240" w:lineRule="auto"/>
              <w:rPr>
                <w:rFonts w:ascii="Verdana" w:hAnsi="Verdana"/>
                <w:b/>
                <w:bCs/>
                <w:sz w:val="19"/>
                <w:szCs w:val="19"/>
                <w:lang w:val="es-ES_tradnl"/>
              </w:rPr>
            </w:pPr>
            <w:r w:rsidRPr="008642EF">
              <w:rPr>
                <w:rFonts w:ascii="Verdana" w:hAnsi="Verdana"/>
                <w:b/>
                <w:bCs/>
                <w:sz w:val="19"/>
                <w:szCs w:val="19"/>
                <w:lang w:val="es-ES_tradnl"/>
              </w:rPr>
              <w:t>3 de junio de 2013</w:t>
            </w:r>
          </w:p>
        </w:tc>
      </w:tr>
      <w:tr w:rsidR="00EB593F" w:rsidRPr="008642EF" w:rsidTr="00EB593F">
        <w:trPr>
          <w:cantSplit/>
          <w:trHeight w:val="333"/>
          <w:jc w:val="center"/>
        </w:trPr>
        <w:tc>
          <w:tcPr>
            <w:tcW w:w="5621" w:type="dxa"/>
            <w:gridSpan w:val="2"/>
            <w:vMerge/>
          </w:tcPr>
          <w:p w:rsidR="00EB593F" w:rsidRPr="008642EF" w:rsidRDefault="00EB593F" w:rsidP="00B7515B">
            <w:pPr>
              <w:tabs>
                <w:tab w:val="left" w:pos="851"/>
              </w:tabs>
              <w:spacing w:line="240" w:lineRule="auto"/>
              <w:rPr>
                <w:rFonts w:ascii="Verdana" w:hAnsi="Verdana"/>
                <w:b/>
                <w:sz w:val="19"/>
                <w:szCs w:val="19"/>
                <w:lang w:val="es-ES_tradnl"/>
              </w:rPr>
            </w:pPr>
          </w:p>
        </w:tc>
        <w:tc>
          <w:tcPr>
            <w:tcW w:w="3622" w:type="dxa"/>
          </w:tcPr>
          <w:p w:rsidR="00EB593F" w:rsidRPr="008642EF" w:rsidRDefault="0057439F" w:rsidP="00B7515B">
            <w:pPr>
              <w:spacing w:before="120" w:after="120" w:line="240" w:lineRule="auto"/>
              <w:rPr>
                <w:rFonts w:ascii="Verdana" w:hAnsi="Verdana"/>
                <w:b/>
                <w:bCs/>
                <w:sz w:val="19"/>
                <w:szCs w:val="19"/>
                <w:lang w:val="es-ES_tradnl"/>
              </w:rPr>
            </w:pPr>
            <w:r w:rsidRPr="008642EF">
              <w:rPr>
                <w:rFonts w:ascii="Verdana" w:hAnsi="Verdana"/>
                <w:b/>
                <w:bCs/>
                <w:sz w:val="19"/>
                <w:szCs w:val="19"/>
                <w:lang w:val="es-ES_tradnl"/>
              </w:rPr>
              <w:t>Original: inglés</w:t>
            </w:r>
          </w:p>
        </w:tc>
      </w:tr>
      <w:tr w:rsidR="00EB593F" w:rsidRPr="008642EF" w:rsidTr="00EB593F">
        <w:trPr>
          <w:cantSplit/>
          <w:trHeight w:val="23"/>
          <w:jc w:val="center"/>
        </w:trPr>
        <w:tc>
          <w:tcPr>
            <w:tcW w:w="9243" w:type="dxa"/>
            <w:gridSpan w:val="3"/>
          </w:tcPr>
          <w:p w:rsidR="00EB593F" w:rsidRPr="008642EF" w:rsidRDefault="00EB593F" w:rsidP="00B7515B">
            <w:pPr>
              <w:tabs>
                <w:tab w:val="left" w:pos="1928"/>
              </w:tabs>
              <w:spacing w:before="120" w:after="120" w:line="240" w:lineRule="auto"/>
              <w:ind w:left="1928" w:hanging="1928"/>
              <w:rPr>
                <w:rFonts w:ascii="Verdana" w:hAnsi="Verdana"/>
                <w:sz w:val="19"/>
                <w:szCs w:val="19"/>
                <w:lang w:val="es-ES_tradnl"/>
              </w:rPr>
            </w:pPr>
          </w:p>
        </w:tc>
      </w:tr>
      <w:tr w:rsidR="00EB593F" w:rsidRPr="00BB148D" w:rsidTr="00EB593F">
        <w:trPr>
          <w:cantSplit/>
          <w:trHeight w:val="23"/>
          <w:jc w:val="center"/>
        </w:trPr>
        <w:tc>
          <w:tcPr>
            <w:tcW w:w="1748" w:type="dxa"/>
          </w:tcPr>
          <w:p w:rsidR="00EB593F" w:rsidRPr="008642EF" w:rsidRDefault="00EB593F" w:rsidP="00B7515B">
            <w:pPr>
              <w:spacing w:before="120" w:after="120" w:line="240" w:lineRule="auto"/>
              <w:rPr>
                <w:rFonts w:ascii="Verdana" w:hAnsi="Verdana"/>
                <w:b/>
                <w:bCs/>
                <w:sz w:val="19"/>
                <w:szCs w:val="19"/>
                <w:lang w:val="es-ES_tradnl"/>
              </w:rPr>
            </w:pPr>
            <w:r w:rsidRPr="008642EF">
              <w:rPr>
                <w:rFonts w:ascii="Verdana" w:hAnsi="Verdana"/>
                <w:b/>
                <w:bCs/>
                <w:sz w:val="19"/>
                <w:szCs w:val="19"/>
                <w:lang w:val="es-ES_tradnl"/>
              </w:rPr>
              <w:t>ORIGEN:</w:t>
            </w:r>
          </w:p>
        </w:tc>
        <w:tc>
          <w:tcPr>
            <w:tcW w:w="7495" w:type="dxa"/>
            <w:gridSpan w:val="2"/>
          </w:tcPr>
          <w:p w:rsidR="00EB593F" w:rsidRPr="007D794C" w:rsidRDefault="0057439F" w:rsidP="00B7515B">
            <w:pPr>
              <w:spacing w:before="120" w:after="120" w:line="240" w:lineRule="auto"/>
              <w:rPr>
                <w:rFonts w:ascii="Verdana" w:hAnsi="Verdana"/>
                <w:sz w:val="19"/>
                <w:szCs w:val="19"/>
                <w:lang w:val="es-ES_tradnl"/>
              </w:rPr>
            </w:pPr>
            <w:r w:rsidRPr="007D794C">
              <w:rPr>
                <w:rFonts w:ascii="Verdana" w:hAnsi="Verdana"/>
                <w:sz w:val="19"/>
                <w:szCs w:val="19"/>
                <w:lang w:val="es-ES_tradnl"/>
              </w:rPr>
              <w:t>Director, Oficina de Desarrollo de las Telecomunicaciones</w:t>
            </w:r>
          </w:p>
        </w:tc>
      </w:tr>
      <w:tr w:rsidR="00EB593F" w:rsidRPr="00BB148D" w:rsidTr="00EB593F">
        <w:trPr>
          <w:cantSplit/>
          <w:trHeight w:val="537"/>
          <w:jc w:val="center"/>
        </w:trPr>
        <w:tc>
          <w:tcPr>
            <w:tcW w:w="1748" w:type="dxa"/>
          </w:tcPr>
          <w:p w:rsidR="00EB593F" w:rsidRPr="008642EF" w:rsidRDefault="00EB593F" w:rsidP="00B7515B">
            <w:pPr>
              <w:spacing w:before="120" w:after="120" w:line="240" w:lineRule="auto"/>
              <w:rPr>
                <w:rFonts w:ascii="Verdana" w:hAnsi="Verdana"/>
                <w:b/>
                <w:bCs/>
                <w:sz w:val="19"/>
                <w:szCs w:val="19"/>
                <w:lang w:val="es-ES_tradnl"/>
              </w:rPr>
            </w:pPr>
            <w:r w:rsidRPr="008642EF">
              <w:rPr>
                <w:rFonts w:ascii="Verdana" w:hAnsi="Verdana"/>
                <w:b/>
                <w:bCs/>
                <w:sz w:val="19"/>
                <w:szCs w:val="19"/>
                <w:lang w:val="es-ES_tradnl"/>
              </w:rPr>
              <w:t>TITULO:</w:t>
            </w:r>
          </w:p>
        </w:tc>
        <w:tc>
          <w:tcPr>
            <w:tcW w:w="7495" w:type="dxa"/>
            <w:gridSpan w:val="2"/>
          </w:tcPr>
          <w:p w:rsidR="00EB593F" w:rsidRPr="007D794C" w:rsidRDefault="0057439F" w:rsidP="00B7515B">
            <w:pPr>
              <w:spacing w:before="120" w:after="120" w:line="240" w:lineRule="auto"/>
              <w:rPr>
                <w:rFonts w:ascii="Verdana" w:hAnsi="Verdana"/>
                <w:sz w:val="19"/>
                <w:szCs w:val="19"/>
                <w:lang w:val="es-ES_tradnl"/>
              </w:rPr>
            </w:pPr>
            <w:r w:rsidRPr="007D794C">
              <w:rPr>
                <w:rFonts w:ascii="Verdana" w:hAnsi="Verdana"/>
                <w:sz w:val="19"/>
                <w:szCs w:val="19"/>
                <w:lang w:val="es-ES_tradnl"/>
              </w:rPr>
              <w:t>Tendencias de las TIC en la Región de las Américas</w:t>
            </w:r>
          </w:p>
        </w:tc>
      </w:tr>
    </w:tbl>
    <w:p w:rsidR="00574CA7" w:rsidRPr="008642EF" w:rsidRDefault="00574CA7" w:rsidP="00B7515B">
      <w:pPr>
        <w:spacing w:line="240" w:lineRule="auto"/>
        <w:rPr>
          <w:lang w:val="es-ES_tradnl"/>
        </w:rPr>
      </w:pPr>
    </w:p>
    <w:p w:rsidR="00574CA7" w:rsidRPr="008642EF" w:rsidRDefault="00574CA7" w:rsidP="00B7515B">
      <w:pPr>
        <w:spacing w:line="240" w:lineRule="auto"/>
        <w:rPr>
          <w:lang w:val="es-ES_tradnl"/>
        </w:rPr>
      </w:pPr>
      <w:r w:rsidRPr="008642EF">
        <w:rPr>
          <w:lang w:val="es-ES_tradnl"/>
        </w:rPr>
        <w:br w:type="page"/>
      </w:r>
    </w:p>
    <w:sdt>
      <w:sdtPr>
        <w:rPr>
          <w:rFonts w:asciiTheme="minorHAnsi" w:eastAsiaTheme="minorEastAsia" w:hAnsiTheme="minorHAnsi" w:cstheme="minorBidi"/>
          <w:b w:val="0"/>
          <w:bCs w:val="0"/>
          <w:color w:val="auto"/>
          <w:sz w:val="22"/>
          <w:szCs w:val="22"/>
          <w:lang w:val="es-ES_tradnl" w:eastAsia="zh-CN"/>
        </w:rPr>
        <w:id w:val="1888597177"/>
        <w:docPartObj>
          <w:docPartGallery w:val="Table of Contents"/>
          <w:docPartUnique/>
        </w:docPartObj>
      </w:sdtPr>
      <w:sdtEndPr>
        <w:rPr>
          <w:noProof/>
        </w:rPr>
      </w:sdtEndPr>
      <w:sdtContent>
        <w:p w:rsidR="00B42A79" w:rsidRPr="008642EF" w:rsidRDefault="008B1922" w:rsidP="00B7515B">
          <w:pPr>
            <w:pStyle w:val="TOCHeading"/>
            <w:spacing w:line="240" w:lineRule="auto"/>
            <w:rPr>
              <w:lang w:val="es-ES_tradnl"/>
            </w:rPr>
          </w:pPr>
          <w:r w:rsidRPr="008642EF">
            <w:rPr>
              <w:lang w:val="es-ES_tradnl"/>
            </w:rPr>
            <w:t>Índice</w:t>
          </w:r>
        </w:p>
        <w:p w:rsidR="002D4848" w:rsidRDefault="00DD285D">
          <w:pPr>
            <w:pStyle w:val="TOC2"/>
            <w:tabs>
              <w:tab w:val="left" w:pos="660"/>
              <w:tab w:val="right" w:leader="dot" w:pos="9017"/>
            </w:tabs>
            <w:rPr>
              <w:noProof/>
            </w:rPr>
          </w:pPr>
          <w:r w:rsidRPr="008642EF">
            <w:rPr>
              <w:lang w:val="es-ES_tradnl"/>
            </w:rPr>
            <w:fldChar w:fldCharType="begin"/>
          </w:r>
          <w:r w:rsidR="00B42A79" w:rsidRPr="008642EF">
            <w:rPr>
              <w:lang w:val="es-ES_tradnl"/>
            </w:rPr>
            <w:instrText xml:space="preserve"> TOC \o "1-3" \h \z \u </w:instrText>
          </w:r>
          <w:r w:rsidRPr="008642EF">
            <w:rPr>
              <w:lang w:val="es-ES_tradnl"/>
            </w:rPr>
            <w:fldChar w:fldCharType="separate"/>
          </w:r>
          <w:hyperlink w:anchor="_Toc359935891" w:history="1">
            <w:r w:rsidR="002D4848" w:rsidRPr="00321B37">
              <w:rPr>
                <w:rStyle w:val="Hyperlink"/>
                <w:noProof/>
                <w:lang w:val="es-ES_tradnl"/>
              </w:rPr>
              <w:t>1.</w:t>
            </w:r>
            <w:r w:rsidR="002D4848">
              <w:rPr>
                <w:noProof/>
              </w:rPr>
              <w:tab/>
            </w:r>
            <w:r w:rsidR="002D4848" w:rsidRPr="00321B37">
              <w:rPr>
                <w:rStyle w:val="Hyperlink"/>
                <w:noProof/>
                <w:lang w:val="es-ES_tradnl"/>
              </w:rPr>
              <w:t>Panorámica general de los avances, las políticas y las tendencias de la reglamentación en materia de TIC a escala mundial</w:t>
            </w:r>
            <w:r w:rsidR="002D4848">
              <w:rPr>
                <w:noProof/>
                <w:webHidden/>
              </w:rPr>
              <w:tab/>
            </w:r>
            <w:r w:rsidR="002D4848">
              <w:rPr>
                <w:noProof/>
                <w:webHidden/>
              </w:rPr>
              <w:fldChar w:fldCharType="begin"/>
            </w:r>
            <w:r w:rsidR="002D4848">
              <w:rPr>
                <w:noProof/>
                <w:webHidden/>
              </w:rPr>
              <w:instrText xml:space="preserve"> PAGEREF _Toc359935891 \h </w:instrText>
            </w:r>
            <w:r w:rsidR="002D4848">
              <w:rPr>
                <w:noProof/>
                <w:webHidden/>
              </w:rPr>
            </w:r>
            <w:r w:rsidR="002D4848">
              <w:rPr>
                <w:noProof/>
                <w:webHidden/>
              </w:rPr>
              <w:fldChar w:fldCharType="separate"/>
            </w:r>
            <w:r w:rsidR="002D4848">
              <w:rPr>
                <w:noProof/>
                <w:webHidden/>
              </w:rPr>
              <w:t>3</w:t>
            </w:r>
            <w:r w:rsidR="002D4848">
              <w:rPr>
                <w:noProof/>
                <w:webHidden/>
              </w:rPr>
              <w:fldChar w:fldCharType="end"/>
            </w:r>
          </w:hyperlink>
        </w:p>
        <w:p w:rsidR="002D4848" w:rsidRDefault="00485725">
          <w:pPr>
            <w:pStyle w:val="TOC3"/>
            <w:rPr>
              <w:noProof/>
            </w:rPr>
          </w:pPr>
          <w:hyperlink w:anchor="_Toc359935892" w:history="1">
            <w:r w:rsidR="002D4848" w:rsidRPr="00321B37">
              <w:rPr>
                <w:rStyle w:val="Hyperlink"/>
                <w:noProof/>
                <w:lang w:val="es-ES_tradnl"/>
              </w:rPr>
              <w:t xml:space="preserve">1.1 </w:t>
            </w:r>
            <w:r w:rsidR="002D4848">
              <w:rPr>
                <w:noProof/>
              </w:rPr>
              <w:tab/>
            </w:r>
            <w:r w:rsidR="002D4848" w:rsidRPr="00321B37">
              <w:rPr>
                <w:rStyle w:val="Hyperlink"/>
                <w:noProof/>
                <w:lang w:val="es-ES_tradnl"/>
              </w:rPr>
              <w:t>Políticas y tendencias de la reglamentación en materia de TIC a escala mundial</w:t>
            </w:r>
            <w:r w:rsidR="002D4848">
              <w:rPr>
                <w:noProof/>
                <w:webHidden/>
              </w:rPr>
              <w:tab/>
            </w:r>
            <w:r w:rsidR="002D4848">
              <w:rPr>
                <w:noProof/>
                <w:webHidden/>
              </w:rPr>
              <w:fldChar w:fldCharType="begin"/>
            </w:r>
            <w:r w:rsidR="002D4848">
              <w:rPr>
                <w:noProof/>
                <w:webHidden/>
              </w:rPr>
              <w:instrText xml:space="preserve"> PAGEREF _Toc359935892 \h </w:instrText>
            </w:r>
            <w:r w:rsidR="002D4848">
              <w:rPr>
                <w:noProof/>
                <w:webHidden/>
              </w:rPr>
            </w:r>
            <w:r w:rsidR="002D4848">
              <w:rPr>
                <w:noProof/>
                <w:webHidden/>
              </w:rPr>
              <w:fldChar w:fldCharType="separate"/>
            </w:r>
            <w:r w:rsidR="002D4848">
              <w:rPr>
                <w:noProof/>
                <w:webHidden/>
              </w:rPr>
              <w:t>3</w:t>
            </w:r>
            <w:r w:rsidR="002D4848">
              <w:rPr>
                <w:noProof/>
                <w:webHidden/>
              </w:rPr>
              <w:fldChar w:fldCharType="end"/>
            </w:r>
          </w:hyperlink>
        </w:p>
        <w:p w:rsidR="002D4848" w:rsidRDefault="00485725">
          <w:pPr>
            <w:pStyle w:val="TOC3"/>
            <w:rPr>
              <w:noProof/>
            </w:rPr>
          </w:pPr>
          <w:hyperlink w:anchor="_Toc359935893" w:history="1">
            <w:r w:rsidR="002D4848" w:rsidRPr="00321B37">
              <w:rPr>
                <w:rStyle w:val="Hyperlink"/>
                <w:noProof/>
                <w:lang w:val="es-ES_tradnl"/>
              </w:rPr>
              <w:t>1.2</w:t>
            </w:r>
            <w:r w:rsidR="002D4848">
              <w:rPr>
                <w:noProof/>
              </w:rPr>
              <w:tab/>
            </w:r>
            <w:r w:rsidR="002D4848" w:rsidRPr="00321B37">
              <w:rPr>
                <w:rStyle w:val="Hyperlink"/>
                <w:noProof/>
                <w:lang w:val="es-ES_tradnl"/>
              </w:rPr>
              <w:t>Un vistazo a las tendencias normativas en las TIC en la Región de las Américas</w:t>
            </w:r>
            <w:r w:rsidR="002D4848">
              <w:rPr>
                <w:noProof/>
                <w:webHidden/>
              </w:rPr>
              <w:tab/>
            </w:r>
            <w:r w:rsidR="002D4848">
              <w:rPr>
                <w:noProof/>
                <w:webHidden/>
              </w:rPr>
              <w:fldChar w:fldCharType="begin"/>
            </w:r>
            <w:r w:rsidR="002D4848">
              <w:rPr>
                <w:noProof/>
                <w:webHidden/>
              </w:rPr>
              <w:instrText xml:space="preserve"> PAGEREF _Toc359935893 \h </w:instrText>
            </w:r>
            <w:r w:rsidR="002D4848">
              <w:rPr>
                <w:noProof/>
                <w:webHidden/>
              </w:rPr>
            </w:r>
            <w:r w:rsidR="002D4848">
              <w:rPr>
                <w:noProof/>
                <w:webHidden/>
              </w:rPr>
              <w:fldChar w:fldCharType="separate"/>
            </w:r>
            <w:r w:rsidR="002D4848">
              <w:rPr>
                <w:noProof/>
                <w:webHidden/>
              </w:rPr>
              <w:t>10</w:t>
            </w:r>
            <w:r w:rsidR="002D4848">
              <w:rPr>
                <w:noProof/>
                <w:webHidden/>
              </w:rPr>
              <w:fldChar w:fldCharType="end"/>
            </w:r>
          </w:hyperlink>
        </w:p>
        <w:p w:rsidR="002D4848" w:rsidRDefault="00485725">
          <w:pPr>
            <w:pStyle w:val="TOC2"/>
            <w:tabs>
              <w:tab w:val="left" w:pos="660"/>
              <w:tab w:val="right" w:leader="dot" w:pos="9017"/>
            </w:tabs>
            <w:rPr>
              <w:noProof/>
            </w:rPr>
          </w:pPr>
          <w:hyperlink w:anchor="_Toc359935894" w:history="1">
            <w:r w:rsidR="002D4848" w:rsidRPr="00321B37">
              <w:rPr>
                <w:rStyle w:val="Hyperlink"/>
                <w:noProof/>
                <w:lang w:val="es-ES_tradnl"/>
              </w:rPr>
              <w:t>2.</w:t>
            </w:r>
            <w:r w:rsidR="002D4848">
              <w:rPr>
                <w:noProof/>
              </w:rPr>
              <w:tab/>
            </w:r>
            <w:r w:rsidR="002D4848" w:rsidRPr="00321B37">
              <w:rPr>
                <w:rStyle w:val="Hyperlink"/>
                <w:noProof/>
                <w:lang w:val="es-ES_tradnl"/>
              </w:rPr>
              <w:t>Panorámica general de los avances en materia de TIC en la Región de las Américas</w:t>
            </w:r>
            <w:r w:rsidR="002D4848">
              <w:rPr>
                <w:noProof/>
                <w:webHidden/>
              </w:rPr>
              <w:tab/>
            </w:r>
            <w:r w:rsidR="002D4848">
              <w:rPr>
                <w:noProof/>
                <w:webHidden/>
              </w:rPr>
              <w:fldChar w:fldCharType="begin"/>
            </w:r>
            <w:r w:rsidR="002D4848">
              <w:rPr>
                <w:noProof/>
                <w:webHidden/>
              </w:rPr>
              <w:instrText xml:space="preserve"> PAGEREF _Toc359935894 \h </w:instrText>
            </w:r>
            <w:r w:rsidR="002D4848">
              <w:rPr>
                <w:noProof/>
                <w:webHidden/>
              </w:rPr>
            </w:r>
            <w:r w:rsidR="002D4848">
              <w:rPr>
                <w:noProof/>
                <w:webHidden/>
              </w:rPr>
              <w:fldChar w:fldCharType="separate"/>
            </w:r>
            <w:r w:rsidR="002D4848">
              <w:rPr>
                <w:noProof/>
                <w:webHidden/>
              </w:rPr>
              <w:t>16</w:t>
            </w:r>
            <w:r w:rsidR="002D4848">
              <w:rPr>
                <w:noProof/>
                <w:webHidden/>
              </w:rPr>
              <w:fldChar w:fldCharType="end"/>
            </w:r>
          </w:hyperlink>
        </w:p>
        <w:p w:rsidR="002D4848" w:rsidRDefault="00485725">
          <w:pPr>
            <w:pStyle w:val="TOC2"/>
            <w:tabs>
              <w:tab w:val="left" w:pos="660"/>
              <w:tab w:val="right" w:leader="dot" w:pos="9017"/>
            </w:tabs>
            <w:rPr>
              <w:noProof/>
            </w:rPr>
          </w:pPr>
          <w:hyperlink w:anchor="_Toc359935895" w:history="1">
            <w:r w:rsidR="002D4848" w:rsidRPr="00321B37">
              <w:rPr>
                <w:rStyle w:val="Hyperlink"/>
                <w:noProof/>
                <w:lang w:val="es-ES_tradnl"/>
              </w:rPr>
              <w:t>3.</w:t>
            </w:r>
            <w:r w:rsidR="002D4848">
              <w:rPr>
                <w:noProof/>
              </w:rPr>
              <w:tab/>
            </w:r>
            <w:r w:rsidR="002D4848" w:rsidRPr="00321B37">
              <w:rPr>
                <w:rStyle w:val="Hyperlink"/>
                <w:noProof/>
                <w:lang w:val="es-ES_tradnl"/>
              </w:rPr>
              <w:t>Índice de Desarrollo de las TIC (IDI) en la Región de las Américas</w:t>
            </w:r>
            <w:r w:rsidR="002D4848">
              <w:rPr>
                <w:noProof/>
                <w:webHidden/>
              </w:rPr>
              <w:tab/>
            </w:r>
            <w:r w:rsidR="002D4848">
              <w:rPr>
                <w:noProof/>
                <w:webHidden/>
              </w:rPr>
              <w:fldChar w:fldCharType="begin"/>
            </w:r>
            <w:r w:rsidR="002D4848">
              <w:rPr>
                <w:noProof/>
                <w:webHidden/>
              </w:rPr>
              <w:instrText xml:space="preserve"> PAGEREF _Toc359935895 \h </w:instrText>
            </w:r>
            <w:r w:rsidR="002D4848">
              <w:rPr>
                <w:noProof/>
                <w:webHidden/>
              </w:rPr>
            </w:r>
            <w:r w:rsidR="002D4848">
              <w:rPr>
                <w:noProof/>
                <w:webHidden/>
              </w:rPr>
              <w:fldChar w:fldCharType="separate"/>
            </w:r>
            <w:r w:rsidR="002D4848">
              <w:rPr>
                <w:noProof/>
                <w:webHidden/>
              </w:rPr>
              <w:t>31</w:t>
            </w:r>
            <w:r w:rsidR="002D4848">
              <w:rPr>
                <w:noProof/>
                <w:webHidden/>
              </w:rPr>
              <w:fldChar w:fldCharType="end"/>
            </w:r>
          </w:hyperlink>
        </w:p>
        <w:p w:rsidR="002D4848" w:rsidRDefault="00485725">
          <w:pPr>
            <w:pStyle w:val="TOC2"/>
            <w:tabs>
              <w:tab w:val="left" w:pos="660"/>
              <w:tab w:val="right" w:leader="dot" w:pos="9017"/>
            </w:tabs>
            <w:rPr>
              <w:noProof/>
            </w:rPr>
          </w:pPr>
          <w:hyperlink w:anchor="_Toc359935896" w:history="1">
            <w:r w:rsidR="002D4848" w:rsidRPr="00321B37">
              <w:rPr>
                <w:rStyle w:val="Hyperlink"/>
                <w:noProof/>
                <w:lang w:val="es-ES_tradnl"/>
              </w:rPr>
              <w:t>4.</w:t>
            </w:r>
            <w:r w:rsidR="002D4848">
              <w:rPr>
                <w:noProof/>
              </w:rPr>
              <w:tab/>
            </w:r>
            <w:r w:rsidR="002D4848" w:rsidRPr="00321B37">
              <w:rPr>
                <w:rStyle w:val="Hyperlink"/>
                <w:noProof/>
                <w:lang w:val="es-ES_tradnl"/>
              </w:rPr>
              <w:t>La cesta de precios de las TIC (IPB) en la Región de las Américas</w:t>
            </w:r>
            <w:r w:rsidR="002D4848">
              <w:rPr>
                <w:noProof/>
                <w:webHidden/>
              </w:rPr>
              <w:tab/>
            </w:r>
            <w:r w:rsidR="002D4848">
              <w:rPr>
                <w:noProof/>
                <w:webHidden/>
              </w:rPr>
              <w:fldChar w:fldCharType="begin"/>
            </w:r>
            <w:r w:rsidR="002D4848">
              <w:rPr>
                <w:noProof/>
                <w:webHidden/>
              </w:rPr>
              <w:instrText xml:space="preserve"> PAGEREF _Toc359935896 \h </w:instrText>
            </w:r>
            <w:r w:rsidR="002D4848">
              <w:rPr>
                <w:noProof/>
                <w:webHidden/>
              </w:rPr>
            </w:r>
            <w:r w:rsidR="002D4848">
              <w:rPr>
                <w:noProof/>
                <w:webHidden/>
              </w:rPr>
              <w:fldChar w:fldCharType="separate"/>
            </w:r>
            <w:r w:rsidR="002D4848">
              <w:rPr>
                <w:noProof/>
                <w:webHidden/>
              </w:rPr>
              <w:t>37</w:t>
            </w:r>
            <w:r w:rsidR="002D4848">
              <w:rPr>
                <w:noProof/>
                <w:webHidden/>
              </w:rPr>
              <w:fldChar w:fldCharType="end"/>
            </w:r>
          </w:hyperlink>
        </w:p>
        <w:p w:rsidR="002D4848" w:rsidRDefault="00485725">
          <w:pPr>
            <w:pStyle w:val="TOC2"/>
            <w:tabs>
              <w:tab w:val="left" w:pos="660"/>
              <w:tab w:val="right" w:leader="dot" w:pos="9017"/>
            </w:tabs>
            <w:rPr>
              <w:noProof/>
            </w:rPr>
          </w:pPr>
          <w:hyperlink w:anchor="_Toc359935897" w:history="1">
            <w:r w:rsidR="002D4848" w:rsidRPr="00321B37">
              <w:rPr>
                <w:rStyle w:val="Hyperlink"/>
                <w:noProof/>
                <w:lang w:val="es-ES_tradnl"/>
              </w:rPr>
              <w:t>5.</w:t>
            </w:r>
            <w:r w:rsidR="002D4848">
              <w:rPr>
                <w:noProof/>
              </w:rPr>
              <w:tab/>
            </w:r>
            <w:r w:rsidR="002D4848" w:rsidRPr="00321B37">
              <w:rPr>
                <w:rStyle w:val="Hyperlink"/>
                <w:noProof/>
                <w:lang w:val="es-ES_tradnl"/>
              </w:rPr>
              <w:t>Conclusiones</w:t>
            </w:r>
            <w:r w:rsidR="002D4848">
              <w:rPr>
                <w:noProof/>
                <w:webHidden/>
              </w:rPr>
              <w:tab/>
            </w:r>
            <w:r w:rsidR="002D4848">
              <w:rPr>
                <w:noProof/>
                <w:webHidden/>
              </w:rPr>
              <w:fldChar w:fldCharType="begin"/>
            </w:r>
            <w:r w:rsidR="002D4848">
              <w:rPr>
                <w:noProof/>
                <w:webHidden/>
              </w:rPr>
              <w:instrText xml:space="preserve"> PAGEREF _Toc359935897 \h </w:instrText>
            </w:r>
            <w:r w:rsidR="002D4848">
              <w:rPr>
                <w:noProof/>
                <w:webHidden/>
              </w:rPr>
            </w:r>
            <w:r w:rsidR="002D4848">
              <w:rPr>
                <w:noProof/>
                <w:webHidden/>
              </w:rPr>
              <w:fldChar w:fldCharType="separate"/>
            </w:r>
            <w:r w:rsidR="002D4848">
              <w:rPr>
                <w:noProof/>
                <w:webHidden/>
              </w:rPr>
              <w:t>46</w:t>
            </w:r>
            <w:r w:rsidR="002D4848">
              <w:rPr>
                <w:noProof/>
                <w:webHidden/>
              </w:rPr>
              <w:fldChar w:fldCharType="end"/>
            </w:r>
          </w:hyperlink>
        </w:p>
        <w:p w:rsidR="002D4848" w:rsidRDefault="00485725">
          <w:pPr>
            <w:pStyle w:val="TOC2"/>
            <w:tabs>
              <w:tab w:val="right" w:leader="dot" w:pos="9017"/>
            </w:tabs>
            <w:rPr>
              <w:noProof/>
            </w:rPr>
          </w:pPr>
          <w:hyperlink w:anchor="_Toc359935898" w:history="1">
            <w:r w:rsidR="002D4848" w:rsidRPr="00321B37">
              <w:rPr>
                <w:rStyle w:val="Hyperlink"/>
                <w:noProof/>
                <w:lang w:val="es-ES_tradnl"/>
              </w:rPr>
              <w:t>Referencias</w:t>
            </w:r>
            <w:r w:rsidR="002D4848">
              <w:rPr>
                <w:noProof/>
                <w:webHidden/>
              </w:rPr>
              <w:tab/>
            </w:r>
            <w:r w:rsidR="002D4848">
              <w:rPr>
                <w:noProof/>
                <w:webHidden/>
              </w:rPr>
              <w:fldChar w:fldCharType="begin"/>
            </w:r>
            <w:r w:rsidR="002D4848">
              <w:rPr>
                <w:noProof/>
                <w:webHidden/>
              </w:rPr>
              <w:instrText xml:space="preserve"> PAGEREF _Toc359935898 \h </w:instrText>
            </w:r>
            <w:r w:rsidR="002D4848">
              <w:rPr>
                <w:noProof/>
                <w:webHidden/>
              </w:rPr>
            </w:r>
            <w:r w:rsidR="002D4848">
              <w:rPr>
                <w:noProof/>
                <w:webHidden/>
              </w:rPr>
              <w:fldChar w:fldCharType="separate"/>
            </w:r>
            <w:r w:rsidR="002D4848">
              <w:rPr>
                <w:noProof/>
                <w:webHidden/>
              </w:rPr>
              <w:t>46</w:t>
            </w:r>
            <w:r w:rsidR="002D4848">
              <w:rPr>
                <w:noProof/>
                <w:webHidden/>
              </w:rPr>
              <w:fldChar w:fldCharType="end"/>
            </w:r>
          </w:hyperlink>
        </w:p>
        <w:p w:rsidR="00B42A79" w:rsidRPr="008642EF" w:rsidRDefault="00DD285D" w:rsidP="00B7515B">
          <w:pPr>
            <w:spacing w:line="240" w:lineRule="auto"/>
            <w:rPr>
              <w:lang w:val="es-ES_tradnl"/>
            </w:rPr>
          </w:pPr>
          <w:r w:rsidRPr="008642EF">
            <w:rPr>
              <w:b/>
              <w:bCs/>
              <w:noProof/>
              <w:lang w:val="es-ES_tradnl"/>
            </w:rPr>
            <w:fldChar w:fldCharType="end"/>
          </w:r>
        </w:p>
      </w:sdtContent>
    </w:sdt>
    <w:p w:rsidR="00B42A79" w:rsidRPr="008642EF" w:rsidRDefault="00B42A79" w:rsidP="00B7515B">
      <w:pPr>
        <w:spacing w:line="240" w:lineRule="auto"/>
        <w:jc w:val="both"/>
        <w:rPr>
          <w:sz w:val="18"/>
          <w:szCs w:val="18"/>
          <w:lang w:val="es-ES_tradnl"/>
        </w:rPr>
      </w:pPr>
    </w:p>
    <w:p w:rsidR="00093E87" w:rsidRPr="008642EF" w:rsidRDefault="00093E87" w:rsidP="00B7515B">
      <w:pPr>
        <w:spacing w:line="240" w:lineRule="auto"/>
        <w:jc w:val="both"/>
        <w:rPr>
          <w:rFonts w:asciiTheme="majorHAnsi" w:eastAsiaTheme="majorEastAsia" w:hAnsiTheme="majorHAnsi" w:cstheme="majorBidi"/>
          <w:b/>
          <w:bCs/>
          <w:color w:val="FF0000"/>
          <w:sz w:val="28"/>
          <w:szCs w:val="28"/>
          <w:lang w:val="es-ES_tradnl" w:eastAsia="en-US" w:bidi="en-US"/>
        </w:rPr>
      </w:pPr>
      <w:r w:rsidRPr="008642EF">
        <w:rPr>
          <w:sz w:val="18"/>
          <w:szCs w:val="18"/>
          <w:lang w:val="es-ES_tradnl"/>
        </w:rPr>
        <w:tab/>
      </w:r>
      <w:r w:rsidRPr="008642EF">
        <w:rPr>
          <w:color w:val="FF0000"/>
          <w:lang w:val="es-ES_tradnl"/>
        </w:rPr>
        <w:br w:type="page"/>
      </w:r>
    </w:p>
    <w:p w:rsidR="00093E87" w:rsidRPr="008642EF" w:rsidRDefault="008B1922" w:rsidP="00B7515B">
      <w:pPr>
        <w:pStyle w:val="Heading2"/>
        <w:numPr>
          <w:ilvl w:val="0"/>
          <w:numId w:val="3"/>
        </w:numPr>
        <w:spacing w:line="240" w:lineRule="auto"/>
        <w:jc w:val="both"/>
        <w:rPr>
          <w:lang w:val="es-ES_tradnl"/>
        </w:rPr>
      </w:pPr>
      <w:bookmarkStart w:id="3" w:name="_Toc359935891"/>
      <w:r w:rsidRPr="008642EF">
        <w:rPr>
          <w:lang w:val="es-ES_tradnl"/>
        </w:rPr>
        <w:lastRenderedPageBreak/>
        <w:t xml:space="preserve">Panorámica general de los avances, las políticas y las tendencias </w:t>
      </w:r>
      <w:r w:rsidR="00301C53" w:rsidRPr="008642EF">
        <w:rPr>
          <w:lang w:val="es-ES_tradnl"/>
        </w:rPr>
        <w:t xml:space="preserve">de la reglamentación en materia de </w:t>
      </w:r>
      <w:r w:rsidRPr="008642EF">
        <w:rPr>
          <w:lang w:val="es-ES_tradnl"/>
        </w:rPr>
        <w:t>TIC a escala mundial</w:t>
      </w:r>
      <w:bookmarkEnd w:id="0"/>
      <w:bookmarkEnd w:id="3"/>
    </w:p>
    <w:p w:rsidR="00093E87" w:rsidRPr="008642EF" w:rsidRDefault="007F6757" w:rsidP="003B484F">
      <w:pPr>
        <w:autoSpaceDE w:val="0"/>
        <w:autoSpaceDN w:val="0"/>
        <w:adjustRightInd w:val="0"/>
        <w:spacing w:before="120" w:after="0" w:line="240" w:lineRule="auto"/>
        <w:rPr>
          <w:rFonts w:eastAsia="MyriadPro-Light" w:cs="MyriadPro-Light"/>
          <w:lang w:val="es-ES_tradnl"/>
        </w:rPr>
      </w:pPr>
      <w:r w:rsidRPr="008642EF">
        <w:rPr>
          <w:rFonts w:eastAsia="MyriadPro-Light" w:cs="MyriadPro-Light"/>
          <w:lang w:val="es-ES_tradnl"/>
        </w:rPr>
        <w:t xml:space="preserve">Conforme </w:t>
      </w:r>
      <w:r w:rsidR="00604CEE" w:rsidRPr="008642EF">
        <w:rPr>
          <w:rFonts w:eastAsia="MyriadPro-Light" w:cs="MyriadPro-Light"/>
          <w:lang w:val="es-ES_tradnl"/>
        </w:rPr>
        <w:t xml:space="preserve">aumenta </w:t>
      </w:r>
      <w:r w:rsidR="001973F9" w:rsidRPr="008642EF">
        <w:rPr>
          <w:rFonts w:eastAsia="MyriadPro-Light" w:cs="MyriadPro-Light"/>
          <w:lang w:val="es-ES_tradnl"/>
        </w:rPr>
        <w:t xml:space="preserve">el número </w:t>
      </w:r>
      <w:r w:rsidR="00604CEE" w:rsidRPr="008642EF">
        <w:rPr>
          <w:rFonts w:eastAsia="MyriadPro-Light" w:cs="MyriadPro-Light"/>
          <w:lang w:val="es-ES_tradnl"/>
        </w:rPr>
        <w:t xml:space="preserve">de personas conectadas, </w:t>
      </w:r>
      <w:r w:rsidR="00827E9C" w:rsidRPr="008642EF">
        <w:rPr>
          <w:rFonts w:eastAsia="MyriadPro-Light" w:cs="MyriadPro-Light"/>
          <w:lang w:val="es-ES_tradnl"/>
        </w:rPr>
        <w:t>siguen creciendo las</w:t>
      </w:r>
      <w:r w:rsidR="001973F9" w:rsidRPr="008642EF">
        <w:rPr>
          <w:rFonts w:eastAsia="MyriadPro-Light" w:cs="MyriadPro-Light"/>
          <w:lang w:val="es-ES_tradnl"/>
        </w:rPr>
        <w:t xml:space="preserve"> </w:t>
      </w:r>
      <w:r w:rsidR="00604CEE" w:rsidRPr="008642EF">
        <w:rPr>
          <w:rFonts w:eastAsia="MyriadPro-Light" w:cs="MyriadPro-Light"/>
          <w:lang w:val="es-ES_tradnl"/>
        </w:rPr>
        <w:t>n</w:t>
      </w:r>
      <w:r w:rsidR="008349D8" w:rsidRPr="008642EF">
        <w:rPr>
          <w:rFonts w:eastAsia="MyriadPro-Light" w:cs="MyriadPro-Light"/>
          <w:lang w:val="es-ES_tradnl"/>
        </w:rPr>
        <w:t>uevas tec</w:t>
      </w:r>
      <w:r w:rsidR="00604CEE" w:rsidRPr="008642EF">
        <w:rPr>
          <w:rFonts w:eastAsia="MyriadPro-Light" w:cs="MyriadPro-Light"/>
          <w:lang w:val="es-ES_tradnl"/>
        </w:rPr>
        <w:t>n</w:t>
      </w:r>
      <w:r w:rsidR="008349D8" w:rsidRPr="008642EF">
        <w:rPr>
          <w:rFonts w:eastAsia="MyriadPro-Light" w:cs="MyriadPro-Light"/>
          <w:lang w:val="es-ES_tradnl"/>
        </w:rPr>
        <w:t xml:space="preserve">ologías de la información y de la comunicación (TIC) </w:t>
      </w:r>
      <w:r w:rsidR="00604CEE" w:rsidRPr="008642EF">
        <w:rPr>
          <w:rFonts w:eastAsia="MyriadPro-Light" w:cs="MyriadPro-Light"/>
          <w:lang w:val="es-ES_tradnl"/>
        </w:rPr>
        <w:t xml:space="preserve">que </w:t>
      </w:r>
      <w:r w:rsidR="00827E9C" w:rsidRPr="008642EF">
        <w:rPr>
          <w:rFonts w:eastAsia="MyriadPro-Light" w:cs="MyriadPro-Light"/>
          <w:lang w:val="es-ES_tradnl"/>
        </w:rPr>
        <w:t xml:space="preserve">penetran </w:t>
      </w:r>
      <w:r w:rsidR="008349D8" w:rsidRPr="008642EF">
        <w:rPr>
          <w:rFonts w:eastAsia="MyriadPro-Light" w:cs="MyriadPro-Light"/>
          <w:lang w:val="es-ES_tradnl"/>
        </w:rPr>
        <w:t>en países de todo el mundo</w:t>
      </w:r>
      <w:r w:rsidR="00827E9C" w:rsidRPr="008642EF">
        <w:rPr>
          <w:rFonts w:eastAsia="MyriadPro-Light" w:cs="MyriadPro-Light"/>
          <w:lang w:val="es-ES_tradnl"/>
        </w:rPr>
        <w:t xml:space="preserve">. También lo hace </w:t>
      </w:r>
      <w:r w:rsidRPr="008642EF">
        <w:rPr>
          <w:rFonts w:eastAsia="MyriadPro-Light" w:cs="MyriadPro-Light"/>
          <w:lang w:val="es-ES_tradnl"/>
        </w:rPr>
        <w:t xml:space="preserve">el número de países </w:t>
      </w:r>
      <w:r w:rsidR="00604CEE" w:rsidRPr="008642EF">
        <w:rPr>
          <w:rFonts w:eastAsia="MyriadPro-Light" w:cs="MyriadPro-Light"/>
          <w:lang w:val="es-ES_tradnl"/>
        </w:rPr>
        <w:t>que alcanza</w:t>
      </w:r>
      <w:r w:rsidR="00301C53" w:rsidRPr="008642EF">
        <w:rPr>
          <w:rFonts w:eastAsia="MyriadPro-Light" w:cs="MyriadPro-Light"/>
          <w:lang w:val="es-ES_tradnl"/>
        </w:rPr>
        <w:t>n</w:t>
      </w:r>
      <w:r w:rsidR="008349D8" w:rsidRPr="008642EF">
        <w:rPr>
          <w:rFonts w:eastAsia="MyriadPro-Light" w:cs="MyriadPro-Light"/>
          <w:lang w:val="es-ES_tradnl"/>
        </w:rPr>
        <w:t xml:space="preserve"> una masa crítica en términos de acceso y utilización de las TIC, </w:t>
      </w:r>
      <w:r w:rsidR="00827E9C" w:rsidRPr="008642EF">
        <w:rPr>
          <w:rFonts w:eastAsia="MyriadPro-Light" w:cs="MyriadPro-Light"/>
          <w:lang w:val="es-ES_tradnl"/>
        </w:rPr>
        <w:t xml:space="preserve">lo </w:t>
      </w:r>
      <w:r w:rsidR="008349D8" w:rsidRPr="008642EF">
        <w:rPr>
          <w:rFonts w:eastAsia="MyriadPro-Light" w:cs="MyriadPro-Light"/>
          <w:lang w:val="es-ES_tradnl"/>
        </w:rPr>
        <w:t>que acelera la difusión de estas tecnologías y contribuye a potenciar todavía más una demanda impulsada por la propagación del Internet móvil</w:t>
      </w:r>
      <w:r w:rsidR="008642EF">
        <w:rPr>
          <w:rFonts w:eastAsia="MyriadPro-Light" w:cs="MyriadPro-Light"/>
          <w:lang w:val="es-ES_tradnl"/>
        </w:rPr>
        <w:t>.</w:t>
      </w:r>
    </w:p>
    <w:p w:rsidR="00093E87" w:rsidRPr="008642EF" w:rsidRDefault="008349D8" w:rsidP="00007E5A">
      <w:pPr>
        <w:autoSpaceDE w:val="0"/>
        <w:autoSpaceDN w:val="0"/>
        <w:adjustRightInd w:val="0"/>
        <w:spacing w:before="120" w:after="0" w:line="240" w:lineRule="auto"/>
        <w:rPr>
          <w:rFonts w:eastAsia="MyriadPro-Light" w:cs="MyriadPro-Light"/>
          <w:lang w:val="es-ES_tradnl"/>
        </w:rPr>
      </w:pPr>
      <w:r w:rsidRPr="008642EF">
        <w:rPr>
          <w:lang w:val="es-ES_tradnl"/>
        </w:rPr>
        <w:t xml:space="preserve">La UIT estima que, en 2013, </w:t>
      </w:r>
      <w:r w:rsidR="007F6757" w:rsidRPr="008642EF">
        <w:rPr>
          <w:lang w:val="es-ES_tradnl"/>
        </w:rPr>
        <w:t xml:space="preserve">habrá </w:t>
      </w:r>
      <w:r w:rsidRPr="008642EF">
        <w:rPr>
          <w:lang w:val="es-ES_tradnl"/>
        </w:rPr>
        <w:t xml:space="preserve">prácticamente tantos </w:t>
      </w:r>
      <w:r w:rsidR="001973F9" w:rsidRPr="008642EF">
        <w:rPr>
          <w:lang w:val="es-ES_tradnl"/>
        </w:rPr>
        <w:t>abon</w:t>
      </w:r>
      <w:r w:rsidR="007F6757" w:rsidRPr="008642EF">
        <w:rPr>
          <w:lang w:val="es-ES_tradnl"/>
        </w:rPr>
        <w:t xml:space="preserve">os a </w:t>
      </w:r>
      <w:r w:rsidR="003B484F">
        <w:rPr>
          <w:lang w:val="es-ES_tradnl"/>
        </w:rPr>
        <w:t xml:space="preserve">la </w:t>
      </w:r>
      <w:r w:rsidR="007F6757" w:rsidRPr="008642EF">
        <w:rPr>
          <w:lang w:val="es-ES_tradnl"/>
        </w:rPr>
        <w:t>telefonía móvil celular</w:t>
      </w:r>
      <w:r w:rsidRPr="008642EF">
        <w:rPr>
          <w:lang w:val="es-ES_tradnl"/>
        </w:rPr>
        <w:t xml:space="preserve"> (6</w:t>
      </w:r>
      <w:r w:rsidR="00007E5A">
        <w:rPr>
          <w:lang w:val="es-ES_tradnl"/>
        </w:rPr>
        <w:t> </w:t>
      </w:r>
      <w:r w:rsidRPr="008642EF">
        <w:rPr>
          <w:lang w:val="es-ES_tradnl"/>
        </w:rPr>
        <w:t>800</w:t>
      </w:r>
      <w:r w:rsidR="003B484F">
        <w:rPr>
          <w:lang w:val="es-ES_tradnl"/>
        </w:rPr>
        <w:t> </w:t>
      </w:r>
      <w:r w:rsidRPr="008642EF">
        <w:rPr>
          <w:lang w:val="es-ES_tradnl"/>
        </w:rPr>
        <w:t xml:space="preserve">millones) como </w:t>
      </w:r>
      <w:r w:rsidR="007F6757" w:rsidRPr="008642EF">
        <w:rPr>
          <w:lang w:val="es-ES_tradnl"/>
        </w:rPr>
        <w:t xml:space="preserve">habitantes en el planeta </w:t>
      </w:r>
      <w:r w:rsidRPr="008642EF">
        <w:rPr>
          <w:lang w:val="es-ES_tradnl"/>
        </w:rPr>
        <w:t>(7</w:t>
      </w:r>
      <w:r w:rsidR="00007E5A">
        <w:rPr>
          <w:lang w:val="es-ES_tradnl"/>
        </w:rPr>
        <w:t> </w:t>
      </w:r>
      <w:r w:rsidRPr="008642EF">
        <w:rPr>
          <w:lang w:val="es-ES_tradnl"/>
        </w:rPr>
        <w:t xml:space="preserve">100 millones), y que la penetración de </w:t>
      </w:r>
      <w:r w:rsidR="007F6757" w:rsidRPr="008642EF">
        <w:rPr>
          <w:lang w:val="es-ES_tradnl"/>
        </w:rPr>
        <w:t xml:space="preserve">la telefonía móvil celular habrá </w:t>
      </w:r>
      <w:r w:rsidRPr="008642EF">
        <w:rPr>
          <w:lang w:val="es-ES_tradnl"/>
        </w:rPr>
        <w:t xml:space="preserve">alcanzado el 96% </w:t>
      </w:r>
      <w:r w:rsidR="00E23B76" w:rsidRPr="008642EF">
        <w:rPr>
          <w:lang w:val="es-ES_tradnl"/>
        </w:rPr>
        <w:t xml:space="preserve">en todo el mundo </w:t>
      </w:r>
      <w:r w:rsidRPr="008642EF">
        <w:rPr>
          <w:lang w:val="es-ES_tradnl"/>
        </w:rPr>
        <w:t xml:space="preserve">y el 89% en los países </w:t>
      </w:r>
      <w:r w:rsidR="008430C4" w:rsidRPr="008642EF">
        <w:rPr>
          <w:lang w:val="es-ES_tradnl"/>
        </w:rPr>
        <w:t>en desarrollo</w:t>
      </w:r>
      <w:r w:rsidR="00EF198D">
        <w:rPr>
          <w:lang w:val="es-ES_tradnl"/>
        </w:rPr>
        <w:t>.</w:t>
      </w:r>
    </w:p>
    <w:p w:rsidR="00093E87" w:rsidRPr="008642EF" w:rsidRDefault="001B05CE" w:rsidP="00007E5A">
      <w:pPr>
        <w:spacing w:before="120" w:after="0" w:line="240" w:lineRule="auto"/>
        <w:rPr>
          <w:color w:val="1F497D" w:themeColor="dark2"/>
          <w:lang w:val="es-ES_tradnl"/>
        </w:rPr>
      </w:pPr>
      <w:r w:rsidRPr="008642EF">
        <w:rPr>
          <w:rFonts w:eastAsia="MyriadPro-Light" w:cs="MyriadPro-Light"/>
          <w:lang w:val="es-ES_tradnl"/>
        </w:rPr>
        <w:t xml:space="preserve">La </w:t>
      </w:r>
      <w:r w:rsidR="00D02A5E" w:rsidRPr="008642EF">
        <w:rPr>
          <w:rFonts w:eastAsia="MyriadPro-Light" w:cs="MyriadPro-Light"/>
          <w:lang w:val="es-ES_tradnl"/>
        </w:rPr>
        <w:t>asimilación</w:t>
      </w:r>
      <w:r w:rsidRPr="008642EF">
        <w:rPr>
          <w:rFonts w:eastAsia="MyriadPro-Light" w:cs="MyriadPro-Light"/>
          <w:lang w:val="es-ES_tradnl"/>
        </w:rPr>
        <w:t xml:space="preserve"> de </w:t>
      </w:r>
      <w:r w:rsidR="00604CEE" w:rsidRPr="008642EF">
        <w:rPr>
          <w:rFonts w:eastAsia="MyriadPro-Light" w:cs="MyriadPro-Light"/>
          <w:lang w:val="es-ES_tradnl"/>
        </w:rPr>
        <w:t xml:space="preserve">servicios </w:t>
      </w:r>
      <w:r w:rsidR="00D02A5E" w:rsidRPr="008642EF">
        <w:rPr>
          <w:rFonts w:eastAsia="MyriadPro-Light" w:cs="MyriadPro-Light"/>
          <w:lang w:val="es-ES_tradnl"/>
        </w:rPr>
        <w:t>de banda ancha fija (alámbrica</w:t>
      </w:r>
      <w:r w:rsidR="00604CEE" w:rsidRPr="008642EF">
        <w:rPr>
          <w:rFonts w:eastAsia="MyriadPro-Light" w:cs="MyriadPro-Light"/>
          <w:lang w:val="es-ES_tradnl"/>
        </w:rPr>
        <w:t xml:space="preserve">) </w:t>
      </w:r>
      <w:r w:rsidR="00D02A5E" w:rsidRPr="008642EF">
        <w:rPr>
          <w:rFonts w:eastAsia="MyriadPro-Light" w:cs="MyriadPro-Light"/>
          <w:lang w:val="es-ES_tradnl"/>
        </w:rPr>
        <w:t xml:space="preserve">y de banda ancha móvil </w:t>
      </w:r>
      <w:r w:rsidRPr="008642EF">
        <w:rPr>
          <w:rFonts w:eastAsia="MyriadPro-Light" w:cs="MyriadPro-Light"/>
          <w:lang w:val="es-ES_tradnl"/>
        </w:rPr>
        <w:t>ha</w:t>
      </w:r>
      <w:r w:rsidR="00604CEE" w:rsidRPr="008642EF">
        <w:rPr>
          <w:rFonts w:eastAsia="MyriadPro-Light" w:cs="MyriadPro-Light"/>
          <w:lang w:val="es-ES_tradnl"/>
        </w:rPr>
        <w:t xml:space="preserve"> seguido creciendo </w:t>
      </w:r>
      <w:r w:rsidR="001973F9" w:rsidRPr="008642EF">
        <w:rPr>
          <w:rFonts w:eastAsia="MyriadPro-Light" w:cs="MyriadPro-Light"/>
          <w:lang w:val="es-ES_tradnl"/>
        </w:rPr>
        <w:t>en todo el mundo</w:t>
      </w:r>
      <w:r w:rsidR="00604CEE" w:rsidRPr="008642EF">
        <w:rPr>
          <w:rFonts w:eastAsia="MyriadPro-Light" w:cs="MyriadPro-Light"/>
          <w:lang w:val="es-ES_tradnl"/>
        </w:rPr>
        <w:t>. En</w:t>
      </w:r>
      <w:r w:rsidR="00093E87" w:rsidRPr="008642EF">
        <w:rPr>
          <w:rFonts w:eastAsia="MyriadPro-Light" w:cs="MyriadPro-Light"/>
          <w:lang w:val="es-ES_tradnl"/>
        </w:rPr>
        <w:t xml:space="preserve"> 2013, </w:t>
      </w:r>
      <w:r w:rsidR="00604CEE" w:rsidRPr="008642EF">
        <w:rPr>
          <w:rFonts w:eastAsia="MyriadPro-Light" w:cs="MyriadPro-Light"/>
          <w:lang w:val="es-ES_tradnl"/>
        </w:rPr>
        <w:t xml:space="preserve">el número de abonos a la banda ancha fija ha aumentado hasta </w:t>
      </w:r>
      <w:r w:rsidR="00E23B76" w:rsidRPr="008642EF">
        <w:rPr>
          <w:rFonts w:eastAsia="MyriadPro-Light" w:cs="MyriadPro-Light"/>
          <w:lang w:val="es-ES_tradnl"/>
        </w:rPr>
        <w:t xml:space="preserve">alcanzar prácticamente </w:t>
      </w:r>
      <w:r w:rsidR="00604CEE" w:rsidRPr="008642EF">
        <w:rPr>
          <w:rFonts w:eastAsia="MyriadPro-Light" w:cs="MyriadPro-Light"/>
          <w:lang w:val="es-ES_tradnl"/>
        </w:rPr>
        <w:t xml:space="preserve">los 700 millones, lo que equivale a una tasa de penetración mundial del 9,8%. Al mismo tiempo, </w:t>
      </w:r>
      <w:r w:rsidR="007F6757" w:rsidRPr="008642EF">
        <w:rPr>
          <w:rFonts w:eastAsia="MyriadPro-Light" w:cs="MyriadPro-Light"/>
          <w:lang w:val="es-ES_tradnl"/>
        </w:rPr>
        <w:t xml:space="preserve">en los últimos dos años </w:t>
      </w:r>
      <w:r w:rsidR="00604CEE" w:rsidRPr="008642EF">
        <w:rPr>
          <w:rFonts w:eastAsia="MyriadPro-Light" w:cs="MyriadPro-Light"/>
          <w:lang w:val="es-ES_tradnl"/>
        </w:rPr>
        <w:t xml:space="preserve">el número de abonos a la banda ancha móvil ha crecido en más de un 30%, y en 2013 </w:t>
      </w:r>
      <w:r w:rsidR="00C23C29" w:rsidRPr="008642EF">
        <w:rPr>
          <w:rFonts w:eastAsia="MyriadPro-Light" w:cs="MyriadPro-Light"/>
          <w:lang w:val="es-ES_tradnl"/>
        </w:rPr>
        <w:t xml:space="preserve">ha llegado a los </w:t>
      </w:r>
      <w:r w:rsidR="00604CEE" w:rsidRPr="008642EF">
        <w:rPr>
          <w:rFonts w:eastAsia="MyriadPro-Light" w:cs="MyriadPro-Light"/>
          <w:lang w:val="es-ES_tradnl"/>
        </w:rPr>
        <w:t>2</w:t>
      </w:r>
      <w:r w:rsidR="00007E5A">
        <w:rPr>
          <w:rFonts w:eastAsia="MyriadPro-Light" w:cs="MyriadPro-Light"/>
          <w:lang w:val="es-ES_tradnl"/>
        </w:rPr>
        <w:t> </w:t>
      </w:r>
      <w:r w:rsidR="00604CEE" w:rsidRPr="008642EF">
        <w:rPr>
          <w:rFonts w:eastAsia="MyriadPro-Light" w:cs="MyriadPro-Light"/>
          <w:lang w:val="es-ES_tradnl"/>
        </w:rPr>
        <w:t xml:space="preserve">100 millones. Esto significa que el número de abonos a la banda ancha móvil triplica el de abonos a la banda ancha fija. En efecto, la banda ancha móvil es el servicio de TIC </w:t>
      </w:r>
      <w:r w:rsidR="00E23B76" w:rsidRPr="008642EF">
        <w:rPr>
          <w:rFonts w:eastAsia="MyriadPro-Light" w:cs="MyriadPro-Light"/>
          <w:lang w:val="es-ES_tradnl"/>
        </w:rPr>
        <w:t>que más crece</w:t>
      </w:r>
      <w:r w:rsidR="00604CEE" w:rsidRPr="008642EF">
        <w:rPr>
          <w:rFonts w:eastAsia="MyriadPro-Light" w:cs="MyriadPro-Light"/>
          <w:lang w:val="es-ES_tradnl"/>
        </w:rPr>
        <w:t xml:space="preserve"> en todo el mundo, hecho que </w:t>
      </w:r>
      <w:r w:rsidR="00E23B76" w:rsidRPr="008642EF">
        <w:rPr>
          <w:rFonts w:eastAsia="MyriadPro-Light" w:cs="MyriadPro-Light"/>
          <w:lang w:val="es-ES_tradnl"/>
        </w:rPr>
        <w:t xml:space="preserve">contribuye a que se produzcan </w:t>
      </w:r>
      <w:r w:rsidR="00604CEE" w:rsidRPr="008642EF">
        <w:rPr>
          <w:rFonts w:eastAsia="MyriadPro-Light" w:cs="MyriadPro-Light"/>
          <w:lang w:val="es-ES_tradnl"/>
        </w:rPr>
        <w:t xml:space="preserve">cambios en el uso </w:t>
      </w:r>
      <w:r w:rsidRPr="008642EF">
        <w:rPr>
          <w:rFonts w:eastAsia="MyriadPro-Light" w:cs="MyriadPro-Light"/>
          <w:lang w:val="es-ES_tradnl"/>
        </w:rPr>
        <w:t xml:space="preserve">y la asimilación </w:t>
      </w:r>
      <w:r w:rsidR="00604CEE" w:rsidRPr="008642EF">
        <w:rPr>
          <w:rFonts w:eastAsia="MyriadPro-Light" w:cs="MyriadPro-Light"/>
          <w:lang w:val="es-ES_tradnl"/>
        </w:rPr>
        <w:t>de las TIC</w:t>
      </w:r>
      <w:r w:rsidRPr="008642EF">
        <w:rPr>
          <w:rFonts w:eastAsia="MyriadPro-Light" w:cs="MyriadPro-Light"/>
          <w:lang w:val="es-ES_tradnl"/>
        </w:rPr>
        <w:t>, así como en el tipo de servicios que presta el sector</w:t>
      </w:r>
      <w:r w:rsidR="00093E87" w:rsidRPr="008642EF">
        <w:rPr>
          <w:rFonts w:eastAsia="MyriadPro-Light" w:cs="MyriadPro-Light"/>
          <w:lang w:val="es-ES_tradnl"/>
        </w:rPr>
        <w:t>.</w:t>
      </w:r>
    </w:p>
    <w:p w:rsidR="00093E87" w:rsidRPr="008642EF" w:rsidRDefault="00093E87" w:rsidP="00B7515B">
      <w:pPr>
        <w:pStyle w:val="Heading3"/>
        <w:spacing w:line="240" w:lineRule="auto"/>
        <w:ind w:left="426" w:hanging="426"/>
        <w:rPr>
          <w:lang w:val="es-ES_tradnl"/>
        </w:rPr>
      </w:pPr>
      <w:bookmarkStart w:id="4" w:name="_Toc359935892"/>
      <w:r w:rsidRPr="008642EF">
        <w:rPr>
          <w:lang w:val="es-ES_tradnl"/>
        </w:rPr>
        <w:t>1.1</w:t>
      </w:r>
      <w:r w:rsidR="00B42A79" w:rsidRPr="008642EF">
        <w:rPr>
          <w:lang w:val="es-ES_tradnl"/>
        </w:rPr>
        <w:t xml:space="preserve"> </w:t>
      </w:r>
      <w:r w:rsidR="00E064C1" w:rsidRPr="008642EF">
        <w:rPr>
          <w:lang w:val="es-ES_tradnl"/>
        </w:rPr>
        <w:tab/>
      </w:r>
      <w:r w:rsidR="001B05CE" w:rsidRPr="008642EF">
        <w:rPr>
          <w:lang w:val="es-ES_tradnl"/>
        </w:rPr>
        <w:t xml:space="preserve">Políticas y tendencias </w:t>
      </w:r>
      <w:r w:rsidR="00392E68" w:rsidRPr="008642EF">
        <w:rPr>
          <w:lang w:val="es-ES_tradnl"/>
        </w:rPr>
        <w:t>de la reglamentación en materia de</w:t>
      </w:r>
      <w:r w:rsidR="001B05CE" w:rsidRPr="008642EF">
        <w:rPr>
          <w:lang w:val="es-ES_tradnl"/>
        </w:rPr>
        <w:t xml:space="preserve"> TIC a escala mundial</w:t>
      </w:r>
      <w:bookmarkEnd w:id="4"/>
    </w:p>
    <w:p w:rsidR="00093E87" w:rsidRPr="008642EF" w:rsidRDefault="001B05CE" w:rsidP="00B7515B">
      <w:pPr>
        <w:spacing w:before="120" w:after="0" w:line="240" w:lineRule="auto"/>
        <w:rPr>
          <w:lang w:val="es-ES_tradnl"/>
        </w:rPr>
      </w:pPr>
      <w:r w:rsidRPr="008642EF">
        <w:rPr>
          <w:lang w:val="es-ES_tradnl"/>
        </w:rPr>
        <w:t xml:space="preserve">Son muchos los cambios en el mundo digital actual a los que </w:t>
      </w:r>
      <w:r w:rsidR="00392E68" w:rsidRPr="008642EF">
        <w:rPr>
          <w:lang w:val="es-ES_tradnl"/>
        </w:rPr>
        <w:t xml:space="preserve">se enfrenta </w:t>
      </w:r>
      <w:r w:rsidRPr="008642EF">
        <w:rPr>
          <w:lang w:val="es-ES_tradnl"/>
        </w:rPr>
        <w:t xml:space="preserve">el sector de las TIC, desde la transición en las tecnologías hasta la aparición de nuevos </w:t>
      </w:r>
      <w:r w:rsidR="00392E68" w:rsidRPr="008642EF">
        <w:rPr>
          <w:lang w:val="es-ES_tradnl"/>
        </w:rPr>
        <w:t>agentes, el desplazamiento de lo</w:t>
      </w:r>
      <w:r w:rsidRPr="008642EF">
        <w:rPr>
          <w:lang w:val="es-ES_tradnl"/>
        </w:rPr>
        <w:t>s</w:t>
      </w:r>
      <w:r w:rsidR="00392E68" w:rsidRPr="008642EF">
        <w:rPr>
          <w:lang w:val="es-ES_tradnl"/>
        </w:rPr>
        <w:t xml:space="preserve"> </w:t>
      </w:r>
      <w:r w:rsidRPr="008642EF">
        <w:rPr>
          <w:lang w:val="es-ES_tradnl"/>
        </w:rPr>
        <w:t xml:space="preserve">ingresos y los cambios en los modelos de negocio. Los usuarios, particulares o empresas, tienen ante sí un abanico cada vez mayor de servicios y aplicaciones </w:t>
      </w:r>
      <w:r w:rsidR="007F6757" w:rsidRPr="008642EF">
        <w:rPr>
          <w:lang w:val="es-ES_tradnl"/>
        </w:rPr>
        <w:t xml:space="preserve">que dan respuesta </w:t>
      </w:r>
      <w:r w:rsidRPr="008642EF">
        <w:rPr>
          <w:lang w:val="es-ES_tradnl"/>
        </w:rPr>
        <w:t xml:space="preserve">a sus necesidades de información, comunicación y ocio. El fabuloso aumento previsto en términos de tráfico de datos, motivado </w:t>
      </w:r>
      <w:r w:rsidR="00392E68" w:rsidRPr="008642EF">
        <w:rPr>
          <w:lang w:val="es-ES_tradnl"/>
        </w:rPr>
        <w:t xml:space="preserve">por los cambios en la conducta </w:t>
      </w:r>
      <w:r w:rsidRPr="008642EF">
        <w:rPr>
          <w:lang w:val="es-ES_tradnl"/>
        </w:rPr>
        <w:t xml:space="preserve">de consumidores </w:t>
      </w:r>
      <w:r w:rsidR="00392E68" w:rsidRPr="008642EF">
        <w:rPr>
          <w:lang w:val="es-ES_tradnl"/>
        </w:rPr>
        <w:t xml:space="preserve">y </w:t>
      </w:r>
      <w:r w:rsidR="007F6757" w:rsidRPr="008642EF">
        <w:rPr>
          <w:lang w:val="es-ES_tradnl"/>
        </w:rPr>
        <w:t>empresas, sigue</w:t>
      </w:r>
      <w:r w:rsidRPr="008642EF">
        <w:rPr>
          <w:lang w:val="es-ES_tradnl"/>
        </w:rPr>
        <w:t xml:space="preserve"> obligando a los operadores tradicionales de telecomunicaciones a revisar, adaptar y diversificar sus prácticas de negocio</w:t>
      </w:r>
      <w:r w:rsidR="00B7515B" w:rsidRPr="008642EF">
        <w:rPr>
          <w:lang w:val="es-ES_tradnl"/>
        </w:rPr>
        <w:t>.</w:t>
      </w:r>
    </w:p>
    <w:p w:rsidR="00093E87" w:rsidRPr="008642EF" w:rsidRDefault="004A0019" w:rsidP="00EF198D">
      <w:pPr>
        <w:spacing w:before="120" w:after="0" w:line="240" w:lineRule="auto"/>
        <w:rPr>
          <w:lang w:val="es-ES_tradnl"/>
        </w:rPr>
      </w:pPr>
      <w:r w:rsidRPr="008642EF">
        <w:rPr>
          <w:lang w:val="es-ES_tradnl"/>
        </w:rPr>
        <w:t xml:space="preserve">La rápida asimilación de </w:t>
      </w:r>
      <w:r w:rsidR="00392E68" w:rsidRPr="008642EF">
        <w:rPr>
          <w:lang w:val="es-ES_tradnl"/>
        </w:rPr>
        <w:t xml:space="preserve">servicios </w:t>
      </w:r>
      <w:r w:rsidRPr="008642EF">
        <w:rPr>
          <w:lang w:val="es-ES_tradnl"/>
        </w:rPr>
        <w:t xml:space="preserve">de mensajería </w:t>
      </w:r>
      <w:r w:rsidR="00392E68" w:rsidRPr="008642EF">
        <w:rPr>
          <w:lang w:val="es-ES_tradnl"/>
        </w:rPr>
        <w:t xml:space="preserve">por </w:t>
      </w:r>
      <w:r w:rsidRPr="008642EF">
        <w:rPr>
          <w:lang w:val="es-ES_tradnl"/>
        </w:rPr>
        <w:t xml:space="preserve">IP (principalmente </w:t>
      </w:r>
      <w:r w:rsidR="00392E68" w:rsidRPr="008642EF">
        <w:rPr>
          <w:lang w:val="es-ES_tradnl"/>
        </w:rPr>
        <w:t xml:space="preserve">a través de </w:t>
      </w:r>
      <w:r w:rsidRPr="008642EF">
        <w:rPr>
          <w:lang w:val="es-ES_tradnl"/>
        </w:rPr>
        <w:t xml:space="preserve">teléfonos </w:t>
      </w:r>
      <w:r w:rsidR="007F6757" w:rsidRPr="008642EF">
        <w:rPr>
          <w:lang w:val="es-ES_tradnl"/>
        </w:rPr>
        <w:t xml:space="preserve">conectados a la </w:t>
      </w:r>
      <w:r w:rsidRPr="008642EF">
        <w:rPr>
          <w:lang w:val="es-ES_tradnl"/>
        </w:rPr>
        <w:t xml:space="preserve">banda ancha) </w:t>
      </w:r>
      <w:r w:rsidR="00392E68" w:rsidRPr="008642EF">
        <w:rPr>
          <w:lang w:val="es-ES_tradnl"/>
        </w:rPr>
        <w:t xml:space="preserve">como </w:t>
      </w:r>
      <w:proofErr w:type="spellStart"/>
      <w:r w:rsidRPr="008642EF">
        <w:rPr>
          <w:lang w:val="es-ES_tradnl"/>
        </w:rPr>
        <w:t>WhatsApp</w:t>
      </w:r>
      <w:proofErr w:type="spellEnd"/>
      <w:r w:rsidRPr="008642EF">
        <w:rPr>
          <w:lang w:val="es-ES_tradnl"/>
        </w:rPr>
        <w:t xml:space="preserve"> y </w:t>
      </w:r>
      <w:proofErr w:type="spellStart"/>
      <w:r w:rsidRPr="008642EF">
        <w:rPr>
          <w:lang w:val="es-ES_tradnl"/>
        </w:rPr>
        <w:t>Viber</w:t>
      </w:r>
      <w:proofErr w:type="spellEnd"/>
      <w:r w:rsidR="00392E68" w:rsidRPr="008642EF">
        <w:rPr>
          <w:lang w:val="es-ES_tradnl"/>
        </w:rPr>
        <w:t xml:space="preserve"> y </w:t>
      </w:r>
      <w:r w:rsidRPr="008642EF">
        <w:rPr>
          <w:lang w:val="es-ES_tradnl"/>
        </w:rPr>
        <w:t xml:space="preserve">de los proveedores de aplicaciones </w:t>
      </w:r>
      <w:r w:rsidR="00392E68" w:rsidRPr="008642EF">
        <w:rPr>
          <w:lang w:val="es-ES_tradnl"/>
        </w:rPr>
        <w:t xml:space="preserve">que permiten realizar </w:t>
      </w:r>
      <w:r w:rsidRPr="008642EF">
        <w:rPr>
          <w:lang w:val="es-ES_tradnl"/>
        </w:rPr>
        <w:t>llamada</w:t>
      </w:r>
      <w:r w:rsidR="00392E68" w:rsidRPr="008642EF">
        <w:rPr>
          <w:lang w:val="es-ES_tradnl"/>
        </w:rPr>
        <w:t>s</w:t>
      </w:r>
      <w:r w:rsidRPr="008642EF">
        <w:rPr>
          <w:lang w:val="es-ES_tradnl"/>
        </w:rPr>
        <w:t xml:space="preserve"> gratuita</w:t>
      </w:r>
      <w:r w:rsidR="00392E68" w:rsidRPr="008642EF">
        <w:rPr>
          <w:lang w:val="es-ES_tradnl"/>
        </w:rPr>
        <w:t>s</w:t>
      </w:r>
      <w:r w:rsidR="007F6757" w:rsidRPr="008642EF">
        <w:rPr>
          <w:lang w:val="es-ES_tradnl"/>
        </w:rPr>
        <w:t xml:space="preserve"> está</w:t>
      </w:r>
      <w:r w:rsidRPr="008642EF">
        <w:rPr>
          <w:lang w:val="es-ES_tradnl"/>
        </w:rPr>
        <w:t xml:space="preserve"> perturbando la actividad </w:t>
      </w:r>
      <w:r w:rsidR="00392E68" w:rsidRPr="008642EF">
        <w:rPr>
          <w:lang w:val="es-ES_tradnl"/>
        </w:rPr>
        <w:t xml:space="preserve">de </w:t>
      </w:r>
      <w:r w:rsidR="007F6757" w:rsidRPr="008642EF">
        <w:rPr>
          <w:lang w:val="es-ES_tradnl"/>
        </w:rPr>
        <w:t xml:space="preserve">los </w:t>
      </w:r>
      <w:r w:rsidRPr="008642EF">
        <w:rPr>
          <w:lang w:val="es-ES_tradnl"/>
        </w:rPr>
        <w:t>operadores de telecomunicaciones tradicionales</w:t>
      </w:r>
      <w:r w:rsidR="00093E87" w:rsidRPr="008642EF">
        <w:rPr>
          <w:lang w:val="es-ES_tradnl"/>
        </w:rPr>
        <w:t xml:space="preserve">. </w:t>
      </w:r>
      <w:r w:rsidRPr="008642EF">
        <w:rPr>
          <w:lang w:val="es-ES_tradnl"/>
        </w:rPr>
        <w:t xml:space="preserve">Los operadores de red también han de hacer frente a </w:t>
      </w:r>
      <w:r w:rsidR="007F6757" w:rsidRPr="008642EF">
        <w:rPr>
          <w:lang w:val="es-ES_tradnl"/>
        </w:rPr>
        <w:t xml:space="preserve">otra fuente de presión: la transmisión de </w:t>
      </w:r>
      <w:r w:rsidR="00392E68" w:rsidRPr="008642EF">
        <w:rPr>
          <w:lang w:val="es-ES_tradnl"/>
        </w:rPr>
        <w:t xml:space="preserve">flujo continuo </w:t>
      </w:r>
      <w:r w:rsidRPr="008642EF">
        <w:rPr>
          <w:lang w:val="es-ES_tradnl"/>
        </w:rPr>
        <w:t>de vídeo y las descargas</w:t>
      </w:r>
      <w:r w:rsidR="00093E87" w:rsidRPr="008642EF">
        <w:rPr>
          <w:lang w:val="es-ES_tradnl"/>
        </w:rPr>
        <w:t xml:space="preserve">. </w:t>
      </w:r>
    </w:p>
    <w:p w:rsidR="00093E87" w:rsidRPr="008642EF" w:rsidRDefault="00E15BDD" w:rsidP="00007E5A">
      <w:pPr>
        <w:spacing w:before="120" w:after="0" w:line="240" w:lineRule="auto"/>
        <w:rPr>
          <w:rFonts w:cstheme="minorHAnsi"/>
          <w:lang w:val="es-ES_tradnl"/>
        </w:rPr>
      </w:pPr>
      <w:r w:rsidRPr="008642EF">
        <w:rPr>
          <w:rFonts w:cstheme="minorHAnsi"/>
          <w:lang w:val="es-ES_tradnl"/>
        </w:rPr>
        <w:t xml:space="preserve">Las redes de banda ancha se </w:t>
      </w:r>
      <w:r w:rsidR="00825B78" w:rsidRPr="008642EF">
        <w:rPr>
          <w:rFonts w:cstheme="minorHAnsi"/>
          <w:lang w:val="es-ES_tradnl"/>
        </w:rPr>
        <w:t>emplean</w:t>
      </w:r>
      <w:r w:rsidRPr="008642EF">
        <w:rPr>
          <w:rFonts w:cstheme="minorHAnsi"/>
          <w:lang w:val="es-ES_tradnl"/>
        </w:rPr>
        <w:t xml:space="preserve"> cada vez más para </w:t>
      </w:r>
      <w:r w:rsidR="001973F9" w:rsidRPr="008642EF">
        <w:rPr>
          <w:rFonts w:cstheme="minorHAnsi"/>
          <w:lang w:val="es-ES_tradnl"/>
        </w:rPr>
        <w:t>distribuir</w:t>
      </w:r>
      <w:r w:rsidRPr="008642EF">
        <w:rPr>
          <w:rFonts w:cstheme="minorHAnsi"/>
          <w:lang w:val="es-ES_tradnl"/>
        </w:rPr>
        <w:t xml:space="preserve"> vídeos de larga duración a través de servicios superpuestos como </w:t>
      </w:r>
      <w:r w:rsidR="00093E87" w:rsidRPr="008642EF">
        <w:rPr>
          <w:rFonts w:cstheme="minorHAnsi"/>
          <w:lang w:val="es-ES_tradnl"/>
        </w:rPr>
        <w:t>‘</w:t>
      </w:r>
      <w:proofErr w:type="spellStart"/>
      <w:r w:rsidR="00093E87" w:rsidRPr="008642EF">
        <w:rPr>
          <w:rFonts w:cstheme="minorHAnsi"/>
          <w:lang w:val="es-ES_tradnl"/>
        </w:rPr>
        <w:t>LOVEFiLM</w:t>
      </w:r>
      <w:proofErr w:type="spellEnd"/>
      <w:r w:rsidR="00093E87" w:rsidRPr="008642EF">
        <w:rPr>
          <w:rFonts w:cstheme="minorHAnsi"/>
          <w:lang w:val="es-ES_tradnl"/>
        </w:rPr>
        <w:t xml:space="preserve"> </w:t>
      </w:r>
      <w:proofErr w:type="spellStart"/>
      <w:r w:rsidR="00093E87" w:rsidRPr="008642EF">
        <w:rPr>
          <w:rFonts w:cstheme="minorHAnsi"/>
          <w:lang w:val="es-ES_tradnl"/>
        </w:rPr>
        <w:t>Instant</w:t>
      </w:r>
      <w:proofErr w:type="spellEnd"/>
      <w:r w:rsidR="00093E87" w:rsidRPr="008642EF">
        <w:rPr>
          <w:rFonts w:cstheme="minorHAnsi"/>
          <w:lang w:val="es-ES_tradnl"/>
        </w:rPr>
        <w:t xml:space="preserve">’ </w:t>
      </w:r>
      <w:r w:rsidR="00825B78" w:rsidRPr="008642EF">
        <w:rPr>
          <w:rFonts w:cstheme="minorHAnsi"/>
          <w:lang w:val="es-ES_tradnl"/>
        </w:rPr>
        <w:t>o</w:t>
      </w:r>
      <w:r w:rsidRPr="008642EF">
        <w:rPr>
          <w:rFonts w:cstheme="minorHAnsi"/>
          <w:lang w:val="es-ES_tradnl"/>
        </w:rPr>
        <w:t xml:space="preserve"> </w:t>
      </w:r>
      <w:r w:rsidR="00093E87" w:rsidRPr="008642EF">
        <w:rPr>
          <w:rFonts w:cstheme="minorHAnsi"/>
          <w:lang w:val="es-ES_tradnl"/>
        </w:rPr>
        <w:t>‘</w:t>
      </w:r>
      <w:proofErr w:type="spellStart"/>
      <w:r w:rsidR="00093E87" w:rsidRPr="008642EF">
        <w:rPr>
          <w:rFonts w:cstheme="minorHAnsi"/>
          <w:lang w:val="es-ES_tradnl"/>
        </w:rPr>
        <w:t>NetFlix</w:t>
      </w:r>
      <w:proofErr w:type="spellEnd"/>
      <w:r w:rsidR="00093E87" w:rsidRPr="008642EF">
        <w:rPr>
          <w:rFonts w:cstheme="minorHAnsi"/>
          <w:lang w:val="es-ES_tradnl"/>
        </w:rPr>
        <w:t>’</w:t>
      </w:r>
      <w:r w:rsidR="00093E87" w:rsidRPr="008642EF">
        <w:rPr>
          <w:rStyle w:val="FootnoteReference"/>
          <w:rFonts w:cstheme="minorHAnsi"/>
          <w:lang w:val="es-ES_tradnl"/>
        </w:rPr>
        <w:footnoteReference w:id="1"/>
      </w:r>
      <w:r w:rsidR="00093E87" w:rsidRPr="008642EF">
        <w:rPr>
          <w:rFonts w:cstheme="minorHAnsi"/>
          <w:lang w:val="es-ES_tradnl"/>
        </w:rPr>
        <w:t xml:space="preserve">, </w:t>
      </w:r>
      <w:r w:rsidRPr="008642EF">
        <w:rPr>
          <w:rFonts w:cstheme="minorHAnsi"/>
          <w:lang w:val="es-ES_tradnl"/>
        </w:rPr>
        <w:t xml:space="preserve">en lugar de </w:t>
      </w:r>
      <w:r w:rsidR="00825B78" w:rsidRPr="008642EF">
        <w:rPr>
          <w:rFonts w:cstheme="minorHAnsi"/>
          <w:lang w:val="es-ES_tradnl"/>
        </w:rPr>
        <w:t xml:space="preserve">para la distribución de </w:t>
      </w:r>
      <w:r w:rsidRPr="008642EF">
        <w:rPr>
          <w:rFonts w:cstheme="minorHAnsi"/>
          <w:lang w:val="es-ES_tradnl"/>
        </w:rPr>
        <w:t xml:space="preserve">vídeos de corta duración concebidos para Internet, como los que se pueden encontrar en </w:t>
      </w:r>
      <w:r w:rsidR="00093E87" w:rsidRPr="008642EF">
        <w:rPr>
          <w:rFonts w:cstheme="minorHAnsi"/>
          <w:lang w:val="es-ES_tradnl"/>
        </w:rPr>
        <w:t>YouTube</w:t>
      </w:r>
      <w:r w:rsidR="00007E5A" w:rsidRPr="008642EF">
        <w:rPr>
          <w:rStyle w:val="FootnoteReference"/>
          <w:rFonts w:cstheme="minorHAnsi"/>
          <w:lang w:val="es-ES_tradnl"/>
        </w:rPr>
        <w:footnoteReference w:id="2"/>
      </w:r>
      <w:r w:rsidR="00093E87" w:rsidRPr="008642EF">
        <w:rPr>
          <w:rFonts w:cstheme="minorHAnsi"/>
          <w:lang w:val="es-ES_tradnl"/>
        </w:rPr>
        <w:t>.</w:t>
      </w:r>
      <w:r w:rsidR="008642EF" w:rsidRPr="008642EF">
        <w:rPr>
          <w:rFonts w:cstheme="minorHAnsi"/>
          <w:lang w:val="es-ES_tradnl"/>
        </w:rPr>
        <w:t xml:space="preserve"> </w:t>
      </w:r>
      <w:r w:rsidR="001973F9" w:rsidRPr="008642EF">
        <w:rPr>
          <w:rFonts w:cstheme="minorHAnsi"/>
          <w:lang w:val="es-ES_tradnl"/>
        </w:rPr>
        <w:t>E</w:t>
      </w:r>
      <w:r w:rsidRPr="008642EF">
        <w:rPr>
          <w:rFonts w:cstheme="minorHAnsi"/>
          <w:lang w:val="es-ES_tradnl"/>
        </w:rPr>
        <w:t xml:space="preserve">ste aumento en el tráfico IP de los consumidores </w:t>
      </w:r>
      <w:r w:rsidR="00C23C29" w:rsidRPr="008642EF">
        <w:rPr>
          <w:rFonts w:cstheme="minorHAnsi"/>
          <w:lang w:val="es-ES_tradnl"/>
        </w:rPr>
        <w:t>de</w:t>
      </w:r>
      <w:r w:rsidRPr="008642EF">
        <w:rPr>
          <w:rFonts w:cstheme="minorHAnsi"/>
          <w:lang w:val="es-ES_tradnl"/>
        </w:rPr>
        <w:t xml:space="preserve"> todo el mundo</w:t>
      </w:r>
      <w:r w:rsidR="007F6757" w:rsidRPr="008642EF">
        <w:rPr>
          <w:rFonts w:cstheme="minorHAnsi"/>
          <w:lang w:val="es-ES_tradnl"/>
        </w:rPr>
        <w:t xml:space="preserve">, que supera </w:t>
      </w:r>
      <w:r w:rsidR="00C23C29" w:rsidRPr="008642EF">
        <w:rPr>
          <w:rFonts w:cstheme="minorHAnsi"/>
          <w:lang w:val="es-ES_tradnl"/>
        </w:rPr>
        <w:t>las dos cifras</w:t>
      </w:r>
      <w:r w:rsidR="007F6757" w:rsidRPr="008642EF">
        <w:rPr>
          <w:rFonts w:cstheme="minorHAnsi"/>
          <w:lang w:val="es-ES_tradnl"/>
        </w:rPr>
        <w:t>,</w:t>
      </w:r>
      <w:r w:rsidRPr="008642EF">
        <w:rPr>
          <w:rFonts w:cstheme="minorHAnsi"/>
          <w:lang w:val="es-ES_tradnl"/>
        </w:rPr>
        <w:t xml:space="preserve"> </w:t>
      </w:r>
      <w:r w:rsidR="001973F9" w:rsidRPr="008642EF">
        <w:rPr>
          <w:rFonts w:cstheme="minorHAnsi"/>
          <w:lang w:val="es-ES_tradnl"/>
        </w:rPr>
        <w:t xml:space="preserve">debería mantenerse </w:t>
      </w:r>
      <w:r w:rsidRPr="008642EF">
        <w:rPr>
          <w:rFonts w:cstheme="minorHAnsi"/>
          <w:lang w:val="es-ES_tradnl"/>
        </w:rPr>
        <w:t xml:space="preserve">durante los próximos años </w:t>
      </w:r>
      <w:r w:rsidR="00825B78" w:rsidRPr="008642EF">
        <w:rPr>
          <w:rFonts w:cstheme="minorHAnsi"/>
          <w:lang w:val="es-ES_tradnl"/>
        </w:rPr>
        <w:t xml:space="preserve">gracias a </w:t>
      </w:r>
      <w:r w:rsidRPr="008642EF">
        <w:rPr>
          <w:rFonts w:cstheme="minorHAnsi"/>
          <w:lang w:val="es-ES_tradnl"/>
        </w:rPr>
        <w:t xml:space="preserve">la diversificación de los servicios de flujo continuo de vídeo y de televisión de pago, así como </w:t>
      </w:r>
      <w:r w:rsidR="007F6757" w:rsidRPr="008642EF">
        <w:rPr>
          <w:rFonts w:cstheme="minorHAnsi"/>
          <w:lang w:val="es-ES_tradnl"/>
        </w:rPr>
        <w:t xml:space="preserve">a </w:t>
      </w:r>
      <w:r w:rsidRPr="008642EF">
        <w:rPr>
          <w:rFonts w:cstheme="minorHAnsi"/>
          <w:lang w:val="es-ES_tradnl"/>
        </w:rPr>
        <w:t xml:space="preserve">otros contenidos </w:t>
      </w:r>
      <w:r w:rsidR="001973F9" w:rsidRPr="008642EF">
        <w:rPr>
          <w:rFonts w:cstheme="minorHAnsi"/>
          <w:lang w:val="es-ES_tradnl"/>
        </w:rPr>
        <w:t>multimedios</w:t>
      </w:r>
      <w:r w:rsidR="003B484F">
        <w:rPr>
          <w:rFonts w:cstheme="minorHAnsi"/>
          <w:lang w:val="es-ES_tradnl"/>
        </w:rPr>
        <w:t>.</w:t>
      </w:r>
    </w:p>
    <w:p w:rsidR="00093E87" w:rsidRPr="008642EF" w:rsidRDefault="001973F9" w:rsidP="00007E5A">
      <w:pPr>
        <w:spacing w:before="120" w:after="0" w:line="240" w:lineRule="auto"/>
        <w:rPr>
          <w:rFonts w:cstheme="minorHAnsi"/>
          <w:lang w:val="es-ES_tradnl"/>
        </w:rPr>
      </w:pPr>
      <w:r w:rsidRPr="008642EF">
        <w:rPr>
          <w:lang w:val="es-ES_tradnl"/>
        </w:rPr>
        <w:lastRenderedPageBreak/>
        <w:t>L</w:t>
      </w:r>
      <w:r w:rsidR="00E15BDD" w:rsidRPr="008642EF">
        <w:rPr>
          <w:lang w:val="es-ES_tradnl"/>
        </w:rPr>
        <w:t>as comunicaciones</w:t>
      </w:r>
      <w:r w:rsidRPr="008642EF">
        <w:rPr>
          <w:lang w:val="es-ES_tradnl"/>
        </w:rPr>
        <w:t>, además,</w:t>
      </w:r>
      <w:r w:rsidR="00E15BDD" w:rsidRPr="008642EF">
        <w:rPr>
          <w:lang w:val="es-ES_tradnl"/>
        </w:rPr>
        <w:t xml:space="preserve"> ya no son </w:t>
      </w:r>
      <w:r w:rsidR="00C23C29" w:rsidRPr="008642EF">
        <w:rPr>
          <w:lang w:val="es-ES_tradnl"/>
        </w:rPr>
        <w:t xml:space="preserve">terreno exclusivo </w:t>
      </w:r>
      <w:r w:rsidR="00E15BDD" w:rsidRPr="008642EF">
        <w:rPr>
          <w:lang w:val="es-ES_tradnl"/>
        </w:rPr>
        <w:t xml:space="preserve">de los seres humanos; de hecho, Internet de las Cosas se está </w:t>
      </w:r>
      <w:r w:rsidR="007F6757" w:rsidRPr="008642EF">
        <w:rPr>
          <w:lang w:val="es-ES_tradnl"/>
        </w:rPr>
        <w:t xml:space="preserve">haciendo </w:t>
      </w:r>
      <w:r w:rsidR="00E15BDD" w:rsidRPr="008642EF">
        <w:rPr>
          <w:lang w:val="es-ES_tradnl"/>
        </w:rPr>
        <w:t>rea</w:t>
      </w:r>
      <w:r w:rsidR="00C23C29" w:rsidRPr="008642EF">
        <w:rPr>
          <w:lang w:val="es-ES_tradnl"/>
        </w:rPr>
        <w:t xml:space="preserve">lidad rápidamente y, </w:t>
      </w:r>
      <w:r w:rsidR="007F6757" w:rsidRPr="008642EF">
        <w:rPr>
          <w:lang w:val="es-ES_tradnl"/>
        </w:rPr>
        <w:t>en un futuro próximo</w:t>
      </w:r>
      <w:r w:rsidR="00C23C29" w:rsidRPr="008642EF">
        <w:rPr>
          <w:lang w:val="es-ES_tradnl"/>
        </w:rPr>
        <w:t xml:space="preserve">, </w:t>
      </w:r>
      <w:r w:rsidR="00E15BDD" w:rsidRPr="008642EF">
        <w:rPr>
          <w:lang w:val="es-ES_tradnl"/>
        </w:rPr>
        <w:t>las comunicaciones de máquina a máquina (M2M)</w:t>
      </w:r>
      <w:r w:rsidR="00C23C29" w:rsidRPr="008642EF">
        <w:rPr>
          <w:lang w:val="es-ES_tradnl"/>
        </w:rPr>
        <w:t xml:space="preserve"> deberían progresar de manera ostensible</w:t>
      </w:r>
      <w:r w:rsidR="00E15BDD" w:rsidRPr="008642EF">
        <w:rPr>
          <w:lang w:val="es-ES_tradnl"/>
        </w:rPr>
        <w:t xml:space="preserve">, </w:t>
      </w:r>
      <w:r w:rsidR="007F6757" w:rsidRPr="008642EF">
        <w:rPr>
          <w:lang w:val="es-ES_tradnl"/>
        </w:rPr>
        <w:t xml:space="preserve">lo que </w:t>
      </w:r>
      <w:r w:rsidR="00C23C29" w:rsidRPr="008642EF">
        <w:rPr>
          <w:lang w:val="es-ES_tradnl"/>
        </w:rPr>
        <w:t xml:space="preserve">añadirá más presión </w:t>
      </w:r>
      <w:r w:rsidRPr="008642EF">
        <w:rPr>
          <w:lang w:val="es-ES_tradnl"/>
        </w:rPr>
        <w:t>a las redes</w:t>
      </w:r>
      <w:r w:rsidR="00093E87" w:rsidRPr="008642EF">
        <w:rPr>
          <w:lang w:val="es-ES_tradnl"/>
        </w:rPr>
        <w:t xml:space="preserve">. </w:t>
      </w:r>
      <w:r w:rsidR="00093E87" w:rsidRPr="008642EF">
        <w:rPr>
          <w:rFonts w:eastAsia="Times New Roman" w:cstheme="majorBidi"/>
          <w:lang w:val="es-ES_tradnl"/>
        </w:rPr>
        <w:t xml:space="preserve">Cisco </w:t>
      </w:r>
      <w:r w:rsidR="00E15BDD" w:rsidRPr="008642EF">
        <w:rPr>
          <w:rFonts w:eastAsia="Times New Roman" w:cstheme="majorBidi"/>
          <w:lang w:val="es-ES_tradnl"/>
        </w:rPr>
        <w:t xml:space="preserve">prevé que, en </w:t>
      </w:r>
      <w:r w:rsidR="00093E87" w:rsidRPr="008642EF">
        <w:rPr>
          <w:rFonts w:eastAsia="Times New Roman" w:cstheme="majorBidi"/>
          <w:lang w:val="es-ES_tradnl"/>
        </w:rPr>
        <w:t>2016</w:t>
      </w:r>
      <w:r w:rsidR="00E15BDD" w:rsidRPr="008642EF">
        <w:rPr>
          <w:rFonts w:eastAsia="Times New Roman" w:cstheme="majorBidi"/>
          <w:lang w:val="es-ES_tradnl"/>
        </w:rPr>
        <w:t xml:space="preserve">, la tasa de crecimiento de televisores, tabletas, teléfonos inteligentes y </w:t>
      </w:r>
      <w:r w:rsidR="00453F3D" w:rsidRPr="008642EF">
        <w:rPr>
          <w:rFonts w:eastAsia="Times New Roman" w:cstheme="majorBidi"/>
          <w:lang w:val="es-ES_tradnl"/>
        </w:rPr>
        <w:t xml:space="preserve">de los </w:t>
      </w:r>
      <w:r w:rsidR="00E15BDD" w:rsidRPr="008642EF">
        <w:rPr>
          <w:rFonts w:eastAsia="Times New Roman" w:cstheme="majorBidi"/>
          <w:lang w:val="es-ES_tradnl"/>
        </w:rPr>
        <w:t xml:space="preserve">módulos máquina a máquina </w:t>
      </w:r>
      <w:r w:rsidR="00225952" w:rsidRPr="008642EF">
        <w:rPr>
          <w:rFonts w:eastAsia="Times New Roman" w:cstheme="majorBidi"/>
          <w:lang w:val="es-ES_tradnl"/>
        </w:rPr>
        <w:t xml:space="preserve">para </w:t>
      </w:r>
      <w:r w:rsidRPr="008642EF">
        <w:rPr>
          <w:rFonts w:eastAsia="Times New Roman" w:cstheme="majorBidi"/>
          <w:lang w:val="es-ES_tradnl"/>
        </w:rPr>
        <w:t xml:space="preserve">actividades comerciales </w:t>
      </w:r>
      <w:r w:rsidR="00225952" w:rsidRPr="008642EF">
        <w:rPr>
          <w:rFonts w:eastAsia="Times New Roman" w:cstheme="majorBidi"/>
          <w:lang w:val="es-ES_tradnl"/>
        </w:rPr>
        <w:t xml:space="preserve">a través de Internet será, respectivamente, del 42%, el 116%, el </w:t>
      </w:r>
      <w:r w:rsidR="00093E87" w:rsidRPr="008642EF">
        <w:rPr>
          <w:rFonts w:eastAsia="Times New Roman" w:cstheme="majorBidi"/>
          <w:lang w:val="es-ES_tradnl"/>
        </w:rPr>
        <w:t>119</w:t>
      </w:r>
      <w:r w:rsidR="00225952" w:rsidRPr="008642EF">
        <w:rPr>
          <w:rFonts w:eastAsia="Times New Roman" w:cstheme="majorBidi"/>
          <w:lang w:val="es-ES_tradnl"/>
        </w:rPr>
        <w:t xml:space="preserve">% y el </w:t>
      </w:r>
      <w:r w:rsidR="00093E87" w:rsidRPr="008642EF">
        <w:rPr>
          <w:rFonts w:eastAsia="Times New Roman" w:cstheme="majorBidi"/>
          <w:lang w:val="es-ES_tradnl"/>
        </w:rPr>
        <w:t>86</w:t>
      </w:r>
      <w:r w:rsidR="00225952" w:rsidRPr="008642EF">
        <w:rPr>
          <w:rFonts w:eastAsia="Times New Roman" w:cstheme="majorBidi"/>
          <w:lang w:val="es-ES_tradnl"/>
        </w:rPr>
        <w:t>%</w:t>
      </w:r>
      <w:r w:rsidR="00093E87" w:rsidRPr="008642EF">
        <w:rPr>
          <w:rFonts w:eastAsia="Times New Roman" w:cstheme="majorBidi"/>
          <w:lang w:val="es-ES_tradnl"/>
        </w:rPr>
        <w:t xml:space="preserve">. </w:t>
      </w:r>
      <w:r w:rsidR="00225952" w:rsidRPr="008642EF">
        <w:rPr>
          <w:rFonts w:eastAsia="Times New Roman" w:cstheme="majorBidi"/>
          <w:lang w:val="es-ES_tradnl"/>
        </w:rPr>
        <w:t>En 2014, el tráfico procedente de dispositivos inalámbricos superará el procedente de dispositivos cableados</w:t>
      </w:r>
      <w:r w:rsidR="00093E87" w:rsidRPr="003B484F">
        <w:rPr>
          <w:rStyle w:val="FootnoteReference"/>
          <w:lang w:val="es-ES_tradnl"/>
        </w:rPr>
        <w:footnoteReference w:id="3"/>
      </w:r>
      <w:r w:rsidR="00093E87" w:rsidRPr="003B484F">
        <w:rPr>
          <w:rStyle w:val="ccmtdefault"/>
          <w:rFonts w:cstheme="majorBidi"/>
          <w:color w:val="000000"/>
          <w:lang w:val="es-ES_tradnl"/>
        </w:rPr>
        <w:t>.</w:t>
      </w:r>
      <w:r w:rsidR="008642EF" w:rsidRPr="003B484F">
        <w:rPr>
          <w:rStyle w:val="ccmtdefault"/>
          <w:rFonts w:cstheme="majorBidi"/>
          <w:color w:val="000000"/>
          <w:lang w:val="es-ES_tradnl"/>
        </w:rPr>
        <w:t xml:space="preserve"> </w:t>
      </w:r>
      <w:r w:rsidR="00225952" w:rsidRPr="008642EF">
        <w:rPr>
          <w:lang w:val="es-ES_tradnl"/>
        </w:rPr>
        <w:t xml:space="preserve">Como consecuencia del creciente número de conexiones </w:t>
      </w:r>
      <w:r w:rsidR="007F6757" w:rsidRPr="008642EF">
        <w:rPr>
          <w:lang w:val="es-ES_tradnl"/>
        </w:rPr>
        <w:t xml:space="preserve">a </w:t>
      </w:r>
      <w:r w:rsidR="00225952" w:rsidRPr="008642EF">
        <w:rPr>
          <w:lang w:val="es-ES_tradnl"/>
        </w:rPr>
        <w:t xml:space="preserve">Internet </w:t>
      </w:r>
      <w:r w:rsidR="007F6757" w:rsidRPr="008642EF">
        <w:rPr>
          <w:lang w:val="es-ES_tradnl"/>
        </w:rPr>
        <w:t xml:space="preserve">desde </w:t>
      </w:r>
      <w:r w:rsidR="00225952" w:rsidRPr="008642EF">
        <w:rPr>
          <w:lang w:val="es-ES_tradnl"/>
        </w:rPr>
        <w:t xml:space="preserve">plataformas móviles y fijas, el tráfico mensual de protocolo de Internet (IP) se ha disparado desde el modesto </w:t>
      </w:r>
      <w:proofErr w:type="spellStart"/>
      <w:r w:rsidR="00225952" w:rsidRPr="008642EF">
        <w:rPr>
          <w:lang w:val="es-ES_tradnl"/>
        </w:rPr>
        <w:t>petabyte</w:t>
      </w:r>
      <w:proofErr w:type="spellEnd"/>
      <w:r w:rsidR="00225952" w:rsidRPr="008642EF">
        <w:rPr>
          <w:lang w:val="es-ES_tradnl"/>
        </w:rPr>
        <w:t xml:space="preserve"> de</w:t>
      </w:r>
      <w:r w:rsidR="00453F3D" w:rsidRPr="008642EF">
        <w:rPr>
          <w:lang w:val="es-ES_tradnl"/>
        </w:rPr>
        <w:t xml:space="preserve"> hace dos decenios hasta los</w:t>
      </w:r>
      <w:r w:rsidR="00007E5A">
        <w:rPr>
          <w:lang w:val="es-ES_tradnl"/>
        </w:rPr>
        <w:t> </w:t>
      </w:r>
      <w:r w:rsidR="00453F3D" w:rsidRPr="008642EF">
        <w:rPr>
          <w:lang w:val="es-ES_tradnl"/>
        </w:rPr>
        <w:t>44</w:t>
      </w:r>
      <w:r w:rsidR="00007E5A">
        <w:rPr>
          <w:lang w:val="es-ES_tradnl"/>
        </w:rPr>
        <w:t> </w:t>
      </w:r>
      <w:r w:rsidR="00225952" w:rsidRPr="008642EF">
        <w:rPr>
          <w:lang w:val="es-ES_tradnl"/>
        </w:rPr>
        <w:t xml:space="preserve">000 </w:t>
      </w:r>
      <w:proofErr w:type="spellStart"/>
      <w:r w:rsidR="00225952" w:rsidRPr="008642EF">
        <w:rPr>
          <w:lang w:val="es-ES_tradnl"/>
        </w:rPr>
        <w:t>petabytes</w:t>
      </w:r>
      <w:proofErr w:type="spellEnd"/>
      <w:r w:rsidR="00225952" w:rsidRPr="008642EF">
        <w:rPr>
          <w:lang w:val="es-ES_tradnl"/>
        </w:rPr>
        <w:t xml:space="preserve"> estimados en 2012</w:t>
      </w:r>
      <w:r w:rsidR="00093E87" w:rsidRPr="008642EF">
        <w:rPr>
          <w:rStyle w:val="FootnoteReference"/>
          <w:rFonts w:cstheme="minorHAnsi"/>
          <w:lang w:val="es-ES_tradnl"/>
        </w:rPr>
        <w:footnoteReference w:id="4"/>
      </w:r>
      <w:r w:rsidR="00093E87" w:rsidRPr="008642EF">
        <w:rPr>
          <w:rFonts w:cstheme="minorHAnsi"/>
          <w:lang w:val="es-ES_tradnl"/>
        </w:rPr>
        <w:t xml:space="preserve">. </w:t>
      </w:r>
      <w:r w:rsidR="00225952" w:rsidRPr="008642EF">
        <w:rPr>
          <w:lang w:val="es-ES_tradnl"/>
        </w:rPr>
        <w:t>El futuro crecimiento del tráfico IP parece no tener límite</w:t>
      </w:r>
      <w:r w:rsidRPr="008642EF">
        <w:rPr>
          <w:lang w:val="es-ES_tradnl"/>
        </w:rPr>
        <w:t>s</w:t>
      </w:r>
      <w:r w:rsidR="00093E87" w:rsidRPr="008642EF">
        <w:rPr>
          <w:rFonts w:cstheme="minorHAnsi"/>
          <w:lang w:val="es-ES_tradnl"/>
        </w:rPr>
        <w:t xml:space="preserve">. </w:t>
      </w:r>
      <w:r w:rsidR="00225952" w:rsidRPr="008642EF">
        <w:rPr>
          <w:rFonts w:cs="Calibri"/>
          <w:lang w:val="es-ES_tradnl"/>
        </w:rPr>
        <w:t xml:space="preserve">Este ingente volumen </w:t>
      </w:r>
      <w:r w:rsidRPr="008642EF">
        <w:rPr>
          <w:rFonts w:cs="Calibri"/>
          <w:lang w:val="es-ES_tradnl"/>
        </w:rPr>
        <w:t xml:space="preserve">obedece al </w:t>
      </w:r>
      <w:r w:rsidR="00225952" w:rsidRPr="008642EF">
        <w:rPr>
          <w:rFonts w:cs="Calibri"/>
          <w:lang w:val="es-ES_tradnl"/>
        </w:rPr>
        <w:t>aumento del número de personas y dispositivos conectados</w:t>
      </w:r>
      <w:r w:rsidR="007F6757" w:rsidRPr="008642EF">
        <w:rPr>
          <w:rFonts w:cs="Calibri"/>
          <w:lang w:val="es-ES_tradnl"/>
        </w:rPr>
        <w:t xml:space="preserve">, así como </w:t>
      </w:r>
      <w:r w:rsidR="00E767AC" w:rsidRPr="008642EF">
        <w:rPr>
          <w:rFonts w:cs="Calibri"/>
          <w:lang w:val="es-ES_tradnl"/>
        </w:rPr>
        <w:t>a</w:t>
      </w:r>
      <w:r w:rsidR="007F6757" w:rsidRPr="008642EF">
        <w:rPr>
          <w:rFonts w:cs="Calibri"/>
          <w:lang w:val="es-ES_tradnl"/>
        </w:rPr>
        <w:t xml:space="preserve"> </w:t>
      </w:r>
      <w:r w:rsidR="00225952" w:rsidRPr="008642EF">
        <w:rPr>
          <w:rFonts w:cs="Calibri"/>
          <w:lang w:val="es-ES_tradnl"/>
        </w:rPr>
        <w:t>la creciente disponibilidad de contenidos en línea abundantes, diversificados y</w:t>
      </w:r>
      <w:r w:rsidR="007F6757" w:rsidRPr="008642EF">
        <w:rPr>
          <w:rFonts w:cs="Calibri"/>
          <w:lang w:val="es-ES_tradnl"/>
        </w:rPr>
        <w:t>,</w:t>
      </w:r>
      <w:r w:rsidR="00225952" w:rsidRPr="008642EF">
        <w:rPr>
          <w:rFonts w:cs="Calibri"/>
          <w:lang w:val="es-ES_tradnl"/>
        </w:rPr>
        <w:t xml:space="preserve"> en la </w:t>
      </w:r>
      <w:r w:rsidR="007F6757" w:rsidRPr="008642EF">
        <w:rPr>
          <w:rFonts w:cs="Calibri"/>
          <w:lang w:val="es-ES_tradnl"/>
        </w:rPr>
        <w:t xml:space="preserve">mayoría de </w:t>
      </w:r>
      <w:r w:rsidR="00225952" w:rsidRPr="008642EF">
        <w:rPr>
          <w:rFonts w:cs="Calibri"/>
          <w:lang w:val="es-ES_tradnl"/>
        </w:rPr>
        <w:t>casos</w:t>
      </w:r>
      <w:r w:rsidR="007F6757" w:rsidRPr="008642EF">
        <w:rPr>
          <w:rFonts w:cs="Calibri"/>
          <w:lang w:val="es-ES_tradnl"/>
        </w:rPr>
        <w:t>,</w:t>
      </w:r>
      <w:r w:rsidR="00225952" w:rsidRPr="008642EF">
        <w:rPr>
          <w:rFonts w:cs="Calibri"/>
          <w:lang w:val="es-ES_tradnl"/>
        </w:rPr>
        <w:t xml:space="preserve"> gratuitos</w:t>
      </w:r>
      <w:r w:rsidR="00093E87" w:rsidRPr="008642EF">
        <w:rPr>
          <w:rFonts w:cstheme="minorHAnsi"/>
          <w:lang w:val="es-ES_tradnl"/>
        </w:rPr>
        <w:t>.</w:t>
      </w:r>
    </w:p>
    <w:p w:rsidR="00EC5837" w:rsidRPr="0053288C" w:rsidRDefault="00EC5837" w:rsidP="0053288C">
      <w:pPr>
        <w:keepNext/>
        <w:spacing w:before="240" w:after="120" w:line="240" w:lineRule="auto"/>
        <w:rPr>
          <w:b/>
          <w:bCs/>
          <w:lang w:val="es-ES_tradnl"/>
        </w:rPr>
      </w:pPr>
      <w:r w:rsidRPr="0053288C">
        <w:rPr>
          <w:b/>
          <w:bCs/>
          <w:lang w:val="es-ES_tradnl"/>
        </w:rPr>
        <w:t xml:space="preserve">Figura 1.1: Crecimiento del tráfico IP, de los usuarios de Internet y de las descargas </w:t>
      </w:r>
      <w:r w:rsidR="0053288C">
        <w:rPr>
          <w:b/>
          <w:bCs/>
          <w:lang w:val="es-ES_tradnl"/>
        </w:rPr>
        <w:br/>
      </w:r>
      <w:r w:rsidRPr="0053288C">
        <w:rPr>
          <w:b/>
          <w:bCs/>
          <w:lang w:val="es-ES_tradnl"/>
        </w:rPr>
        <w:t xml:space="preserve">de </w:t>
      </w:r>
      <w:r w:rsidR="00E767AC" w:rsidRPr="0053288C">
        <w:rPr>
          <w:b/>
          <w:bCs/>
          <w:lang w:val="es-ES_tradnl"/>
        </w:rPr>
        <w:t>aplicaciones</w:t>
      </w:r>
      <w:r w:rsidRPr="0053288C">
        <w:rPr>
          <w:b/>
          <w:bCs/>
          <w:lang w:val="es-ES_tradnl"/>
        </w:rPr>
        <w:t xml:space="preserve"> (1994</w:t>
      </w:r>
      <w:r w:rsidRPr="0053288C">
        <w:rPr>
          <w:b/>
          <w:bCs/>
          <w:lang w:val="es-ES_tradnl"/>
        </w:rPr>
        <w:noBreakHyphen/>
        <w:t>2013)</w:t>
      </w:r>
    </w:p>
    <w:p w:rsidR="00EC5837" w:rsidRPr="008642EF" w:rsidRDefault="00EC5837" w:rsidP="009C3233">
      <w:pPr>
        <w:pStyle w:val="Source"/>
        <w:spacing w:after="0" w:line="240" w:lineRule="auto"/>
        <w:jc w:val="right"/>
        <w:rPr>
          <w:lang w:val="es-ES_tradnl"/>
        </w:rPr>
      </w:pPr>
      <w:r w:rsidRPr="008642EF">
        <w:rPr>
          <w:noProof/>
          <w:lang w:val="en-US" w:eastAsia="en-US"/>
        </w:rPr>
        <w:drawing>
          <wp:anchor distT="0" distB="0" distL="114300" distR="114300" simplePos="0" relativeHeight="251665408" behindDoc="0" locked="0" layoutInCell="1" allowOverlap="1" wp14:anchorId="41698F1E" wp14:editId="09A44200">
            <wp:simplePos x="0" y="0"/>
            <wp:positionH relativeFrom="column">
              <wp:posOffset>29210</wp:posOffset>
            </wp:positionH>
            <wp:positionV relativeFrom="paragraph">
              <wp:posOffset>20320</wp:posOffset>
            </wp:positionV>
            <wp:extent cx="4819455" cy="2700000"/>
            <wp:effectExtent l="0" t="0" r="635" b="5715"/>
            <wp:wrapTopAndBottom/>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t="7750"/>
                    <a:stretch>
                      <a:fillRect/>
                    </a:stretch>
                  </pic:blipFill>
                  <pic:spPr bwMode="auto">
                    <a:xfrm>
                      <a:off x="0" y="0"/>
                      <a:ext cx="4819455" cy="2700000"/>
                    </a:xfrm>
                    <a:prstGeom prst="rect">
                      <a:avLst/>
                    </a:prstGeom>
                    <a:noFill/>
                    <a:ln w="9525">
                      <a:noFill/>
                      <a:miter lim="800000"/>
                      <a:headEnd/>
                      <a:tailEnd/>
                    </a:ln>
                  </pic:spPr>
                </pic:pic>
              </a:graphicData>
            </a:graphic>
          </wp:anchor>
        </w:drawing>
      </w:r>
    </w:p>
    <w:p w:rsidR="00EC5837" w:rsidRPr="0056461D" w:rsidRDefault="0053288C" w:rsidP="00706543">
      <w:pPr>
        <w:spacing w:after="0" w:line="240" w:lineRule="auto"/>
        <w:rPr>
          <w:i/>
          <w:iCs/>
          <w:sz w:val="18"/>
          <w:szCs w:val="18"/>
          <w:lang w:val="es-ES_tradnl"/>
        </w:rPr>
      </w:pPr>
      <w:r>
        <w:rPr>
          <w:i/>
          <w:iCs/>
          <w:sz w:val="18"/>
          <w:szCs w:val="18"/>
          <w:lang w:val="es-ES_tradnl"/>
        </w:rPr>
        <w:t>Origen</w:t>
      </w:r>
      <w:r w:rsidR="00EC5837" w:rsidRPr="0056461D">
        <w:rPr>
          <w:i/>
          <w:iCs/>
          <w:sz w:val="18"/>
          <w:szCs w:val="18"/>
          <w:lang w:val="es-ES_tradnl"/>
        </w:rPr>
        <w:t xml:space="preserve">: UIT, a partir de datos de la UIT, Cisco VNI, Andrew </w:t>
      </w:r>
      <w:proofErr w:type="spellStart"/>
      <w:r w:rsidR="00EC5837" w:rsidRPr="0056461D">
        <w:rPr>
          <w:i/>
          <w:iCs/>
          <w:sz w:val="18"/>
          <w:szCs w:val="18"/>
          <w:lang w:val="es-ES_tradnl"/>
        </w:rPr>
        <w:t>Odlyzko</w:t>
      </w:r>
      <w:proofErr w:type="spellEnd"/>
      <w:r w:rsidR="00EC5837" w:rsidRPr="0056461D">
        <w:rPr>
          <w:i/>
          <w:iCs/>
          <w:sz w:val="18"/>
          <w:szCs w:val="18"/>
          <w:lang w:val="es-ES_tradnl"/>
        </w:rPr>
        <w:t xml:space="preserve">, RHK, </w:t>
      </w:r>
      <w:proofErr w:type="spellStart"/>
      <w:r w:rsidR="00EC5837" w:rsidRPr="0056461D">
        <w:rPr>
          <w:i/>
          <w:iCs/>
          <w:sz w:val="18"/>
          <w:szCs w:val="18"/>
          <w:lang w:val="es-ES_tradnl"/>
        </w:rPr>
        <w:t>Telegeography</w:t>
      </w:r>
      <w:proofErr w:type="spellEnd"/>
      <w:r w:rsidR="00EC5837" w:rsidRPr="0056461D">
        <w:rPr>
          <w:i/>
          <w:iCs/>
          <w:sz w:val="18"/>
          <w:szCs w:val="18"/>
          <w:lang w:val="es-ES_tradnl"/>
        </w:rPr>
        <w:t xml:space="preserve">, IDC, ABI </w:t>
      </w:r>
      <w:proofErr w:type="spellStart"/>
      <w:r w:rsidR="00EC5837" w:rsidRPr="0056461D">
        <w:rPr>
          <w:i/>
          <w:iCs/>
          <w:sz w:val="18"/>
          <w:szCs w:val="18"/>
          <w:lang w:val="es-ES_tradnl"/>
        </w:rPr>
        <w:t>Research</w:t>
      </w:r>
      <w:proofErr w:type="spellEnd"/>
      <w:r w:rsidR="00EC5837" w:rsidRPr="0056461D">
        <w:rPr>
          <w:i/>
          <w:iCs/>
          <w:sz w:val="18"/>
          <w:szCs w:val="18"/>
          <w:lang w:val="es-ES_tradnl"/>
        </w:rPr>
        <w:t xml:space="preserve"> y </w:t>
      </w:r>
      <w:proofErr w:type="spellStart"/>
      <w:r w:rsidR="00EC5837" w:rsidRPr="0056461D">
        <w:rPr>
          <w:i/>
          <w:iCs/>
          <w:sz w:val="18"/>
          <w:szCs w:val="18"/>
          <w:lang w:val="es-ES_tradnl"/>
        </w:rPr>
        <w:t>Chetan</w:t>
      </w:r>
      <w:proofErr w:type="spellEnd"/>
      <w:r w:rsidR="00EC5837" w:rsidRPr="0056461D">
        <w:rPr>
          <w:i/>
          <w:iCs/>
          <w:sz w:val="18"/>
          <w:szCs w:val="18"/>
          <w:lang w:val="es-ES_tradnl"/>
        </w:rPr>
        <w:t xml:space="preserve"> Sharma </w:t>
      </w:r>
      <w:proofErr w:type="spellStart"/>
      <w:r w:rsidR="00EC5837" w:rsidRPr="0056461D">
        <w:rPr>
          <w:i/>
          <w:iCs/>
          <w:sz w:val="18"/>
          <w:szCs w:val="18"/>
          <w:lang w:val="es-ES_tradnl"/>
        </w:rPr>
        <w:t>Consulting</w:t>
      </w:r>
      <w:proofErr w:type="spellEnd"/>
      <w:r w:rsidR="00EC5837" w:rsidRPr="0056461D">
        <w:rPr>
          <w:i/>
          <w:iCs/>
          <w:sz w:val="18"/>
          <w:szCs w:val="18"/>
          <w:lang w:val="es-ES_tradnl"/>
        </w:rPr>
        <w:t>.</w:t>
      </w:r>
    </w:p>
    <w:p w:rsidR="00FD629F" w:rsidRPr="0056461D" w:rsidRDefault="00EC5837" w:rsidP="00706543">
      <w:pPr>
        <w:spacing w:after="0" w:line="240" w:lineRule="auto"/>
        <w:rPr>
          <w:rFonts w:cs="Calibri"/>
          <w:sz w:val="18"/>
          <w:szCs w:val="18"/>
          <w:lang w:val="es-ES_tradnl"/>
        </w:rPr>
      </w:pPr>
      <w:r w:rsidRPr="0056461D">
        <w:rPr>
          <w:rFonts w:cs="Calibri"/>
          <w:sz w:val="18"/>
          <w:szCs w:val="18"/>
          <w:lang w:val="es-ES_tradnl"/>
        </w:rPr>
        <w:t xml:space="preserve">Nota: 1) </w:t>
      </w:r>
      <w:r w:rsidRPr="0056461D">
        <w:rPr>
          <w:sz w:val="18"/>
          <w:szCs w:val="18"/>
          <w:lang w:val="es-ES_tradnl"/>
        </w:rPr>
        <w:t>"</w:t>
      </w:r>
      <w:r w:rsidRPr="0056461D">
        <w:rPr>
          <w:rFonts w:cs="Calibri"/>
          <w:sz w:val="18"/>
          <w:szCs w:val="18"/>
          <w:lang w:val="es-ES_tradnl"/>
        </w:rPr>
        <w:t>b</w:t>
      </w:r>
      <w:r w:rsidRPr="0056461D">
        <w:rPr>
          <w:sz w:val="18"/>
          <w:szCs w:val="18"/>
          <w:lang w:val="es-ES_tradnl"/>
        </w:rPr>
        <w:t>"</w:t>
      </w:r>
      <w:r w:rsidRPr="0056461D">
        <w:rPr>
          <w:rFonts w:cs="Calibri"/>
          <w:sz w:val="18"/>
          <w:szCs w:val="18"/>
          <w:lang w:val="es-ES_tradnl"/>
        </w:rPr>
        <w:t xml:space="preserve"> significa miles de millones. 2) Las cifras correspondientes al tráfico IP y </w:t>
      </w:r>
      <w:r w:rsidR="007F6757" w:rsidRPr="0056461D">
        <w:rPr>
          <w:rFonts w:cs="Calibri"/>
          <w:sz w:val="18"/>
          <w:szCs w:val="18"/>
          <w:lang w:val="es-ES_tradnl"/>
        </w:rPr>
        <w:t xml:space="preserve">a </w:t>
      </w:r>
      <w:r w:rsidRPr="0056461D">
        <w:rPr>
          <w:rFonts w:cs="Calibri"/>
          <w:sz w:val="18"/>
          <w:szCs w:val="18"/>
          <w:lang w:val="es-ES_tradnl"/>
        </w:rPr>
        <w:t>las descargas de aplicaciones para 2010</w:t>
      </w:r>
      <w:r w:rsidR="007F6757" w:rsidRPr="0056461D">
        <w:rPr>
          <w:rFonts w:cs="Calibri"/>
          <w:sz w:val="18"/>
          <w:szCs w:val="18"/>
          <w:lang w:val="es-ES_tradnl"/>
        </w:rPr>
        <w:t>,</w:t>
      </w:r>
      <w:r w:rsidRPr="0056461D">
        <w:rPr>
          <w:rFonts w:cs="Calibri"/>
          <w:sz w:val="18"/>
          <w:szCs w:val="18"/>
          <w:lang w:val="es-ES_tradnl"/>
        </w:rPr>
        <w:t xml:space="preserve"> así como las cifras para 2013 sobre los individuos que utilizan Internet</w:t>
      </w:r>
      <w:r w:rsidR="007F6757" w:rsidRPr="0056461D">
        <w:rPr>
          <w:rFonts w:cs="Calibri"/>
          <w:sz w:val="18"/>
          <w:szCs w:val="18"/>
          <w:lang w:val="es-ES_tradnl"/>
        </w:rPr>
        <w:t>,</w:t>
      </w:r>
      <w:r w:rsidRPr="0056461D">
        <w:rPr>
          <w:rFonts w:cs="Calibri"/>
          <w:sz w:val="18"/>
          <w:szCs w:val="18"/>
          <w:lang w:val="es-ES_tradnl"/>
        </w:rPr>
        <w:t xml:space="preserve"> son estimativas.</w:t>
      </w:r>
    </w:p>
    <w:p w:rsidR="00BA4A72" w:rsidRPr="00EF198D" w:rsidRDefault="00261C0B" w:rsidP="00261C0B">
      <w:pPr>
        <w:spacing w:before="240" w:after="0" w:line="240" w:lineRule="auto"/>
        <w:rPr>
          <w:rFonts w:cs="Calibri"/>
          <w:sz w:val="18"/>
          <w:szCs w:val="18"/>
          <w:lang w:val="es-ES_tradnl"/>
        </w:rPr>
      </w:pPr>
      <w:r>
        <w:rPr>
          <w:rFonts w:cs="Calibri"/>
          <w:sz w:val="18"/>
          <w:szCs w:val="18"/>
          <w:lang w:val="es-ES_tradnl"/>
        </w:rPr>
        <w:t>Leyenda</w:t>
      </w:r>
      <w:r w:rsidR="0056461D">
        <w:rPr>
          <w:rFonts w:cs="Calibri"/>
          <w:sz w:val="18"/>
          <w:szCs w:val="18"/>
          <w:lang w:val="es-ES_tradnl"/>
        </w:rPr>
        <w:t>s</w:t>
      </w:r>
      <w:r>
        <w:rPr>
          <w:rFonts w:cs="Calibri"/>
          <w:sz w:val="18"/>
          <w:szCs w:val="18"/>
          <w:lang w:val="es-ES_tradnl"/>
        </w:rPr>
        <w:t xml:space="preserve"> de la </w:t>
      </w:r>
      <w:r w:rsidR="00A91BB0">
        <w:rPr>
          <w:rFonts w:cs="Calibri"/>
          <w:sz w:val="18"/>
          <w:szCs w:val="18"/>
          <w:lang w:val="es-ES_tradnl"/>
        </w:rPr>
        <w:t>F</w:t>
      </w:r>
      <w:r>
        <w:rPr>
          <w:rFonts w:cs="Calibri"/>
          <w:sz w:val="18"/>
          <w:szCs w:val="18"/>
          <w:lang w:val="es-ES_tradnl"/>
        </w:rPr>
        <w:t>igura</w:t>
      </w:r>
      <w:r w:rsidR="00A91BB0">
        <w:rPr>
          <w:rFonts w:cs="Calibri"/>
          <w:sz w:val="18"/>
          <w:szCs w:val="18"/>
          <w:lang w:val="es-ES_tradnl"/>
        </w:rPr>
        <w:t>:</w:t>
      </w:r>
    </w:p>
    <w:p w:rsidR="00BA4A72" w:rsidRPr="00EF198D" w:rsidRDefault="00BA4A72" w:rsidP="00B7515B">
      <w:pPr>
        <w:spacing w:after="0" w:line="240" w:lineRule="auto"/>
        <w:rPr>
          <w:rFonts w:cs="Calibri"/>
          <w:sz w:val="18"/>
          <w:szCs w:val="18"/>
          <w:lang w:val="es-ES_tradnl"/>
        </w:rPr>
      </w:pPr>
      <w:r w:rsidRPr="00EF198D">
        <w:rPr>
          <w:rFonts w:cs="Calibri"/>
          <w:sz w:val="18"/>
          <w:szCs w:val="18"/>
          <w:lang w:val="es-ES_tradnl"/>
        </w:rPr>
        <w:t xml:space="preserve">Tráfico IP en miles de </w:t>
      </w:r>
      <w:proofErr w:type="spellStart"/>
      <w:r w:rsidRPr="00EF198D">
        <w:rPr>
          <w:rFonts w:cs="Calibri"/>
          <w:sz w:val="18"/>
          <w:szCs w:val="18"/>
          <w:lang w:val="es-ES_tradnl"/>
        </w:rPr>
        <w:t>petabytes</w:t>
      </w:r>
      <w:proofErr w:type="spellEnd"/>
      <w:r w:rsidRPr="00EF198D">
        <w:rPr>
          <w:rFonts w:cs="Calibri"/>
          <w:sz w:val="18"/>
          <w:szCs w:val="18"/>
          <w:lang w:val="es-ES_tradnl"/>
        </w:rPr>
        <w:t>/mes</w:t>
      </w:r>
    </w:p>
    <w:p w:rsidR="00BA4A72" w:rsidRPr="00EF198D" w:rsidRDefault="00BA4A72" w:rsidP="00B7515B">
      <w:pPr>
        <w:spacing w:after="0" w:line="240" w:lineRule="auto"/>
        <w:rPr>
          <w:rFonts w:cs="Calibri"/>
          <w:sz w:val="18"/>
          <w:szCs w:val="18"/>
          <w:lang w:val="es-ES_tradnl"/>
        </w:rPr>
      </w:pPr>
      <w:r w:rsidRPr="00EF198D">
        <w:rPr>
          <w:rFonts w:cs="Calibri"/>
          <w:sz w:val="18"/>
          <w:szCs w:val="18"/>
          <w:lang w:val="es-ES_tradnl"/>
        </w:rPr>
        <w:t>Individuos que utilizan Internet (millones)</w:t>
      </w:r>
    </w:p>
    <w:p w:rsidR="00093E87" w:rsidRPr="008642EF" w:rsidRDefault="00CE5255" w:rsidP="00007E5A">
      <w:pPr>
        <w:keepNext/>
        <w:keepLines/>
        <w:spacing w:before="120" w:after="0" w:line="240" w:lineRule="auto"/>
        <w:rPr>
          <w:lang w:val="es-ES_tradnl"/>
        </w:rPr>
      </w:pPr>
      <w:r w:rsidRPr="008642EF">
        <w:rPr>
          <w:lang w:val="es-ES_tradnl"/>
        </w:rPr>
        <w:lastRenderedPageBreak/>
        <w:t xml:space="preserve">El impresionante crecimiento </w:t>
      </w:r>
      <w:r w:rsidR="00190FC3" w:rsidRPr="008642EF">
        <w:rPr>
          <w:lang w:val="es-ES_tradnl"/>
        </w:rPr>
        <w:t>de</w:t>
      </w:r>
      <w:r w:rsidRPr="008642EF">
        <w:rPr>
          <w:lang w:val="es-ES_tradnl"/>
        </w:rPr>
        <w:t xml:space="preserve"> los servicios móviles, celulares o de banda ancha móvil, </w:t>
      </w:r>
      <w:r w:rsidR="00E767AC" w:rsidRPr="008642EF">
        <w:rPr>
          <w:lang w:val="es-ES_tradnl"/>
        </w:rPr>
        <w:t>así como</w:t>
      </w:r>
      <w:r w:rsidRPr="008642EF">
        <w:rPr>
          <w:lang w:val="es-ES_tradnl"/>
        </w:rPr>
        <w:t xml:space="preserve"> la aparición de Internet</w:t>
      </w:r>
      <w:r w:rsidR="007F6757" w:rsidRPr="008642EF">
        <w:rPr>
          <w:lang w:val="es-ES_tradnl"/>
        </w:rPr>
        <w:t>,</w:t>
      </w:r>
      <w:r w:rsidRPr="008642EF">
        <w:rPr>
          <w:lang w:val="es-ES_tradnl"/>
        </w:rPr>
        <w:t xml:space="preserve"> han revolucionado en poco más de una década nuestra manera de comunicarnos. </w:t>
      </w:r>
      <w:r w:rsidR="007F6757" w:rsidRPr="008642EF">
        <w:rPr>
          <w:lang w:val="es-ES_tradnl"/>
        </w:rPr>
        <w:t xml:space="preserve">Si </w:t>
      </w:r>
      <w:r w:rsidRPr="008642EF">
        <w:rPr>
          <w:lang w:val="es-ES_tradnl"/>
        </w:rPr>
        <w:t xml:space="preserve">hubieron de pasar 125 años hasta alcanzar </w:t>
      </w:r>
      <w:r w:rsidR="00E767AC" w:rsidRPr="008642EF">
        <w:rPr>
          <w:lang w:val="es-ES_tradnl"/>
        </w:rPr>
        <w:t xml:space="preserve">los </w:t>
      </w:r>
      <w:r w:rsidRPr="008642EF">
        <w:rPr>
          <w:lang w:val="es-ES_tradnl"/>
        </w:rPr>
        <w:t xml:space="preserve">mil millones de líneas de telefonía fija, han bastado 21 años para llegar a los mil millones de abonados a servicios </w:t>
      </w:r>
      <w:r w:rsidR="007F6757" w:rsidRPr="008642EF">
        <w:rPr>
          <w:lang w:val="es-ES_tradnl"/>
        </w:rPr>
        <w:t>de telefonía móvil celular</w:t>
      </w:r>
      <w:r w:rsidRPr="008642EF">
        <w:rPr>
          <w:lang w:val="es-ES_tradnl"/>
        </w:rPr>
        <w:t xml:space="preserve">, nueve para </w:t>
      </w:r>
      <w:r w:rsidR="00E767AC" w:rsidRPr="008642EF">
        <w:rPr>
          <w:lang w:val="es-ES_tradnl"/>
        </w:rPr>
        <w:t xml:space="preserve">incorporar a </w:t>
      </w:r>
      <w:r w:rsidRPr="008642EF">
        <w:rPr>
          <w:lang w:val="es-ES_tradnl"/>
        </w:rPr>
        <w:t>otros 5</w:t>
      </w:r>
      <w:r w:rsidR="00007E5A">
        <w:rPr>
          <w:lang w:val="es-ES_tradnl"/>
        </w:rPr>
        <w:t> </w:t>
      </w:r>
      <w:r w:rsidRPr="008642EF">
        <w:rPr>
          <w:lang w:val="es-ES_tradnl"/>
        </w:rPr>
        <w:t>000 millones y solamente nueve años para llegar a los primeros mil millones de abonados a la banda ancha móvil</w:t>
      </w:r>
      <w:r w:rsidR="00093E87" w:rsidRPr="008642EF">
        <w:rPr>
          <w:lang w:val="es-ES_tradnl"/>
        </w:rPr>
        <w:t xml:space="preserve">. </w:t>
      </w:r>
      <w:r w:rsidR="00742397" w:rsidRPr="008642EF">
        <w:rPr>
          <w:lang w:val="es-ES_tradnl"/>
        </w:rPr>
        <w:t xml:space="preserve">En lo que respecta a </w:t>
      </w:r>
      <w:r w:rsidR="00093E87" w:rsidRPr="008642EF">
        <w:rPr>
          <w:lang w:val="es-ES_tradnl"/>
        </w:rPr>
        <w:t xml:space="preserve">Internet, </w:t>
      </w:r>
      <w:r w:rsidR="00742397" w:rsidRPr="008642EF">
        <w:rPr>
          <w:lang w:val="es-ES_tradnl"/>
        </w:rPr>
        <w:t xml:space="preserve">se tardó cinco años en alcanzar el hito de los primeros mil millones de usuarios. Si echamos un vistazo al número de aplicaciones descargadas, </w:t>
      </w:r>
      <w:r w:rsidR="00190FC3" w:rsidRPr="008642EF">
        <w:rPr>
          <w:lang w:val="es-ES_tradnl"/>
        </w:rPr>
        <w:t xml:space="preserve">el baremo no son </w:t>
      </w:r>
      <w:r w:rsidR="00742397" w:rsidRPr="008642EF">
        <w:rPr>
          <w:lang w:val="es-ES_tradnl"/>
        </w:rPr>
        <w:t xml:space="preserve">los años, sino los meses: pasaron solamente nueve meses hasta que se alcanzó la cifra de mil millones de aplicaciones descargadas de la tienda de aplicaciones de Apple; por su parte, hoy se tarda 7 días en acumular mil millones de </w:t>
      </w:r>
      <w:proofErr w:type="spellStart"/>
      <w:r w:rsidR="00053375" w:rsidRPr="008642EF">
        <w:rPr>
          <w:i/>
          <w:iCs/>
          <w:lang w:val="es-ES_tradnl"/>
        </w:rPr>
        <w:t>tweets</w:t>
      </w:r>
      <w:proofErr w:type="spellEnd"/>
      <w:r w:rsidR="00007E5A" w:rsidRPr="008642EF">
        <w:rPr>
          <w:rStyle w:val="FootnoteReference"/>
          <w:lang w:val="es-ES_tradnl"/>
        </w:rPr>
        <w:footnoteReference w:id="5"/>
      </w:r>
      <w:r w:rsidR="00093E87" w:rsidRPr="008642EF">
        <w:rPr>
          <w:lang w:val="es-ES_tradnl"/>
        </w:rPr>
        <w:t>.</w:t>
      </w:r>
    </w:p>
    <w:p w:rsidR="00093E87" w:rsidRPr="00EF198D" w:rsidRDefault="007D78A9" w:rsidP="00007E5A">
      <w:pPr>
        <w:spacing w:before="120" w:after="120" w:line="240" w:lineRule="auto"/>
        <w:rPr>
          <w:rFonts w:cstheme="minorHAnsi"/>
          <w:lang w:val="es-ES_tradnl"/>
        </w:rPr>
      </w:pPr>
      <w:r w:rsidRPr="00EF198D">
        <w:rPr>
          <w:rFonts w:cstheme="minorHAnsi"/>
          <w:lang w:val="es-ES_tradnl"/>
        </w:rPr>
        <w:t xml:space="preserve">Debido al surgimiento de tecnologías </w:t>
      </w:r>
      <w:r w:rsidR="007F6757" w:rsidRPr="00EF198D">
        <w:rPr>
          <w:rFonts w:cstheme="minorHAnsi"/>
          <w:lang w:val="es-ES_tradnl"/>
        </w:rPr>
        <w:t xml:space="preserve">de telefonía móvil celular </w:t>
      </w:r>
      <w:r w:rsidRPr="00EF198D">
        <w:rPr>
          <w:rFonts w:cstheme="minorHAnsi"/>
          <w:lang w:val="es-ES_tradnl"/>
        </w:rPr>
        <w:t>de la próxima generación y a la adopción generalizada de dispositivos móviles de banda ancha cada vez más sofisticados, el acceso a la sociedad digital está adquiriendo un carácter más ubicuo y universal</w:t>
      </w:r>
      <w:r w:rsidR="00093E87" w:rsidRPr="00EF198D">
        <w:rPr>
          <w:rFonts w:cstheme="minorHAnsi"/>
          <w:lang w:val="es-ES_tradnl"/>
        </w:rPr>
        <w:t xml:space="preserve">. </w:t>
      </w:r>
      <w:r w:rsidRPr="00EF198D">
        <w:rPr>
          <w:rFonts w:cstheme="minorHAnsi"/>
          <w:lang w:val="es-ES_tradnl"/>
        </w:rPr>
        <w:t xml:space="preserve">Los teléfonos inteligentes y las tabletas </w:t>
      </w:r>
      <w:r w:rsidRPr="00EF198D">
        <w:rPr>
          <w:rFonts w:cstheme="minorHAnsi"/>
          <w:color w:val="000000"/>
          <w:lang w:val="es-ES_tradnl"/>
        </w:rPr>
        <w:t xml:space="preserve">se están </w:t>
      </w:r>
      <w:r w:rsidR="00190FC3" w:rsidRPr="00EF198D">
        <w:rPr>
          <w:rFonts w:cstheme="minorHAnsi"/>
          <w:color w:val="000000"/>
          <w:lang w:val="es-ES_tradnl"/>
        </w:rPr>
        <w:t>convirtiendo</w:t>
      </w:r>
      <w:r w:rsidRPr="00EF198D">
        <w:rPr>
          <w:rFonts w:cstheme="minorHAnsi"/>
          <w:color w:val="000000"/>
          <w:lang w:val="es-ES_tradnl"/>
        </w:rPr>
        <w:t xml:space="preserve"> rápidamente en los principales dispositivos de acceso móvil</w:t>
      </w:r>
      <w:r w:rsidR="00093E87" w:rsidRPr="00EF198D">
        <w:rPr>
          <w:rFonts w:cstheme="minorHAnsi"/>
          <w:lang w:val="es-ES_tradnl"/>
        </w:rPr>
        <w:t xml:space="preserve">, </w:t>
      </w:r>
      <w:r w:rsidRPr="00EF198D">
        <w:rPr>
          <w:rFonts w:cstheme="minorHAnsi"/>
          <w:lang w:val="es-ES_tradnl"/>
        </w:rPr>
        <w:t>ya que aúnan funcionalidad y comodidad</w:t>
      </w:r>
      <w:r w:rsidR="00093E87" w:rsidRPr="00EF198D">
        <w:rPr>
          <w:rFonts w:cstheme="minorHAnsi"/>
          <w:lang w:val="es-ES_tradnl"/>
        </w:rPr>
        <w:t xml:space="preserve">. </w:t>
      </w:r>
      <w:r w:rsidR="00190FC3" w:rsidRPr="00EF198D">
        <w:rPr>
          <w:rFonts w:cstheme="minorHAnsi"/>
          <w:lang w:val="es-ES_tradnl"/>
        </w:rPr>
        <w:t>Según a</w:t>
      </w:r>
      <w:r w:rsidRPr="00EF198D">
        <w:rPr>
          <w:rFonts w:cstheme="minorHAnsi"/>
          <w:lang w:val="es-ES_tradnl"/>
        </w:rPr>
        <w:t>lgunos analistas, a finales de 2012, el número total de teléfonos inteligentes había alcanzado la cifra de 1</w:t>
      </w:r>
      <w:r w:rsidR="00007E5A">
        <w:rPr>
          <w:rFonts w:cstheme="minorHAnsi"/>
          <w:lang w:val="es-ES_tradnl"/>
        </w:rPr>
        <w:t> </w:t>
      </w:r>
      <w:r w:rsidRPr="00EF198D">
        <w:rPr>
          <w:rFonts w:cstheme="minorHAnsi"/>
          <w:lang w:val="es-ES_tradnl"/>
        </w:rPr>
        <w:t xml:space="preserve">100 millones, </w:t>
      </w:r>
      <w:r w:rsidR="00190FC3" w:rsidRPr="00EF198D">
        <w:rPr>
          <w:rFonts w:cstheme="minorHAnsi"/>
          <w:lang w:val="es-ES_tradnl"/>
        </w:rPr>
        <w:t xml:space="preserve">cifra que se habrá triplicado </w:t>
      </w:r>
      <w:r w:rsidR="001E43CB" w:rsidRPr="00EF198D">
        <w:rPr>
          <w:rFonts w:cstheme="minorHAnsi"/>
          <w:lang w:val="es-ES_tradnl"/>
        </w:rPr>
        <w:t xml:space="preserve">en 2018 </w:t>
      </w:r>
      <w:r w:rsidR="00190FC3" w:rsidRPr="00EF198D">
        <w:rPr>
          <w:rFonts w:cstheme="minorHAnsi"/>
          <w:lang w:val="es-ES_tradnl"/>
        </w:rPr>
        <w:t xml:space="preserve">hasta </w:t>
      </w:r>
      <w:r w:rsidR="001E43CB" w:rsidRPr="00EF198D">
        <w:rPr>
          <w:rFonts w:cstheme="minorHAnsi"/>
          <w:lang w:val="es-ES_tradnl"/>
        </w:rPr>
        <w:t>llegar a los 3</w:t>
      </w:r>
      <w:r w:rsidR="00007E5A">
        <w:rPr>
          <w:rFonts w:cstheme="minorHAnsi"/>
          <w:lang w:val="es-ES_tradnl"/>
        </w:rPr>
        <w:t> </w:t>
      </w:r>
      <w:r w:rsidR="001E43CB" w:rsidRPr="00EF198D">
        <w:rPr>
          <w:rFonts w:cstheme="minorHAnsi"/>
          <w:lang w:val="es-ES_tradnl"/>
        </w:rPr>
        <w:t>300 millones</w:t>
      </w:r>
      <w:r w:rsidR="00093E87" w:rsidRPr="00EF198D">
        <w:rPr>
          <w:rStyle w:val="FootnoteReference"/>
          <w:rFonts w:cstheme="minorHAnsi"/>
          <w:lang w:val="es-ES_tradnl"/>
        </w:rPr>
        <w:footnoteReference w:id="6"/>
      </w:r>
      <w:r w:rsidR="00093E87" w:rsidRPr="00EF198D">
        <w:rPr>
          <w:rFonts w:cstheme="minorHAnsi"/>
          <w:lang w:val="es-ES_tradnl"/>
        </w:rPr>
        <w:t xml:space="preserve">. </w:t>
      </w:r>
      <w:r w:rsidR="001E43CB" w:rsidRPr="00EF198D">
        <w:rPr>
          <w:rFonts w:cstheme="minorHAnsi"/>
          <w:color w:val="000000"/>
          <w:lang w:val="es-ES_tradnl"/>
        </w:rPr>
        <w:t>Los teléfonos inteligentes también pueden crear nuevas pautas de utilización para los usuarios que se hallan fuera del alcance de la conectividad fija. Desde la perspectiva de los países en desarrollo, los teléfonos inteligentes ofrecen una gran oportunidad para arraigar Internet en zonas que siguen careciendo de infraestructura de banda ancha cableada. En este sentido, además de ser un dispositivo fundamentalmente móvil, los teléfonos inteligentes pueden convertirse fácilmente en los principales dispositivos de acceso a Internet, sobre todo en algunos países en desarrollo</w:t>
      </w:r>
      <w:r w:rsidR="0053288C">
        <w:rPr>
          <w:rFonts w:cstheme="minorHAnsi"/>
          <w:lang w:val="es-ES_tradnl"/>
        </w:rPr>
        <w:t>.</w:t>
      </w:r>
    </w:p>
    <w:p w:rsidR="00093E87" w:rsidRPr="008642EF" w:rsidRDefault="00E767AC" w:rsidP="00007E5A">
      <w:pPr>
        <w:spacing w:before="120" w:after="0" w:line="240" w:lineRule="auto"/>
        <w:rPr>
          <w:lang w:val="es-ES_tradnl"/>
        </w:rPr>
      </w:pPr>
      <w:r w:rsidRPr="008642EF">
        <w:rPr>
          <w:lang w:val="es-ES_tradnl"/>
        </w:rPr>
        <w:t xml:space="preserve">El </w:t>
      </w:r>
      <w:r w:rsidR="00177BB9" w:rsidRPr="008642EF">
        <w:rPr>
          <w:lang w:val="es-ES_tradnl"/>
        </w:rPr>
        <w:t xml:space="preserve">aumento del número de usuarios, tráfico y aplicaciones </w:t>
      </w:r>
      <w:r w:rsidRPr="008642EF">
        <w:rPr>
          <w:lang w:val="es-ES_tradnl"/>
        </w:rPr>
        <w:t xml:space="preserve">debería </w:t>
      </w:r>
      <w:r w:rsidR="00892AC2" w:rsidRPr="008642EF">
        <w:rPr>
          <w:lang w:val="es-ES_tradnl"/>
        </w:rPr>
        <w:t xml:space="preserve">propiciar </w:t>
      </w:r>
      <w:r w:rsidRPr="008642EF">
        <w:rPr>
          <w:lang w:val="es-ES_tradnl"/>
        </w:rPr>
        <w:t>que siguieran creciendo los ingresos de todo el sector de las TIC</w:t>
      </w:r>
      <w:r w:rsidR="00E70A65" w:rsidRPr="008642EF">
        <w:rPr>
          <w:lang w:val="es-ES_tradnl"/>
        </w:rPr>
        <w:t xml:space="preserve">, pese a que algunos </w:t>
      </w:r>
      <w:r w:rsidR="0098517B" w:rsidRPr="008642EF">
        <w:rPr>
          <w:lang w:val="es-ES_tradnl"/>
        </w:rPr>
        <w:t xml:space="preserve">nuevos actores </w:t>
      </w:r>
      <w:r w:rsidR="00E70A65" w:rsidRPr="008642EF">
        <w:rPr>
          <w:lang w:val="es-ES_tradnl"/>
        </w:rPr>
        <w:t>d</w:t>
      </w:r>
      <w:r w:rsidR="0098517B" w:rsidRPr="008642EF">
        <w:rPr>
          <w:lang w:val="es-ES_tradnl"/>
        </w:rPr>
        <w:t xml:space="preserve">el sector parecen dispuestos a asumir </w:t>
      </w:r>
      <w:r w:rsidR="00892AC2" w:rsidRPr="008642EF">
        <w:rPr>
          <w:lang w:val="es-ES_tradnl"/>
        </w:rPr>
        <w:t xml:space="preserve">una cuota </w:t>
      </w:r>
      <w:r w:rsidR="00E70A65" w:rsidRPr="008642EF">
        <w:rPr>
          <w:lang w:val="es-ES_tradnl"/>
        </w:rPr>
        <w:t>mayor</w:t>
      </w:r>
      <w:r w:rsidR="0098517B" w:rsidRPr="008642EF">
        <w:rPr>
          <w:lang w:val="es-ES_tradnl"/>
        </w:rPr>
        <w:t>. Los ingresos totales de los operadores de telecomunicaciones tradicionales podrían aumentar</w:t>
      </w:r>
      <w:r w:rsidR="00892AC2" w:rsidRPr="008642EF">
        <w:rPr>
          <w:lang w:val="es-ES_tradnl"/>
        </w:rPr>
        <w:t xml:space="preserve"> pese a que cabe la posibilidad de que </w:t>
      </w:r>
      <w:r w:rsidR="00E70A65" w:rsidRPr="008642EF">
        <w:rPr>
          <w:lang w:val="es-ES_tradnl"/>
        </w:rPr>
        <w:t xml:space="preserve">en </w:t>
      </w:r>
      <w:r w:rsidR="0098517B" w:rsidRPr="008642EF">
        <w:rPr>
          <w:lang w:val="es-ES_tradnl"/>
        </w:rPr>
        <w:t>2020</w:t>
      </w:r>
      <w:r w:rsidR="00892AC2" w:rsidRPr="008642EF">
        <w:rPr>
          <w:lang w:val="es-ES_tradnl"/>
        </w:rPr>
        <w:t xml:space="preserve"> </w:t>
      </w:r>
      <w:r w:rsidRPr="008642EF">
        <w:rPr>
          <w:lang w:val="es-ES_tradnl"/>
        </w:rPr>
        <w:t xml:space="preserve">hayan perdido </w:t>
      </w:r>
      <w:r w:rsidR="0098517B" w:rsidRPr="008642EF">
        <w:rPr>
          <w:lang w:val="es-ES_tradnl"/>
        </w:rPr>
        <w:t>hasta un 6,9% de los ingresos acumulados por servicios de voz (a saber, 479</w:t>
      </w:r>
      <w:r w:rsidR="00007E5A">
        <w:rPr>
          <w:lang w:val="es-ES_tradnl"/>
        </w:rPr>
        <w:t> </w:t>
      </w:r>
      <w:r w:rsidR="0098517B" w:rsidRPr="008642EF">
        <w:rPr>
          <w:lang w:val="es-ES_tradnl"/>
        </w:rPr>
        <w:t>000 millones USD) en favor de los servicios superpuestos</w:t>
      </w:r>
      <w:r w:rsidR="00053375" w:rsidRPr="008642EF">
        <w:rPr>
          <w:lang w:val="es-ES_tradnl"/>
        </w:rPr>
        <w:t xml:space="preserve"> de voz sobre IP</w:t>
      </w:r>
      <w:r w:rsidR="00007E5A" w:rsidRPr="008642EF">
        <w:rPr>
          <w:rStyle w:val="FootnoteReference"/>
          <w:rFonts w:cstheme="minorHAnsi"/>
          <w:lang w:val="es-ES_tradnl"/>
        </w:rPr>
        <w:footnoteReference w:id="7"/>
      </w:r>
      <w:r w:rsidR="00093E87" w:rsidRPr="008642EF">
        <w:rPr>
          <w:lang w:val="es-ES_tradnl"/>
        </w:rPr>
        <w:t xml:space="preserve">. </w:t>
      </w:r>
      <w:r w:rsidR="0098517B" w:rsidRPr="008642EF">
        <w:rPr>
          <w:lang w:val="es-ES_tradnl"/>
        </w:rPr>
        <w:t>En otro ámbito estrechamente relacionado, el mercado de la computación en la nube tenía en 2011 un valor de 18</w:t>
      </w:r>
      <w:r w:rsidR="00007E5A">
        <w:rPr>
          <w:lang w:val="es-ES_tradnl"/>
        </w:rPr>
        <w:t> </w:t>
      </w:r>
      <w:r w:rsidR="0098517B" w:rsidRPr="008642EF">
        <w:rPr>
          <w:lang w:val="es-ES_tradnl"/>
        </w:rPr>
        <w:t xml:space="preserve">000 millones USD y, según las previsiones, </w:t>
      </w:r>
      <w:r w:rsidRPr="008642EF">
        <w:rPr>
          <w:lang w:val="es-ES_tradnl"/>
        </w:rPr>
        <w:t xml:space="preserve">este valor llegará </w:t>
      </w:r>
      <w:r w:rsidR="0098517B" w:rsidRPr="008642EF">
        <w:rPr>
          <w:lang w:val="es-ES_tradnl"/>
        </w:rPr>
        <w:t xml:space="preserve">en 2013 </w:t>
      </w:r>
      <w:r w:rsidRPr="008642EF">
        <w:rPr>
          <w:lang w:val="es-ES_tradnl"/>
        </w:rPr>
        <w:t xml:space="preserve">a los </w:t>
      </w:r>
      <w:r w:rsidR="0098517B" w:rsidRPr="008642EF">
        <w:rPr>
          <w:lang w:val="es-ES_tradnl"/>
        </w:rPr>
        <w:t>32</w:t>
      </w:r>
      <w:r w:rsidR="00007E5A">
        <w:rPr>
          <w:lang w:val="es-ES_tradnl"/>
        </w:rPr>
        <w:t> </w:t>
      </w:r>
      <w:r w:rsidR="0098517B" w:rsidRPr="008642EF">
        <w:rPr>
          <w:lang w:val="es-ES_tradnl"/>
        </w:rPr>
        <w:t>000 millones</w:t>
      </w:r>
      <w:r w:rsidR="00093E87" w:rsidRPr="008642EF">
        <w:rPr>
          <w:rStyle w:val="FootnoteReference"/>
          <w:rFonts w:cstheme="minorHAnsi"/>
          <w:lang w:val="es-ES_tradnl"/>
        </w:rPr>
        <w:footnoteReference w:id="8"/>
      </w:r>
      <w:r w:rsidR="00093E87" w:rsidRPr="008642EF">
        <w:rPr>
          <w:lang w:val="es-ES_tradnl"/>
        </w:rPr>
        <w:t xml:space="preserve">, </w:t>
      </w:r>
      <w:r w:rsidR="0098517B" w:rsidRPr="008642EF">
        <w:rPr>
          <w:lang w:val="es-ES_tradnl"/>
        </w:rPr>
        <w:t xml:space="preserve">gracias a la gran cantidad de datos almacenados en la nube y que representan </w:t>
      </w:r>
      <w:r w:rsidR="001D42E0" w:rsidRPr="008642EF">
        <w:rPr>
          <w:lang w:val="es-ES_tradnl"/>
        </w:rPr>
        <w:t xml:space="preserve">actualmente </w:t>
      </w:r>
      <w:r w:rsidR="0098517B" w:rsidRPr="008642EF">
        <w:rPr>
          <w:lang w:val="es-ES_tradnl"/>
        </w:rPr>
        <w:t>dos tercios del tráfico del centro de datos en todo el mundo</w:t>
      </w:r>
      <w:r w:rsidR="00007E5A" w:rsidRPr="008642EF">
        <w:rPr>
          <w:rStyle w:val="FootnoteReference"/>
          <w:rFonts w:cstheme="minorHAnsi"/>
          <w:lang w:val="es-ES_tradnl"/>
        </w:rPr>
        <w:footnoteReference w:id="9"/>
      </w:r>
      <w:r w:rsidR="00093E87" w:rsidRPr="008642EF">
        <w:rPr>
          <w:lang w:val="es-ES_tradnl"/>
        </w:rPr>
        <w:t>.</w:t>
      </w:r>
    </w:p>
    <w:p w:rsidR="00093E87" w:rsidRPr="007D794C" w:rsidRDefault="0098517B" w:rsidP="00BA4A72">
      <w:pPr>
        <w:spacing w:before="240" w:after="0" w:line="240" w:lineRule="auto"/>
        <w:rPr>
          <w:b/>
          <w:bCs/>
          <w:i/>
          <w:iCs/>
          <w:lang w:val="es-ES_tradnl"/>
        </w:rPr>
      </w:pPr>
      <w:r w:rsidRPr="007D794C">
        <w:rPr>
          <w:b/>
          <w:bCs/>
          <w:i/>
          <w:iCs/>
          <w:lang w:val="es-ES_tradnl"/>
        </w:rPr>
        <w:t>Adaptación al cambio</w:t>
      </w:r>
    </w:p>
    <w:p w:rsidR="00093E87" w:rsidRPr="008642EF" w:rsidRDefault="0098517B" w:rsidP="00BA4A72">
      <w:pPr>
        <w:spacing w:before="120" w:after="120" w:line="240" w:lineRule="auto"/>
        <w:rPr>
          <w:rFonts w:cstheme="minorHAnsi"/>
          <w:szCs w:val="21"/>
          <w:lang w:val="es-ES_tradnl"/>
        </w:rPr>
      </w:pPr>
      <w:r w:rsidRPr="008642EF">
        <w:rPr>
          <w:lang w:val="es-ES_tradnl"/>
        </w:rPr>
        <w:t xml:space="preserve">En esta época de transición, los </w:t>
      </w:r>
      <w:r w:rsidR="001D42E0" w:rsidRPr="008642EF">
        <w:rPr>
          <w:lang w:val="es-ES_tradnl"/>
        </w:rPr>
        <w:t xml:space="preserve">responsables de formular políticas </w:t>
      </w:r>
      <w:r w:rsidRPr="008642EF">
        <w:rPr>
          <w:lang w:val="es-ES_tradnl"/>
        </w:rPr>
        <w:t xml:space="preserve">y los organismos reguladores </w:t>
      </w:r>
      <w:r w:rsidR="007F6757" w:rsidRPr="008642EF">
        <w:rPr>
          <w:lang w:val="es-ES_tradnl"/>
        </w:rPr>
        <w:t xml:space="preserve">deben preguntarse </w:t>
      </w:r>
      <w:r w:rsidRPr="008642EF">
        <w:rPr>
          <w:lang w:val="es-ES_tradnl"/>
        </w:rPr>
        <w:t xml:space="preserve">seriamente si sus marcos jurídicos y reglamentarios </w:t>
      </w:r>
      <w:r w:rsidR="001D42E0" w:rsidRPr="008642EF">
        <w:rPr>
          <w:lang w:val="es-ES_tradnl"/>
        </w:rPr>
        <w:t xml:space="preserve">podrán </w:t>
      </w:r>
      <w:r w:rsidRPr="008642EF">
        <w:rPr>
          <w:lang w:val="es-ES_tradnl"/>
        </w:rPr>
        <w:t>responder con eficacia a los cambios en el panorama de las TIC</w:t>
      </w:r>
      <w:r w:rsidR="00892AC2" w:rsidRPr="008642EF">
        <w:rPr>
          <w:lang w:val="es-ES_tradnl"/>
        </w:rPr>
        <w:t xml:space="preserve"> y</w:t>
      </w:r>
      <w:r w:rsidRPr="008642EF">
        <w:rPr>
          <w:lang w:val="es-ES_tradnl"/>
        </w:rPr>
        <w:t xml:space="preserve"> </w:t>
      </w:r>
      <w:r w:rsidR="001D42E0" w:rsidRPr="008642EF">
        <w:rPr>
          <w:lang w:val="es-ES_tradnl"/>
        </w:rPr>
        <w:t xml:space="preserve">garantizar </w:t>
      </w:r>
      <w:r w:rsidR="00892AC2" w:rsidRPr="008642EF">
        <w:rPr>
          <w:lang w:val="es-ES_tradnl"/>
        </w:rPr>
        <w:t xml:space="preserve">que las redes y los proveedores de servicios no se libran a </w:t>
      </w:r>
      <w:r w:rsidR="001D42E0" w:rsidRPr="008642EF">
        <w:rPr>
          <w:lang w:val="es-ES_tradnl"/>
        </w:rPr>
        <w:t xml:space="preserve">prácticas discriminatorias </w:t>
      </w:r>
      <w:r w:rsidR="00892AC2" w:rsidRPr="008642EF">
        <w:rPr>
          <w:lang w:val="es-ES_tradnl"/>
        </w:rPr>
        <w:t>y aseguran la transparencia de la información</w:t>
      </w:r>
      <w:r w:rsidR="00093E87" w:rsidRPr="008642EF">
        <w:rPr>
          <w:rFonts w:cstheme="minorHAnsi"/>
          <w:szCs w:val="21"/>
          <w:lang w:val="es-ES_tradnl"/>
        </w:rPr>
        <w:t xml:space="preserve">. </w:t>
      </w:r>
    </w:p>
    <w:p w:rsidR="00093E87" w:rsidRPr="008642EF" w:rsidRDefault="00C25630" w:rsidP="00BA4A72">
      <w:pPr>
        <w:spacing w:before="120" w:after="0" w:line="240" w:lineRule="auto"/>
        <w:rPr>
          <w:lang w:val="es-ES_tradnl"/>
        </w:rPr>
      </w:pPr>
      <w:r w:rsidRPr="008642EF">
        <w:rPr>
          <w:lang w:val="es-ES_tradnl"/>
        </w:rPr>
        <w:t xml:space="preserve">En las últimas dos décadas se ha confirmado la eficacia de los tres objetivos fundamentales de la reforma reglamentaria, a saber, separación de los organismos reguladores, competencia y privatización </w:t>
      </w:r>
      <w:r w:rsidR="00093E87" w:rsidRPr="008642EF">
        <w:rPr>
          <w:lang w:val="es-ES_tradnl"/>
        </w:rPr>
        <w:t>(</w:t>
      </w:r>
      <w:r w:rsidRPr="008642EF">
        <w:rPr>
          <w:lang w:val="es-ES_tradnl"/>
        </w:rPr>
        <w:t xml:space="preserve">véase la Figura </w:t>
      </w:r>
      <w:r w:rsidR="00093E87" w:rsidRPr="008642EF">
        <w:rPr>
          <w:lang w:val="es-ES_tradnl"/>
        </w:rPr>
        <w:t xml:space="preserve">1.x). </w:t>
      </w:r>
      <w:r w:rsidRPr="008642EF">
        <w:rPr>
          <w:lang w:val="es-ES_tradnl"/>
        </w:rPr>
        <w:t xml:space="preserve">Gracias a la adopción, la adaptación y, a menudo, la restructuración de </w:t>
      </w:r>
      <w:r w:rsidR="001D42E0" w:rsidRPr="008642EF">
        <w:rPr>
          <w:lang w:val="es-ES_tradnl"/>
        </w:rPr>
        <w:t xml:space="preserve">cualquiera de </w:t>
      </w:r>
      <w:r w:rsidRPr="008642EF">
        <w:rPr>
          <w:lang w:val="es-ES_tradnl"/>
        </w:rPr>
        <w:t xml:space="preserve">estos tres aspectos, países </w:t>
      </w:r>
      <w:r w:rsidR="001D42E0" w:rsidRPr="008642EF">
        <w:rPr>
          <w:lang w:val="es-ES_tradnl"/>
        </w:rPr>
        <w:t xml:space="preserve">de todo el </w:t>
      </w:r>
      <w:r w:rsidRPr="008642EF">
        <w:rPr>
          <w:lang w:val="es-ES_tradnl"/>
        </w:rPr>
        <w:t xml:space="preserve">mundo han reactivado sus mercados de tecnologías de la información y la comunicación, iniciando así una transformación irreversible hacia </w:t>
      </w:r>
      <w:r w:rsidR="007F6757" w:rsidRPr="008642EF">
        <w:rPr>
          <w:lang w:val="es-ES_tradnl"/>
        </w:rPr>
        <w:t xml:space="preserve">las </w:t>
      </w:r>
      <w:r w:rsidRPr="008642EF">
        <w:rPr>
          <w:lang w:val="es-ES_tradnl"/>
        </w:rPr>
        <w:t>economías digitales</w:t>
      </w:r>
      <w:r w:rsidR="00093E87" w:rsidRPr="008642EF">
        <w:rPr>
          <w:lang w:val="es-ES_tradnl"/>
        </w:rPr>
        <w:t xml:space="preserve">. </w:t>
      </w:r>
      <w:r w:rsidRPr="008642EF">
        <w:rPr>
          <w:lang w:val="es-ES_tradnl"/>
        </w:rPr>
        <w:t xml:space="preserve">Aunque el número de reguladores continúa su lento pero </w:t>
      </w:r>
      <w:r w:rsidRPr="008642EF">
        <w:rPr>
          <w:lang w:val="es-ES_tradnl"/>
        </w:rPr>
        <w:lastRenderedPageBreak/>
        <w:t>inexorable crecimiento, las privatizaciones se han frenado considerablemente durante los últimos cinco años</w:t>
      </w:r>
      <w:r w:rsidR="001D42E0" w:rsidRPr="008642EF">
        <w:rPr>
          <w:lang w:val="es-ES_tradnl"/>
        </w:rPr>
        <w:t>,</w:t>
      </w:r>
      <w:r w:rsidRPr="008642EF">
        <w:rPr>
          <w:lang w:val="es-ES_tradnl"/>
        </w:rPr>
        <w:t xml:space="preserve"> probablemente </w:t>
      </w:r>
      <w:r w:rsidR="007F6757" w:rsidRPr="008642EF">
        <w:rPr>
          <w:lang w:val="es-ES_tradnl"/>
        </w:rPr>
        <w:t xml:space="preserve">a causa de </w:t>
      </w:r>
      <w:r w:rsidRPr="008642EF">
        <w:rPr>
          <w:lang w:val="es-ES_tradnl"/>
        </w:rPr>
        <w:t xml:space="preserve">la crisis financiera mundial y </w:t>
      </w:r>
      <w:r w:rsidR="007F6757" w:rsidRPr="008642EF">
        <w:rPr>
          <w:lang w:val="es-ES_tradnl"/>
        </w:rPr>
        <w:t xml:space="preserve">de </w:t>
      </w:r>
      <w:r w:rsidRPr="008642EF">
        <w:rPr>
          <w:lang w:val="es-ES_tradnl"/>
        </w:rPr>
        <w:t>la nueva dinámica del sector de las TIC, que suele ofrecer ahora múltiples oportunidades de entrada al mercado gracias a la simplificación del régimen de adjudicación de licencias</w:t>
      </w:r>
      <w:r w:rsidR="00093E87" w:rsidRPr="008642EF">
        <w:rPr>
          <w:lang w:val="es-ES_tradnl"/>
        </w:rPr>
        <w:t>.</w:t>
      </w:r>
    </w:p>
    <w:p w:rsidR="00093E87" w:rsidRPr="0053288C" w:rsidRDefault="00C25630" w:rsidP="0053288C">
      <w:pPr>
        <w:keepNext/>
        <w:spacing w:before="240" w:after="120" w:line="240" w:lineRule="auto"/>
        <w:rPr>
          <w:b/>
          <w:bCs/>
          <w:lang w:val="es-ES_tradnl"/>
        </w:rPr>
      </w:pPr>
      <w:r w:rsidRPr="0053288C">
        <w:rPr>
          <w:b/>
          <w:bCs/>
          <w:lang w:val="es-ES_tradnl"/>
        </w:rPr>
        <w:t>Figura</w:t>
      </w:r>
      <w:r w:rsidR="00093E87" w:rsidRPr="0053288C">
        <w:rPr>
          <w:b/>
          <w:bCs/>
          <w:lang w:val="es-ES_tradnl"/>
        </w:rPr>
        <w:t xml:space="preserve"> 1.2</w:t>
      </w:r>
      <w:r w:rsidR="00354D62">
        <w:rPr>
          <w:b/>
          <w:bCs/>
          <w:lang w:val="es-ES_tradnl"/>
        </w:rPr>
        <w:t>:</w:t>
      </w:r>
      <w:r w:rsidR="00093E87" w:rsidRPr="0053288C">
        <w:rPr>
          <w:b/>
          <w:bCs/>
          <w:lang w:val="es-ES_tradnl"/>
        </w:rPr>
        <w:t xml:space="preserve"> </w:t>
      </w:r>
      <w:r w:rsidRPr="0053288C">
        <w:rPr>
          <w:b/>
          <w:bCs/>
          <w:lang w:val="es-ES_tradnl"/>
        </w:rPr>
        <w:t xml:space="preserve">Tendencias en </w:t>
      </w:r>
      <w:r w:rsidR="004C6A03" w:rsidRPr="0053288C">
        <w:rPr>
          <w:b/>
          <w:bCs/>
          <w:lang w:val="es-ES_tradnl"/>
        </w:rPr>
        <w:t>materia de</w:t>
      </w:r>
      <w:r w:rsidRPr="0053288C">
        <w:rPr>
          <w:b/>
          <w:bCs/>
          <w:lang w:val="es-ES_tradnl"/>
        </w:rPr>
        <w:t xml:space="preserve"> liberalización y </w:t>
      </w:r>
      <w:r w:rsidR="004C6A03" w:rsidRPr="0053288C">
        <w:rPr>
          <w:b/>
          <w:bCs/>
          <w:lang w:val="es-ES_tradnl"/>
        </w:rPr>
        <w:t xml:space="preserve">de </w:t>
      </w:r>
      <w:r w:rsidRPr="0053288C">
        <w:rPr>
          <w:b/>
          <w:bCs/>
          <w:lang w:val="es-ES_tradnl"/>
        </w:rPr>
        <w:t>reforma en la última década</w:t>
      </w:r>
    </w:p>
    <w:p w:rsidR="00093E87" w:rsidRPr="00706543" w:rsidRDefault="00093E87" w:rsidP="00F60529">
      <w:pPr>
        <w:spacing w:before="120" w:after="0" w:line="240" w:lineRule="auto"/>
        <w:rPr>
          <w:i/>
          <w:iCs/>
          <w:sz w:val="18"/>
          <w:szCs w:val="18"/>
          <w:lang w:val="es-ES_tradnl"/>
        </w:rPr>
      </w:pPr>
      <w:r w:rsidRPr="00706543">
        <w:rPr>
          <w:i/>
          <w:iCs/>
          <w:noProof/>
          <w:sz w:val="18"/>
          <w:szCs w:val="18"/>
          <w:lang w:eastAsia="en-US"/>
        </w:rPr>
        <w:drawing>
          <wp:anchor distT="0" distB="0" distL="114300" distR="114300" simplePos="0" relativeHeight="251659264" behindDoc="0" locked="0" layoutInCell="1" allowOverlap="1" wp14:anchorId="7D84B424" wp14:editId="66FFC77B">
            <wp:simplePos x="0" y="0"/>
            <wp:positionH relativeFrom="margin">
              <wp:align>left</wp:align>
            </wp:positionH>
            <wp:positionV relativeFrom="paragraph">
              <wp:posOffset>5715</wp:posOffset>
            </wp:positionV>
            <wp:extent cx="4093845" cy="2189480"/>
            <wp:effectExtent l="0" t="0" r="1905" b="1270"/>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53288C">
        <w:rPr>
          <w:sz w:val="18"/>
          <w:szCs w:val="18"/>
          <w:lang w:val="es-ES_tradnl"/>
        </w:rPr>
        <w:t>Origen</w:t>
      </w:r>
      <w:r w:rsidRPr="00706543">
        <w:rPr>
          <w:sz w:val="18"/>
          <w:szCs w:val="18"/>
          <w:lang w:val="es-ES_tradnl"/>
        </w:rPr>
        <w:t xml:space="preserve">: </w:t>
      </w:r>
      <w:r w:rsidR="00F60529" w:rsidRPr="00053375">
        <w:rPr>
          <w:sz w:val="18"/>
          <w:szCs w:val="18"/>
          <w:lang w:val="es-ES_tradnl"/>
        </w:rPr>
        <w:t>B</w:t>
      </w:r>
      <w:r w:rsidR="00F60529" w:rsidRPr="00215D37">
        <w:rPr>
          <w:sz w:val="18"/>
          <w:szCs w:val="18"/>
          <w:lang w:val="es-ES_tradnl"/>
        </w:rPr>
        <w:t>ase de datos de la UIT sobre Indicadores mundiales de las telecomunicaciones/TIC</w:t>
      </w:r>
      <w:r w:rsidRPr="00706543">
        <w:rPr>
          <w:sz w:val="18"/>
          <w:szCs w:val="18"/>
          <w:lang w:val="es-ES_tradnl"/>
        </w:rPr>
        <w:t>.</w:t>
      </w:r>
    </w:p>
    <w:p w:rsidR="00093E87" w:rsidRPr="00EF198D" w:rsidRDefault="00C25630" w:rsidP="00261C0B">
      <w:pPr>
        <w:spacing w:before="240" w:after="0" w:line="240" w:lineRule="auto"/>
        <w:rPr>
          <w:sz w:val="18"/>
          <w:szCs w:val="18"/>
          <w:lang w:val="es-ES_tradnl"/>
        </w:rPr>
      </w:pPr>
      <w:r w:rsidRPr="00EF198D">
        <w:rPr>
          <w:sz w:val="18"/>
          <w:szCs w:val="18"/>
          <w:lang w:val="es-ES_tradnl"/>
        </w:rPr>
        <w:t>Leyenda</w:t>
      </w:r>
      <w:r w:rsidR="00706543">
        <w:rPr>
          <w:sz w:val="18"/>
          <w:szCs w:val="18"/>
          <w:lang w:val="es-ES_tradnl"/>
        </w:rPr>
        <w:t>s</w:t>
      </w:r>
      <w:r w:rsidRPr="00EF198D">
        <w:rPr>
          <w:sz w:val="18"/>
          <w:szCs w:val="18"/>
          <w:lang w:val="es-ES_tradnl"/>
        </w:rPr>
        <w:t xml:space="preserve"> de la </w:t>
      </w:r>
      <w:r w:rsidR="00A91BB0" w:rsidRPr="00EF198D">
        <w:rPr>
          <w:sz w:val="18"/>
          <w:szCs w:val="18"/>
          <w:lang w:val="es-ES_tradnl"/>
        </w:rPr>
        <w:t>F</w:t>
      </w:r>
      <w:r w:rsidRPr="00EF198D">
        <w:rPr>
          <w:sz w:val="18"/>
          <w:szCs w:val="18"/>
          <w:lang w:val="es-ES_tradnl"/>
        </w:rPr>
        <w:t>igura:</w:t>
      </w:r>
    </w:p>
    <w:p w:rsidR="00C25630" w:rsidRPr="00EF198D" w:rsidRDefault="00C25630" w:rsidP="00EF198D">
      <w:pPr>
        <w:spacing w:after="0" w:line="240" w:lineRule="auto"/>
        <w:rPr>
          <w:sz w:val="18"/>
          <w:szCs w:val="18"/>
          <w:lang w:val="es-ES_tradnl"/>
        </w:rPr>
      </w:pPr>
      <w:r w:rsidRPr="00EF198D">
        <w:rPr>
          <w:sz w:val="18"/>
          <w:szCs w:val="18"/>
          <w:lang w:val="es-ES_tradnl"/>
        </w:rPr>
        <w:t>1 - Nº de países</w:t>
      </w:r>
    </w:p>
    <w:p w:rsidR="00C25630" w:rsidRPr="00EF198D" w:rsidRDefault="00C25630" w:rsidP="00EF198D">
      <w:pPr>
        <w:spacing w:after="0" w:line="240" w:lineRule="auto"/>
        <w:rPr>
          <w:sz w:val="18"/>
          <w:szCs w:val="18"/>
          <w:lang w:val="es-ES_tradnl"/>
        </w:rPr>
      </w:pPr>
      <w:r w:rsidRPr="00EF198D">
        <w:rPr>
          <w:sz w:val="18"/>
          <w:szCs w:val="18"/>
          <w:lang w:val="es-ES_tradnl"/>
        </w:rPr>
        <w:t>2 - Reguladores</w:t>
      </w:r>
    </w:p>
    <w:p w:rsidR="00C25630" w:rsidRPr="00EF198D" w:rsidRDefault="00C25630" w:rsidP="00EF198D">
      <w:pPr>
        <w:spacing w:after="0" w:line="240" w:lineRule="auto"/>
        <w:rPr>
          <w:sz w:val="18"/>
          <w:szCs w:val="18"/>
          <w:lang w:val="es-ES_tradnl"/>
        </w:rPr>
      </w:pPr>
      <w:r w:rsidRPr="00EF198D">
        <w:rPr>
          <w:sz w:val="18"/>
          <w:szCs w:val="18"/>
          <w:lang w:val="es-ES_tradnl"/>
        </w:rPr>
        <w:t>3 - Competencia</w:t>
      </w:r>
    </w:p>
    <w:p w:rsidR="00C25630" w:rsidRPr="00EF198D" w:rsidRDefault="003B484F" w:rsidP="00EF198D">
      <w:pPr>
        <w:spacing w:after="0" w:line="240" w:lineRule="auto"/>
        <w:rPr>
          <w:sz w:val="18"/>
          <w:szCs w:val="18"/>
          <w:lang w:val="es-ES_tradnl"/>
        </w:rPr>
      </w:pPr>
      <w:r>
        <w:rPr>
          <w:sz w:val="18"/>
          <w:szCs w:val="18"/>
          <w:lang w:val="es-ES_tradnl"/>
        </w:rPr>
        <w:t>4 - Privatización</w:t>
      </w:r>
    </w:p>
    <w:p w:rsidR="00093E87" w:rsidRPr="008642EF" w:rsidRDefault="00C25630" w:rsidP="00273F6A">
      <w:pPr>
        <w:spacing w:before="120" w:after="0" w:line="240" w:lineRule="auto"/>
        <w:rPr>
          <w:lang w:val="es-ES_tradnl"/>
        </w:rPr>
      </w:pPr>
      <w:r w:rsidRPr="008642EF">
        <w:rPr>
          <w:lang w:val="es-ES_tradnl"/>
        </w:rPr>
        <w:t xml:space="preserve">La adopción de </w:t>
      </w:r>
      <w:r w:rsidR="007F6757" w:rsidRPr="008642EF">
        <w:rPr>
          <w:lang w:val="es-ES_tradnl"/>
        </w:rPr>
        <w:t xml:space="preserve">unos </w:t>
      </w:r>
      <w:r w:rsidRPr="008642EF">
        <w:rPr>
          <w:lang w:val="es-ES_tradnl"/>
        </w:rPr>
        <w:t xml:space="preserve">instrumentos </w:t>
      </w:r>
      <w:r w:rsidR="007F6757" w:rsidRPr="008642EF">
        <w:rPr>
          <w:lang w:val="es-ES_tradnl"/>
        </w:rPr>
        <w:t xml:space="preserve">reguladores </w:t>
      </w:r>
      <w:r w:rsidRPr="008642EF">
        <w:rPr>
          <w:lang w:val="es-ES_tradnl"/>
        </w:rPr>
        <w:t xml:space="preserve">adecuados para responder a los nuevos comportamientos del mercado y la creciente necesidad de protección del consumidor </w:t>
      </w:r>
      <w:r w:rsidR="007F6757" w:rsidRPr="008642EF">
        <w:rPr>
          <w:lang w:val="es-ES_tradnl"/>
        </w:rPr>
        <w:t xml:space="preserve">son factores que, en el entorno convergente actual, </w:t>
      </w:r>
      <w:r w:rsidR="00813B9F" w:rsidRPr="008642EF">
        <w:rPr>
          <w:lang w:val="es-ES_tradnl"/>
        </w:rPr>
        <w:t>adquieren, a ojos de los reguladores, una complejidad cada vez mayor</w:t>
      </w:r>
      <w:r w:rsidR="00093E87" w:rsidRPr="008642EF">
        <w:rPr>
          <w:lang w:val="es-ES_tradnl"/>
        </w:rPr>
        <w:t xml:space="preserve">. </w:t>
      </w:r>
      <w:r w:rsidRPr="008642EF">
        <w:rPr>
          <w:lang w:val="es-ES_tradnl"/>
        </w:rPr>
        <w:t xml:space="preserve">Aunque existen motivos fundados para abogar por la competencia y </w:t>
      </w:r>
      <w:r w:rsidR="00813B9F" w:rsidRPr="008642EF">
        <w:rPr>
          <w:lang w:val="es-ES_tradnl"/>
        </w:rPr>
        <w:t xml:space="preserve">por </w:t>
      </w:r>
      <w:r w:rsidR="008E7549" w:rsidRPr="008642EF">
        <w:rPr>
          <w:lang w:val="es-ES_tradnl"/>
        </w:rPr>
        <w:t>un</w:t>
      </w:r>
      <w:r w:rsidRPr="008642EF">
        <w:rPr>
          <w:lang w:val="es-ES_tradnl"/>
        </w:rPr>
        <w:t xml:space="preserve">os enfoques </w:t>
      </w:r>
      <w:r w:rsidR="004C6A03" w:rsidRPr="008642EF">
        <w:rPr>
          <w:lang w:val="es-ES_tradnl"/>
        </w:rPr>
        <w:t xml:space="preserve">de </w:t>
      </w:r>
      <w:r w:rsidRPr="008642EF">
        <w:rPr>
          <w:lang w:val="es-ES_tradnl"/>
        </w:rPr>
        <w:t xml:space="preserve">mercado en lo que respecta a la banda ancha, los </w:t>
      </w:r>
      <w:r w:rsidR="00813B9F" w:rsidRPr="008642EF">
        <w:rPr>
          <w:lang w:val="es-ES_tradnl"/>
        </w:rPr>
        <w:t xml:space="preserve">responsables de formular </w:t>
      </w:r>
      <w:r w:rsidRPr="008642EF">
        <w:rPr>
          <w:lang w:val="es-ES_tradnl"/>
        </w:rPr>
        <w:t xml:space="preserve">políticas y los reguladores deben </w:t>
      </w:r>
      <w:r w:rsidR="008E7549" w:rsidRPr="008642EF">
        <w:rPr>
          <w:lang w:val="es-ES_tradnl"/>
        </w:rPr>
        <w:t xml:space="preserve">buscar </w:t>
      </w:r>
      <w:r w:rsidRPr="008642EF">
        <w:rPr>
          <w:lang w:val="es-ES_tradnl"/>
        </w:rPr>
        <w:t>un equilibrio entre las fuerzas del mercado y la necesidad de evitar el disfuncionamiento del mismo</w:t>
      </w:r>
      <w:r w:rsidR="00093E87" w:rsidRPr="008642EF">
        <w:rPr>
          <w:lang w:val="es-ES_tradnl"/>
        </w:rPr>
        <w:t xml:space="preserve">. </w:t>
      </w:r>
      <w:r w:rsidRPr="008642EF">
        <w:rPr>
          <w:lang w:val="es-ES_tradnl"/>
        </w:rPr>
        <w:t xml:space="preserve">Asimismo, deben evaluar, en cada nivel, si </w:t>
      </w:r>
      <w:r w:rsidR="008E7549" w:rsidRPr="008642EF">
        <w:rPr>
          <w:lang w:val="es-ES_tradnl"/>
        </w:rPr>
        <w:t xml:space="preserve">se necesita una </w:t>
      </w:r>
      <w:r w:rsidRPr="008642EF">
        <w:rPr>
          <w:lang w:val="es-ES_tradnl"/>
        </w:rPr>
        <w:t xml:space="preserve">regulación </w:t>
      </w:r>
      <w:r w:rsidRPr="008642EF">
        <w:rPr>
          <w:i/>
          <w:iCs/>
          <w:lang w:val="es-ES_tradnl"/>
        </w:rPr>
        <w:t>ex ante</w:t>
      </w:r>
      <w:r w:rsidRPr="008642EF">
        <w:rPr>
          <w:lang w:val="es-ES_tradnl"/>
        </w:rPr>
        <w:t xml:space="preserve"> o</w:t>
      </w:r>
      <w:r w:rsidR="008E7549" w:rsidRPr="008642EF">
        <w:rPr>
          <w:lang w:val="es-ES_tradnl"/>
        </w:rPr>
        <w:t>, por el contrario,</w:t>
      </w:r>
      <w:r w:rsidRPr="008642EF">
        <w:rPr>
          <w:lang w:val="es-ES_tradnl"/>
        </w:rPr>
        <w:t xml:space="preserve"> la situación debería dejarse en manos de una regulación </w:t>
      </w:r>
      <w:r w:rsidR="00093E87" w:rsidRPr="008642EF">
        <w:rPr>
          <w:i/>
          <w:lang w:val="es-ES_tradnl"/>
        </w:rPr>
        <w:t>ex post</w:t>
      </w:r>
      <w:r w:rsidR="00093E87" w:rsidRPr="008642EF">
        <w:rPr>
          <w:lang w:val="es-ES_tradnl"/>
        </w:rPr>
        <w:t xml:space="preserve">. </w:t>
      </w:r>
      <w:r w:rsidR="008E7549" w:rsidRPr="008642EF">
        <w:rPr>
          <w:lang w:val="es-ES_tradnl"/>
        </w:rPr>
        <w:t>A todo esto cabe añadir que</w:t>
      </w:r>
      <w:r w:rsidRPr="008642EF">
        <w:rPr>
          <w:lang w:val="es-ES_tradnl"/>
        </w:rPr>
        <w:t xml:space="preserve"> </w:t>
      </w:r>
      <w:r w:rsidR="008E7549" w:rsidRPr="008642EF">
        <w:rPr>
          <w:lang w:val="es-ES_tradnl"/>
        </w:rPr>
        <w:t xml:space="preserve">varios </w:t>
      </w:r>
      <w:r w:rsidRPr="008642EF">
        <w:rPr>
          <w:lang w:val="es-ES_tradnl"/>
        </w:rPr>
        <w:t xml:space="preserve">operadores </w:t>
      </w:r>
      <w:r w:rsidR="00813B9F" w:rsidRPr="008642EF">
        <w:rPr>
          <w:lang w:val="es-ES_tradnl"/>
        </w:rPr>
        <w:t xml:space="preserve">trabajan en un mismo mercado pero sujetos </w:t>
      </w:r>
      <w:r w:rsidRPr="008642EF">
        <w:rPr>
          <w:lang w:val="es-ES_tradnl"/>
        </w:rPr>
        <w:t>a regímenes diferentes</w:t>
      </w:r>
      <w:r w:rsidR="008E7549" w:rsidRPr="008642EF">
        <w:rPr>
          <w:lang w:val="es-ES_tradnl"/>
        </w:rPr>
        <w:t>;</w:t>
      </w:r>
      <w:r w:rsidRPr="008642EF">
        <w:rPr>
          <w:lang w:val="es-ES_tradnl"/>
        </w:rPr>
        <w:t xml:space="preserve"> por ejemplo, en la prestación de servicios de voz, los operadores de telecomunicaciones tradicionales no s</w:t>
      </w:r>
      <w:r w:rsidR="00273F6A">
        <w:rPr>
          <w:lang w:val="es-ES_tradnl"/>
        </w:rPr>
        <w:t>ó</w:t>
      </w:r>
      <w:r w:rsidRPr="008642EF">
        <w:rPr>
          <w:lang w:val="es-ES_tradnl"/>
        </w:rPr>
        <w:t>lo compiten con operadores de mercados adyacentes, como los PSI y los operadores de cable, sino con operadores de capas s</w:t>
      </w:r>
      <w:r w:rsidR="008E7549" w:rsidRPr="008642EF">
        <w:rPr>
          <w:lang w:val="es-ES_tradnl"/>
        </w:rPr>
        <w:t>u</w:t>
      </w:r>
      <w:r w:rsidRPr="008642EF">
        <w:rPr>
          <w:lang w:val="es-ES_tradnl"/>
        </w:rPr>
        <w:t>periores, como los proveedores de contenidos y aplicaciones como los servicios superpuestos</w:t>
      </w:r>
      <w:r w:rsidR="00093E87" w:rsidRPr="008642EF">
        <w:rPr>
          <w:lang w:val="es-ES_tradnl"/>
        </w:rPr>
        <w:t>.</w:t>
      </w:r>
    </w:p>
    <w:p w:rsidR="00093E87" w:rsidRPr="008642EF" w:rsidRDefault="00C25630" w:rsidP="00BA4A72">
      <w:pPr>
        <w:spacing w:before="120" w:after="0" w:line="240" w:lineRule="auto"/>
        <w:rPr>
          <w:lang w:val="es-ES_tradnl"/>
        </w:rPr>
      </w:pPr>
      <w:r w:rsidRPr="008642EF">
        <w:rPr>
          <w:lang w:val="es-ES_tradnl"/>
        </w:rPr>
        <w:t xml:space="preserve">Los países </w:t>
      </w:r>
      <w:r w:rsidR="00813B9F" w:rsidRPr="008642EF">
        <w:rPr>
          <w:lang w:val="es-ES_tradnl"/>
        </w:rPr>
        <w:t xml:space="preserve">no han dejado de trabajar </w:t>
      </w:r>
      <w:r w:rsidR="00B44CDA" w:rsidRPr="008642EF">
        <w:rPr>
          <w:lang w:val="es-ES_tradnl"/>
        </w:rPr>
        <w:t>por</w:t>
      </w:r>
      <w:r w:rsidR="00813B9F" w:rsidRPr="008642EF">
        <w:rPr>
          <w:lang w:val="es-ES_tradnl"/>
        </w:rPr>
        <w:t xml:space="preserve"> la liberalización de </w:t>
      </w:r>
      <w:r w:rsidRPr="008642EF">
        <w:rPr>
          <w:lang w:val="es-ES_tradnl"/>
        </w:rPr>
        <w:t>los mercados de las telecomunicaciones/TIC, de ahí que no sorprenda que</w:t>
      </w:r>
      <w:r w:rsidR="00B44CDA" w:rsidRPr="008642EF">
        <w:rPr>
          <w:lang w:val="es-ES_tradnl"/>
        </w:rPr>
        <w:t>,</w:t>
      </w:r>
      <w:r w:rsidRPr="008642EF">
        <w:rPr>
          <w:lang w:val="es-ES_tradnl"/>
        </w:rPr>
        <w:t xml:space="preserve"> en la mayoría de mercados de TIC de todo el mundo</w:t>
      </w:r>
      <w:r w:rsidR="00B44CDA" w:rsidRPr="008642EF">
        <w:rPr>
          <w:lang w:val="es-ES_tradnl"/>
        </w:rPr>
        <w:t>, la competencia sea hoy la norma</w:t>
      </w:r>
      <w:r w:rsidRPr="008642EF">
        <w:rPr>
          <w:lang w:val="es-ES_tradnl"/>
        </w:rPr>
        <w:t xml:space="preserve">. No obstante, garantizar que los consumidores pueden beneficiarse realmente de una mayor variedad y </w:t>
      </w:r>
      <w:r w:rsidR="00FF1BD7" w:rsidRPr="008642EF">
        <w:rPr>
          <w:lang w:val="es-ES_tradnl"/>
        </w:rPr>
        <w:t xml:space="preserve">que pueden </w:t>
      </w:r>
      <w:r w:rsidRPr="008642EF">
        <w:rPr>
          <w:lang w:val="es-ES_tradnl"/>
        </w:rPr>
        <w:t xml:space="preserve">cambiar </w:t>
      </w:r>
      <w:r w:rsidR="00FF1BD7" w:rsidRPr="008642EF">
        <w:rPr>
          <w:lang w:val="es-ES_tradnl"/>
        </w:rPr>
        <w:t xml:space="preserve">efectivamente </w:t>
      </w:r>
      <w:r w:rsidRPr="008642EF">
        <w:rPr>
          <w:lang w:val="es-ES_tradnl"/>
        </w:rPr>
        <w:t xml:space="preserve">de operador/proveedor sigue </w:t>
      </w:r>
      <w:r w:rsidR="00B44CDA" w:rsidRPr="008642EF">
        <w:rPr>
          <w:lang w:val="es-ES_tradnl"/>
        </w:rPr>
        <w:t xml:space="preserve">planteando problemas </w:t>
      </w:r>
      <w:r w:rsidRPr="008642EF">
        <w:rPr>
          <w:lang w:val="es-ES_tradnl"/>
        </w:rPr>
        <w:t xml:space="preserve">en muchos mercados liberalizados, hecho que </w:t>
      </w:r>
      <w:r w:rsidR="00813B9F" w:rsidRPr="008642EF">
        <w:rPr>
          <w:lang w:val="es-ES_tradnl"/>
        </w:rPr>
        <w:t xml:space="preserve">repercute </w:t>
      </w:r>
      <w:r w:rsidRPr="008642EF">
        <w:rPr>
          <w:lang w:val="es-ES_tradnl"/>
        </w:rPr>
        <w:t xml:space="preserve">negativamente en </w:t>
      </w:r>
      <w:r w:rsidR="00FF1BD7" w:rsidRPr="008642EF">
        <w:rPr>
          <w:lang w:val="es-ES_tradnl"/>
        </w:rPr>
        <w:t xml:space="preserve">su </w:t>
      </w:r>
      <w:r w:rsidRPr="008642EF">
        <w:rPr>
          <w:lang w:val="es-ES_tradnl"/>
        </w:rPr>
        <w:t xml:space="preserve">competitividad. </w:t>
      </w:r>
      <w:r w:rsidR="003F736A" w:rsidRPr="008642EF">
        <w:rPr>
          <w:lang w:val="es-ES_tradnl"/>
        </w:rPr>
        <w:t>L</w:t>
      </w:r>
      <w:r w:rsidRPr="008642EF">
        <w:rPr>
          <w:lang w:val="es-ES_tradnl"/>
        </w:rPr>
        <w:t>as dificultades a la hora de evaluar y elegir entre los distintos productos y precios</w:t>
      </w:r>
      <w:r w:rsidR="003F736A" w:rsidRPr="008642EF">
        <w:rPr>
          <w:lang w:val="es-ES_tradnl"/>
        </w:rPr>
        <w:t xml:space="preserve"> </w:t>
      </w:r>
      <w:r w:rsidR="005310EF" w:rsidRPr="008642EF">
        <w:rPr>
          <w:lang w:val="es-ES_tradnl"/>
        </w:rPr>
        <w:t xml:space="preserve">suelen </w:t>
      </w:r>
      <w:r w:rsidR="00FF1BD7" w:rsidRPr="008642EF">
        <w:rPr>
          <w:lang w:val="es-ES_tradnl"/>
        </w:rPr>
        <w:t xml:space="preserve">suponer un desafío para </w:t>
      </w:r>
      <w:r w:rsidR="005310EF" w:rsidRPr="008642EF">
        <w:rPr>
          <w:lang w:val="es-ES_tradnl"/>
        </w:rPr>
        <w:t xml:space="preserve">los consumidores, que </w:t>
      </w:r>
      <w:r w:rsidR="00FF1BD7" w:rsidRPr="008642EF">
        <w:rPr>
          <w:lang w:val="es-ES_tradnl"/>
        </w:rPr>
        <w:t xml:space="preserve">se abstienen de </w:t>
      </w:r>
      <w:r w:rsidR="003F736A" w:rsidRPr="008642EF">
        <w:rPr>
          <w:lang w:val="es-ES_tradnl"/>
        </w:rPr>
        <w:t xml:space="preserve">cambiar a otra compañía </w:t>
      </w:r>
      <w:r w:rsidRPr="008642EF">
        <w:rPr>
          <w:lang w:val="es-ES_tradnl"/>
        </w:rPr>
        <w:t xml:space="preserve">por la falta de claridad y la incertidumbre. </w:t>
      </w:r>
      <w:r w:rsidR="00FF1BD7" w:rsidRPr="008642EF">
        <w:rPr>
          <w:lang w:val="es-ES_tradnl"/>
        </w:rPr>
        <w:t xml:space="preserve">Otro tanto podría decirse de </w:t>
      </w:r>
      <w:r w:rsidR="005310EF" w:rsidRPr="008642EF">
        <w:rPr>
          <w:lang w:val="es-ES_tradnl"/>
        </w:rPr>
        <w:t xml:space="preserve">aquellas situaciones en </w:t>
      </w:r>
      <w:r w:rsidR="00FF1BD7" w:rsidRPr="008642EF">
        <w:rPr>
          <w:lang w:val="es-ES_tradnl"/>
        </w:rPr>
        <w:t xml:space="preserve">las </w:t>
      </w:r>
      <w:r w:rsidR="005310EF" w:rsidRPr="008642EF">
        <w:rPr>
          <w:lang w:val="es-ES_tradnl"/>
        </w:rPr>
        <w:t>que</w:t>
      </w:r>
      <w:r w:rsidR="00813B9F" w:rsidRPr="008642EF">
        <w:rPr>
          <w:lang w:val="es-ES_tradnl"/>
        </w:rPr>
        <w:t xml:space="preserve">, pese a que </w:t>
      </w:r>
      <w:r w:rsidR="005310EF" w:rsidRPr="008642EF">
        <w:rPr>
          <w:lang w:val="es-ES_tradnl"/>
        </w:rPr>
        <w:t>la portabilidad del número</w:t>
      </w:r>
      <w:r w:rsidR="00813B9F" w:rsidRPr="008642EF">
        <w:rPr>
          <w:lang w:val="es-ES_tradnl"/>
        </w:rPr>
        <w:t xml:space="preserve"> se considera un requisito</w:t>
      </w:r>
      <w:r w:rsidR="005310EF" w:rsidRPr="008642EF">
        <w:rPr>
          <w:lang w:val="es-ES_tradnl"/>
        </w:rPr>
        <w:t>, como sucede respectivamente en el 37% de los países en el caso de la telefonía móvil y en el 25% en el de la fija</w:t>
      </w:r>
      <w:r w:rsidR="00093E87" w:rsidRPr="008642EF">
        <w:rPr>
          <w:rStyle w:val="FootnoteReference"/>
          <w:lang w:val="es-ES_tradnl"/>
        </w:rPr>
        <w:footnoteReference w:id="10"/>
      </w:r>
      <w:r w:rsidR="00093E87" w:rsidRPr="008642EF">
        <w:rPr>
          <w:lang w:val="es-ES_tradnl"/>
        </w:rPr>
        <w:t xml:space="preserve">, </w:t>
      </w:r>
      <w:r w:rsidR="005310EF" w:rsidRPr="008642EF">
        <w:rPr>
          <w:lang w:val="es-ES_tradnl"/>
        </w:rPr>
        <w:t xml:space="preserve">los consumidores </w:t>
      </w:r>
      <w:r w:rsidR="00892AC2" w:rsidRPr="008642EF">
        <w:rPr>
          <w:lang w:val="es-ES_tradnl"/>
        </w:rPr>
        <w:t xml:space="preserve">deben </w:t>
      </w:r>
      <w:r w:rsidR="005310EF" w:rsidRPr="008642EF">
        <w:rPr>
          <w:lang w:val="es-ES_tradnl"/>
        </w:rPr>
        <w:t xml:space="preserve">abonar una cantidad suplementaria </w:t>
      </w:r>
      <w:r w:rsidR="00892AC2" w:rsidRPr="008642EF">
        <w:rPr>
          <w:lang w:val="es-ES_tradnl"/>
        </w:rPr>
        <w:t xml:space="preserve">para disfrutar de </w:t>
      </w:r>
      <w:r w:rsidR="005310EF" w:rsidRPr="008642EF">
        <w:rPr>
          <w:lang w:val="es-ES_tradnl"/>
        </w:rPr>
        <w:t>dicho servicio</w:t>
      </w:r>
      <w:r w:rsidR="00093E87" w:rsidRPr="008642EF">
        <w:rPr>
          <w:lang w:val="es-ES_tradnl"/>
        </w:rPr>
        <w:t>.</w:t>
      </w:r>
      <w:r w:rsidR="008642EF" w:rsidRPr="008642EF">
        <w:rPr>
          <w:lang w:val="es-ES_tradnl"/>
        </w:rPr>
        <w:t xml:space="preserve"> </w:t>
      </w:r>
    </w:p>
    <w:p w:rsidR="00093E87" w:rsidRPr="00EF198D" w:rsidRDefault="005310EF" w:rsidP="00007E5A">
      <w:pPr>
        <w:spacing w:before="120" w:after="120" w:line="240" w:lineRule="auto"/>
        <w:rPr>
          <w:rFonts w:cstheme="minorHAnsi"/>
          <w:lang w:val="es-ES_tradnl"/>
        </w:rPr>
      </w:pPr>
      <w:r w:rsidRPr="00EF198D">
        <w:rPr>
          <w:rFonts w:cstheme="minorHAnsi"/>
          <w:lang w:val="es-ES_tradnl"/>
        </w:rPr>
        <w:lastRenderedPageBreak/>
        <w:t xml:space="preserve">No obstante, la competencia encarnizada entre las distintas tecnologías de banda ancha móvil está obligando a los operadores móviles a diversificar su oferta de servicios </w:t>
      </w:r>
      <w:r w:rsidR="00167E8C" w:rsidRPr="00EF198D">
        <w:rPr>
          <w:rFonts w:cstheme="minorHAnsi"/>
          <w:lang w:val="es-ES_tradnl"/>
        </w:rPr>
        <w:t xml:space="preserve">e </w:t>
      </w:r>
      <w:r w:rsidRPr="00EF198D">
        <w:rPr>
          <w:rFonts w:cstheme="minorHAnsi"/>
          <w:lang w:val="es-ES_tradnl"/>
        </w:rPr>
        <w:t xml:space="preserve">innovar en términos de paquetes y precios. </w:t>
      </w:r>
      <w:r w:rsidRPr="00EF198D">
        <w:rPr>
          <w:rFonts w:cstheme="minorHAnsi"/>
          <w:color w:val="000000"/>
          <w:lang w:val="es-ES_tradnl"/>
        </w:rPr>
        <w:t xml:space="preserve">El mercado cada vez más abarrotado y competitivo de la banda ancha móvil </w:t>
      </w:r>
      <w:r w:rsidR="00EC0346" w:rsidRPr="00EF198D">
        <w:rPr>
          <w:rFonts w:cstheme="minorHAnsi"/>
          <w:color w:val="000000"/>
          <w:lang w:val="es-ES_tradnl"/>
        </w:rPr>
        <w:t>(</w:t>
      </w:r>
      <w:r w:rsidR="00167E8C" w:rsidRPr="00EF198D">
        <w:rPr>
          <w:rFonts w:cstheme="minorHAnsi"/>
          <w:color w:val="000000"/>
          <w:lang w:val="es-ES_tradnl"/>
        </w:rPr>
        <w:t>el</w:t>
      </w:r>
      <w:r w:rsidR="00007E5A">
        <w:rPr>
          <w:rFonts w:cstheme="minorHAnsi"/>
          <w:color w:val="000000"/>
          <w:lang w:val="es-ES_tradnl"/>
        </w:rPr>
        <w:t> </w:t>
      </w:r>
      <w:r w:rsidR="00EC0346" w:rsidRPr="00EF198D">
        <w:rPr>
          <w:rFonts w:cstheme="minorHAnsi"/>
          <w:color w:val="000000"/>
          <w:lang w:val="es-ES_tradnl"/>
        </w:rPr>
        <w:t xml:space="preserve">92% de los mercados de todo el mundo están abiertos a algún tipo de competencia) </w:t>
      </w:r>
      <w:r w:rsidRPr="00EF198D">
        <w:rPr>
          <w:rFonts w:cstheme="minorHAnsi"/>
          <w:color w:val="000000"/>
          <w:lang w:val="es-ES_tradnl"/>
        </w:rPr>
        <w:t xml:space="preserve">está </w:t>
      </w:r>
      <w:r w:rsidR="00813B9F" w:rsidRPr="00EF198D">
        <w:rPr>
          <w:rFonts w:cstheme="minorHAnsi"/>
          <w:color w:val="000000"/>
          <w:lang w:val="es-ES_tradnl"/>
        </w:rPr>
        <w:t xml:space="preserve">provocando </w:t>
      </w:r>
      <w:r w:rsidRPr="00EF198D">
        <w:rPr>
          <w:rFonts w:cstheme="minorHAnsi"/>
          <w:color w:val="000000"/>
          <w:lang w:val="es-ES_tradnl"/>
        </w:rPr>
        <w:t>un florecimiento de la demanda de banda ancha, reduciendo los márgenes para los operadores y realzando las experiencias virtuales de los consumidores</w:t>
      </w:r>
      <w:r w:rsidR="00093E87" w:rsidRPr="00EF198D">
        <w:rPr>
          <w:rFonts w:cstheme="minorHAnsi"/>
          <w:lang w:val="es-ES_tradnl"/>
        </w:rPr>
        <w:t xml:space="preserve">. </w:t>
      </w:r>
    </w:p>
    <w:p w:rsidR="00093E87" w:rsidRPr="008642EF" w:rsidRDefault="00EC0346" w:rsidP="00007E5A">
      <w:pPr>
        <w:spacing w:before="120" w:after="0" w:line="240" w:lineRule="auto"/>
        <w:rPr>
          <w:lang w:val="es-ES_tradnl"/>
        </w:rPr>
      </w:pPr>
      <w:r w:rsidRPr="008642EF">
        <w:rPr>
          <w:lang w:val="es-ES_tradnl"/>
        </w:rPr>
        <w:t xml:space="preserve">El crecimiento de los servicios de banda ancha por redes inalámbricas también está </w:t>
      </w:r>
      <w:r w:rsidR="00813B9F" w:rsidRPr="008642EF">
        <w:rPr>
          <w:lang w:val="es-ES_tradnl"/>
        </w:rPr>
        <w:t xml:space="preserve">sometiendo al espectro radioeléctrico a </w:t>
      </w:r>
      <w:r w:rsidRPr="008642EF">
        <w:rPr>
          <w:lang w:val="es-ES_tradnl"/>
        </w:rPr>
        <w:t xml:space="preserve">una enorme presión. Un número cada vez mayor de reguladores está introduciendo mecanismos de mercado tales como la migración dentro de la banda, </w:t>
      </w:r>
      <w:r w:rsidR="00167E8C" w:rsidRPr="008642EF">
        <w:rPr>
          <w:lang w:val="es-ES_tradnl"/>
        </w:rPr>
        <w:t xml:space="preserve">la </w:t>
      </w:r>
      <w:r w:rsidRPr="008642EF">
        <w:rPr>
          <w:lang w:val="es-ES_tradnl"/>
        </w:rPr>
        <w:t xml:space="preserve">compartición de espectro y </w:t>
      </w:r>
      <w:r w:rsidR="00167E8C" w:rsidRPr="008642EF">
        <w:rPr>
          <w:lang w:val="es-ES_tradnl"/>
        </w:rPr>
        <w:t xml:space="preserve">la </w:t>
      </w:r>
      <w:r w:rsidRPr="008642EF">
        <w:rPr>
          <w:lang w:val="es-ES_tradnl"/>
        </w:rPr>
        <w:t>comercialización del espectro</w:t>
      </w:r>
      <w:r w:rsidR="00093E87" w:rsidRPr="008642EF">
        <w:rPr>
          <w:lang w:val="es-ES_tradnl"/>
        </w:rPr>
        <w:t xml:space="preserve">. </w:t>
      </w:r>
      <w:r w:rsidRPr="008642EF">
        <w:rPr>
          <w:lang w:val="es-ES_tradnl"/>
        </w:rPr>
        <w:t>Actualmente se considera que las prácticas más idóneas son las dictadas por el mercado para poner más espectro a disposición de los servicios de banda ancha móvil, pues permiten la competencia entre diferentes plataformas y estimulan la innovación</w:t>
      </w:r>
      <w:r w:rsidR="00007E5A" w:rsidRPr="008642EF">
        <w:rPr>
          <w:rStyle w:val="FootnoteReference"/>
          <w:lang w:val="es-ES_tradnl"/>
        </w:rPr>
        <w:footnoteReference w:id="11"/>
      </w:r>
      <w:r w:rsidR="00093E87" w:rsidRPr="008642EF">
        <w:rPr>
          <w:lang w:val="es-ES_tradnl"/>
        </w:rPr>
        <w:t xml:space="preserve">. </w:t>
      </w:r>
      <w:r w:rsidRPr="008642EF">
        <w:rPr>
          <w:lang w:val="es-ES_tradnl"/>
        </w:rPr>
        <w:t>La finalidad de estas medidas es distribuir el acceso al espectro</w:t>
      </w:r>
      <w:r w:rsidR="00813B9F" w:rsidRPr="008642EF">
        <w:rPr>
          <w:lang w:val="es-ES_tradnl"/>
        </w:rPr>
        <w:t xml:space="preserve">, </w:t>
      </w:r>
      <w:r w:rsidR="00B44CDA" w:rsidRPr="008642EF">
        <w:rPr>
          <w:lang w:val="es-ES_tradnl"/>
        </w:rPr>
        <w:t xml:space="preserve">con vistas a </w:t>
      </w:r>
      <w:r w:rsidRPr="008642EF">
        <w:rPr>
          <w:lang w:val="es-ES_tradnl"/>
        </w:rPr>
        <w:t xml:space="preserve">mitigar </w:t>
      </w:r>
      <w:r w:rsidR="00B44CDA" w:rsidRPr="008642EF">
        <w:rPr>
          <w:lang w:val="es-ES_tradnl"/>
        </w:rPr>
        <w:t xml:space="preserve">de una manera rápida y eficaz </w:t>
      </w:r>
      <w:r w:rsidRPr="008642EF">
        <w:rPr>
          <w:lang w:val="es-ES_tradnl"/>
        </w:rPr>
        <w:t>la demanda de bandas de espectro frescas para servicios 3G y 4G</w:t>
      </w:r>
      <w:r w:rsidR="00093E87" w:rsidRPr="008642EF">
        <w:rPr>
          <w:lang w:val="es-ES_tradnl"/>
        </w:rPr>
        <w:t xml:space="preserve">. </w:t>
      </w:r>
      <w:r w:rsidRPr="008642EF">
        <w:rPr>
          <w:lang w:val="es-ES_tradnl"/>
        </w:rPr>
        <w:t xml:space="preserve">No obstante, en </w:t>
      </w:r>
      <w:r w:rsidR="00167E8C" w:rsidRPr="008642EF">
        <w:rPr>
          <w:lang w:val="es-ES_tradnl"/>
        </w:rPr>
        <w:t xml:space="preserve">muchos </w:t>
      </w:r>
      <w:r w:rsidRPr="008642EF">
        <w:rPr>
          <w:lang w:val="es-ES_tradnl"/>
        </w:rPr>
        <w:t xml:space="preserve">países ya no hay más espectro disponible que pueda </w:t>
      </w:r>
      <w:proofErr w:type="spellStart"/>
      <w:r w:rsidRPr="008642EF">
        <w:rPr>
          <w:lang w:val="es-ES_tradnl"/>
        </w:rPr>
        <w:t>reatribuirse</w:t>
      </w:r>
      <w:proofErr w:type="spellEnd"/>
      <w:r w:rsidRPr="008642EF">
        <w:rPr>
          <w:lang w:val="es-ES_tradnl"/>
        </w:rPr>
        <w:t xml:space="preserve"> fácilmente a servicios de banda ancha IMT Avanzados (4G) tales como los servicios LTE y WiM</w:t>
      </w:r>
      <w:r w:rsidR="003B484F" w:rsidRPr="008642EF">
        <w:rPr>
          <w:lang w:val="es-ES_tradnl"/>
        </w:rPr>
        <w:t>ax</w:t>
      </w:r>
      <w:r w:rsidRPr="008642EF">
        <w:rPr>
          <w:lang w:val="es-ES_tradnl"/>
        </w:rPr>
        <w:t xml:space="preserve"> Avanzados. Los reguladores deben tomar una difícil decisión para determinar qué otros sectores industriales y servicios tradicionales –incluidos los servicios gubernamentales– deben ser </w:t>
      </w:r>
      <w:proofErr w:type="spellStart"/>
      <w:r w:rsidRPr="008642EF">
        <w:rPr>
          <w:lang w:val="es-ES_tradnl"/>
        </w:rPr>
        <w:t>reatribuidos</w:t>
      </w:r>
      <w:proofErr w:type="spellEnd"/>
      <w:r w:rsidRPr="008642EF">
        <w:rPr>
          <w:lang w:val="es-ES_tradnl"/>
        </w:rPr>
        <w:t xml:space="preserve"> u obligados a compartir espectro para </w:t>
      </w:r>
      <w:r w:rsidR="00167E8C" w:rsidRPr="008642EF">
        <w:rPr>
          <w:lang w:val="es-ES_tradnl"/>
        </w:rPr>
        <w:t>liberar el gran ancho</w:t>
      </w:r>
      <w:r w:rsidRPr="008642EF">
        <w:rPr>
          <w:lang w:val="es-ES_tradnl"/>
        </w:rPr>
        <w:t xml:space="preserve"> de banda que necesitan los servicios 4G</w:t>
      </w:r>
      <w:r w:rsidR="00093E87" w:rsidRPr="008642EF">
        <w:rPr>
          <w:lang w:val="es-ES_tradnl"/>
        </w:rPr>
        <w:t xml:space="preserve">. </w:t>
      </w:r>
      <w:r w:rsidRPr="008642EF">
        <w:rPr>
          <w:lang w:val="es-ES_tradnl"/>
        </w:rPr>
        <w:t>Además, los reguladores podrían tener que dejar de lado progresivamente la concesión de licencias con derechos exclusivos sobre ciertas bandas de espectro. Algunos reguladores han atribuido bandas de espectro para utilizaciones exentas de licencia, otorgando así más libertad a los agentes de mercado para que se administren el espectro entre ellos</w:t>
      </w:r>
      <w:r w:rsidR="00093E87" w:rsidRPr="008642EF">
        <w:rPr>
          <w:lang w:val="es-ES_tradnl"/>
        </w:rPr>
        <w:t>.</w:t>
      </w:r>
    </w:p>
    <w:p w:rsidR="00093E87" w:rsidRPr="007D794C" w:rsidRDefault="00EC0346" w:rsidP="00261C0B">
      <w:pPr>
        <w:spacing w:before="240" w:after="0" w:line="240" w:lineRule="auto"/>
        <w:rPr>
          <w:b/>
          <w:bCs/>
          <w:i/>
          <w:iCs/>
          <w:lang w:val="es-ES_tradnl"/>
        </w:rPr>
      </w:pPr>
      <w:r w:rsidRPr="007D794C">
        <w:rPr>
          <w:b/>
          <w:bCs/>
          <w:i/>
          <w:iCs/>
          <w:lang w:val="es-ES_tradnl"/>
        </w:rPr>
        <w:t>Un cambio en el mandato</w:t>
      </w:r>
    </w:p>
    <w:p w:rsidR="00093E87" w:rsidRPr="008642EF" w:rsidRDefault="00BD79DD" w:rsidP="00BA4A72">
      <w:pPr>
        <w:spacing w:before="120" w:after="0" w:line="240" w:lineRule="auto"/>
        <w:rPr>
          <w:lang w:val="es-ES_tradnl" w:eastAsia="de-DE"/>
        </w:rPr>
      </w:pPr>
      <w:r w:rsidRPr="008642EF">
        <w:rPr>
          <w:lang w:val="es-ES_tradnl"/>
        </w:rPr>
        <w:t xml:space="preserve">Que </w:t>
      </w:r>
      <w:r w:rsidR="00EC0346" w:rsidRPr="008642EF">
        <w:rPr>
          <w:lang w:val="es-ES_tradnl"/>
        </w:rPr>
        <w:t xml:space="preserve">las TIC </w:t>
      </w:r>
      <w:r w:rsidRPr="008642EF">
        <w:rPr>
          <w:lang w:val="es-ES_tradnl"/>
        </w:rPr>
        <w:t xml:space="preserve">se hayan convertido en una </w:t>
      </w:r>
      <w:r w:rsidR="00EC0346" w:rsidRPr="008642EF">
        <w:rPr>
          <w:lang w:val="es-ES_tradnl"/>
        </w:rPr>
        <w:t xml:space="preserve">infraestructura </w:t>
      </w:r>
      <w:r w:rsidR="00167E8C" w:rsidRPr="008642EF">
        <w:rPr>
          <w:lang w:val="es-ES_tradnl"/>
        </w:rPr>
        <w:t xml:space="preserve">intersectorial </w:t>
      </w:r>
      <w:r w:rsidR="00EC0346" w:rsidRPr="008642EF">
        <w:rPr>
          <w:lang w:val="es-ES_tradnl"/>
        </w:rPr>
        <w:t xml:space="preserve">y con capacidad de penetración </w:t>
      </w:r>
      <w:r w:rsidRPr="008642EF">
        <w:rPr>
          <w:lang w:val="es-ES_tradnl"/>
        </w:rPr>
        <w:t>implica</w:t>
      </w:r>
      <w:r w:rsidR="00EC0346" w:rsidRPr="008642EF">
        <w:rPr>
          <w:lang w:val="es-ES_tradnl"/>
        </w:rPr>
        <w:t xml:space="preserve"> que los reguladores de telecomunicaciones/TIC se ven forzados hoy en día a traspasar los modelos tradicionales de regulación, que han consistido históricamente en regular el acceso a las redes y servicios, garantizar una competencia equitativa, proteger los intereses de los usuarios y avanzar hacia el acceso universal</w:t>
      </w:r>
      <w:r w:rsidR="00093E87" w:rsidRPr="008642EF">
        <w:rPr>
          <w:lang w:val="es-ES_tradnl"/>
        </w:rPr>
        <w:t xml:space="preserve">. </w:t>
      </w:r>
      <w:r w:rsidR="00167E8C" w:rsidRPr="008642EF">
        <w:rPr>
          <w:lang w:val="es-ES_tradnl"/>
        </w:rPr>
        <w:t>En la actualidad, l</w:t>
      </w:r>
      <w:r w:rsidR="00EC0346" w:rsidRPr="008642EF">
        <w:rPr>
          <w:lang w:val="es-ES_tradnl"/>
        </w:rPr>
        <w:t xml:space="preserve">os reguladores </w:t>
      </w:r>
      <w:r w:rsidR="00167E8C" w:rsidRPr="008642EF">
        <w:rPr>
          <w:lang w:val="es-ES_tradnl"/>
        </w:rPr>
        <w:t xml:space="preserve">tienen que hacer frente a </w:t>
      </w:r>
      <w:r w:rsidR="00B44CDA" w:rsidRPr="008642EF">
        <w:rPr>
          <w:lang w:val="es-ES_tradnl"/>
        </w:rPr>
        <w:t>cuestiones que se plantean</w:t>
      </w:r>
      <w:r w:rsidR="00EC0346" w:rsidRPr="008642EF">
        <w:rPr>
          <w:lang w:val="es-ES_tradnl"/>
        </w:rPr>
        <w:t xml:space="preserve"> en nuevas áreas </w:t>
      </w:r>
      <w:r w:rsidR="00167E8C" w:rsidRPr="008642EF">
        <w:rPr>
          <w:lang w:val="es-ES_tradnl"/>
        </w:rPr>
        <w:t xml:space="preserve">a fin de dar respuesta a </w:t>
      </w:r>
      <w:r w:rsidR="00EC0346" w:rsidRPr="008642EF">
        <w:rPr>
          <w:lang w:val="es-ES_tradnl"/>
        </w:rPr>
        <w:t>los retos que supone vivir en un mundo digital</w:t>
      </w:r>
      <w:r w:rsidR="00093E87" w:rsidRPr="008642EF">
        <w:rPr>
          <w:lang w:val="es-ES_tradnl"/>
        </w:rPr>
        <w:t xml:space="preserve">, </w:t>
      </w:r>
      <w:r w:rsidR="00167E8C" w:rsidRPr="008642EF">
        <w:rPr>
          <w:lang w:val="es-ES_tradnl"/>
        </w:rPr>
        <w:t xml:space="preserve">promoviendo al mismo tiempo </w:t>
      </w:r>
      <w:r w:rsidR="00EC0346" w:rsidRPr="008642EF">
        <w:rPr>
          <w:lang w:val="es-ES_tradnl"/>
        </w:rPr>
        <w:t>las oportunidades de una sociedad interconectada</w:t>
      </w:r>
      <w:r w:rsidR="00093E87" w:rsidRPr="008642EF">
        <w:rPr>
          <w:lang w:val="es-ES_tradnl"/>
        </w:rPr>
        <w:t xml:space="preserve">. </w:t>
      </w:r>
      <w:r w:rsidR="00EC0346" w:rsidRPr="008642EF">
        <w:rPr>
          <w:lang w:val="es-ES_tradnl"/>
        </w:rPr>
        <w:t xml:space="preserve">En los últimos años se ha ampliado el mandato de un número creciente de </w:t>
      </w:r>
      <w:r w:rsidR="001808D4" w:rsidRPr="008642EF">
        <w:rPr>
          <w:lang w:val="es-ES_tradnl"/>
        </w:rPr>
        <w:t xml:space="preserve">los 161 </w:t>
      </w:r>
      <w:r w:rsidR="00EC0346" w:rsidRPr="008642EF">
        <w:rPr>
          <w:lang w:val="es-ES_tradnl"/>
        </w:rPr>
        <w:t>reguladores de telecomunicaciones</w:t>
      </w:r>
      <w:r w:rsidR="001808D4" w:rsidRPr="008642EF">
        <w:rPr>
          <w:lang w:val="es-ES_tradnl"/>
        </w:rPr>
        <w:t>/TIC establecidos</w:t>
      </w:r>
      <w:r w:rsidR="00EC0346" w:rsidRPr="008642EF">
        <w:rPr>
          <w:lang w:val="es-ES_tradnl"/>
        </w:rPr>
        <w:t xml:space="preserve"> para incluir la radiodifusión y las tecnologías de la información</w:t>
      </w:r>
      <w:r w:rsidR="00093E87" w:rsidRPr="008642EF">
        <w:rPr>
          <w:lang w:val="es-ES_tradnl" w:eastAsia="de-DE"/>
        </w:rPr>
        <w:t xml:space="preserve">. </w:t>
      </w:r>
      <w:r w:rsidR="001808D4" w:rsidRPr="008642EF">
        <w:rPr>
          <w:lang w:val="es-ES_tradnl"/>
        </w:rPr>
        <w:t xml:space="preserve">Más recientemente, el contenido electrónico, la </w:t>
      </w:r>
      <w:proofErr w:type="spellStart"/>
      <w:r w:rsidR="001808D4" w:rsidRPr="008642EF">
        <w:rPr>
          <w:lang w:val="es-ES_tradnl"/>
        </w:rPr>
        <w:t>ciberseguridad</w:t>
      </w:r>
      <w:proofErr w:type="spellEnd"/>
      <w:r w:rsidR="001808D4" w:rsidRPr="008642EF">
        <w:rPr>
          <w:lang w:val="es-ES_tradnl"/>
        </w:rPr>
        <w:t>, la protección de los datos, la priva</w:t>
      </w:r>
      <w:r w:rsidR="00167E8C" w:rsidRPr="008642EF">
        <w:rPr>
          <w:lang w:val="es-ES_tradnl"/>
        </w:rPr>
        <w:t>cidad y los temas medioambienta</w:t>
      </w:r>
      <w:r w:rsidR="001808D4" w:rsidRPr="008642EF">
        <w:rPr>
          <w:lang w:val="es-ES_tradnl"/>
        </w:rPr>
        <w:t>les han pasado a ser competencia de los reguladores</w:t>
      </w:r>
      <w:r w:rsidR="00093E87" w:rsidRPr="008642EF">
        <w:rPr>
          <w:lang w:val="es-ES_tradnl" w:eastAsia="de-DE"/>
        </w:rPr>
        <w:t xml:space="preserve">. </w:t>
      </w:r>
      <w:r w:rsidR="001808D4" w:rsidRPr="008642EF">
        <w:rPr>
          <w:lang w:val="es-ES_tradnl" w:eastAsia="de-DE"/>
        </w:rPr>
        <w:t xml:space="preserve">Tal y como se ha señalado anteriormente, </w:t>
      </w:r>
      <w:r w:rsidR="00167E8C" w:rsidRPr="008642EF">
        <w:rPr>
          <w:lang w:val="es-ES_tradnl" w:eastAsia="de-DE"/>
        </w:rPr>
        <w:t>e</w:t>
      </w:r>
      <w:r w:rsidR="001808D4" w:rsidRPr="008642EF">
        <w:rPr>
          <w:lang w:val="es-ES_tradnl"/>
        </w:rPr>
        <w:t xml:space="preserve">l uso cada vez mayor de aplicaciones y servicios en línea para </w:t>
      </w:r>
      <w:r w:rsidR="00167E8C" w:rsidRPr="008642EF">
        <w:rPr>
          <w:lang w:val="es-ES_tradnl"/>
        </w:rPr>
        <w:t>comunicarse y hacer transaccio</w:t>
      </w:r>
      <w:r w:rsidR="001808D4" w:rsidRPr="008642EF">
        <w:rPr>
          <w:lang w:val="es-ES_tradnl"/>
        </w:rPr>
        <w:t xml:space="preserve">nes comerciales (tales como los medios sociales, los servicios en nube, los pagos electrónicos y otros servicios de banca electrónica) </w:t>
      </w:r>
      <w:r w:rsidR="00813B9F" w:rsidRPr="008642EF">
        <w:rPr>
          <w:lang w:val="es-ES_tradnl"/>
        </w:rPr>
        <w:t xml:space="preserve">ha puesto sobre la mesa </w:t>
      </w:r>
      <w:r w:rsidR="001808D4" w:rsidRPr="008642EF">
        <w:rPr>
          <w:lang w:val="es-ES_tradnl"/>
        </w:rPr>
        <w:t xml:space="preserve">una nueva serie de </w:t>
      </w:r>
      <w:r w:rsidR="00813B9F" w:rsidRPr="008642EF">
        <w:rPr>
          <w:lang w:val="es-ES_tradnl"/>
        </w:rPr>
        <w:t xml:space="preserve">cuestiones relacionadas con </w:t>
      </w:r>
      <w:r w:rsidR="001808D4" w:rsidRPr="008642EF">
        <w:rPr>
          <w:lang w:val="es-ES_tradnl"/>
        </w:rPr>
        <w:t>la reglamentación</w:t>
      </w:r>
      <w:r w:rsidR="00EF198D">
        <w:rPr>
          <w:lang w:val="es-ES_tradnl" w:eastAsia="de-DE"/>
        </w:rPr>
        <w:t>.</w:t>
      </w:r>
    </w:p>
    <w:p w:rsidR="00093E87" w:rsidRPr="0053288C" w:rsidRDefault="001808D4" w:rsidP="0053288C">
      <w:pPr>
        <w:keepNext/>
        <w:spacing w:before="240" w:after="120" w:line="240" w:lineRule="auto"/>
        <w:rPr>
          <w:b/>
          <w:bCs/>
          <w:lang w:val="es-ES_tradnl"/>
        </w:rPr>
      </w:pPr>
      <w:r w:rsidRPr="0053288C">
        <w:rPr>
          <w:b/>
          <w:bCs/>
          <w:lang w:val="es-ES_tradnl"/>
        </w:rPr>
        <w:lastRenderedPageBreak/>
        <w:t>Figura</w:t>
      </w:r>
      <w:r w:rsidR="00093E87" w:rsidRPr="0053288C">
        <w:rPr>
          <w:b/>
          <w:bCs/>
          <w:lang w:val="es-ES_tradnl"/>
        </w:rPr>
        <w:t xml:space="preserve"> 1.3: </w:t>
      </w:r>
      <w:r w:rsidR="00C82F0F" w:rsidRPr="0053288C">
        <w:rPr>
          <w:b/>
          <w:bCs/>
          <w:lang w:val="es-ES_tradnl"/>
        </w:rPr>
        <w:t xml:space="preserve">Funciones normativas concretas </w:t>
      </w:r>
      <w:r w:rsidR="00167E8C" w:rsidRPr="0053288C">
        <w:rPr>
          <w:b/>
          <w:bCs/>
          <w:lang w:val="es-ES_tradnl"/>
        </w:rPr>
        <w:t>en todo el</w:t>
      </w:r>
      <w:r w:rsidRPr="0053288C">
        <w:rPr>
          <w:b/>
          <w:bCs/>
          <w:lang w:val="es-ES_tradnl"/>
        </w:rPr>
        <w:t xml:space="preserve"> mundo</w:t>
      </w:r>
      <w:r w:rsidR="00093E87" w:rsidRPr="0053288C">
        <w:rPr>
          <w:b/>
          <w:bCs/>
          <w:lang w:val="es-ES_tradnl"/>
        </w:rPr>
        <w:t>, 2012</w:t>
      </w:r>
    </w:p>
    <w:p w:rsidR="00093E87" w:rsidRPr="008642EF" w:rsidRDefault="00093E87" w:rsidP="00BA4A72">
      <w:pPr>
        <w:keepNext/>
        <w:spacing w:line="240" w:lineRule="auto"/>
        <w:rPr>
          <w:lang w:val="es-ES_tradnl" w:eastAsia="de-DE"/>
        </w:rPr>
      </w:pPr>
      <w:r w:rsidRPr="008642EF">
        <w:rPr>
          <w:noProof/>
          <w:lang w:eastAsia="en-US"/>
        </w:rPr>
        <w:drawing>
          <wp:inline distT="0" distB="0" distL="0" distR="0" wp14:anchorId="7D94A401" wp14:editId="4A64B0E6">
            <wp:extent cx="5522595" cy="2926080"/>
            <wp:effectExtent l="0" t="0" r="1905" b="7620"/>
            <wp:docPr id="26" name="Picture 2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2595" cy="2926080"/>
                    </a:xfrm>
                    <a:prstGeom prst="rect">
                      <a:avLst/>
                    </a:prstGeom>
                    <a:noFill/>
                    <a:ln>
                      <a:noFill/>
                    </a:ln>
                  </pic:spPr>
                </pic:pic>
              </a:graphicData>
            </a:graphic>
          </wp:inline>
        </w:drawing>
      </w:r>
    </w:p>
    <w:p w:rsidR="00093E87" w:rsidRPr="00706543" w:rsidRDefault="0053288C" w:rsidP="00F60529">
      <w:pPr>
        <w:spacing w:after="0" w:line="240" w:lineRule="auto"/>
        <w:rPr>
          <w:i/>
          <w:iCs/>
          <w:sz w:val="18"/>
          <w:szCs w:val="18"/>
          <w:lang w:val="es-ES_tradnl"/>
        </w:rPr>
      </w:pPr>
      <w:r>
        <w:rPr>
          <w:sz w:val="18"/>
          <w:szCs w:val="18"/>
          <w:lang w:val="es-ES_tradnl"/>
        </w:rPr>
        <w:t>Origen</w:t>
      </w:r>
      <w:r w:rsidR="001808D4" w:rsidRPr="00706543">
        <w:rPr>
          <w:sz w:val="18"/>
          <w:szCs w:val="18"/>
          <w:lang w:val="es-ES_tradnl"/>
        </w:rPr>
        <w:t xml:space="preserve">: </w:t>
      </w:r>
      <w:r w:rsidR="00F60529" w:rsidRPr="00053375">
        <w:rPr>
          <w:sz w:val="18"/>
          <w:szCs w:val="18"/>
          <w:lang w:val="es-ES_tradnl"/>
        </w:rPr>
        <w:t>B</w:t>
      </w:r>
      <w:r w:rsidR="00F60529" w:rsidRPr="00215D37">
        <w:rPr>
          <w:sz w:val="18"/>
          <w:szCs w:val="18"/>
          <w:lang w:val="es-ES_tradnl"/>
        </w:rPr>
        <w:t>ase de datos de la UIT sobre Indicadores mundiales de las telecomunicaciones/TIC</w:t>
      </w:r>
      <w:r w:rsidR="00093E87" w:rsidRPr="00706543">
        <w:rPr>
          <w:sz w:val="18"/>
          <w:szCs w:val="18"/>
          <w:lang w:val="es-ES_tradnl"/>
        </w:rPr>
        <w:t>.</w:t>
      </w:r>
    </w:p>
    <w:p w:rsidR="001808D4" w:rsidRPr="008642EF" w:rsidRDefault="001808D4" w:rsidP="00F60529">
      <w:pPr>
        <w:autoSpaceDE w:val="0"/>
        <w:autoSpaceDN w:val="0"/>
        <w:adjustRightInd w:val="0"/>
        <w:spacing w:before="120" w:after="0" w:line="240" w:lineRule="auto"/>
        <w:rPr>
          <w:sz w:val="18"/>
          <w:szCs w:val="18"/>
          <w:lang w:val="es-ES_tradnl"/>
        </w:rPr>
      </w:pPr>
      <w:r w:rsidRPr="008642EF">
        <w:rPr>
          <w:sz w:val="18"/>
          <w:szCs w:val="18"/>
          <w:lang w:val="es-ES_tradnl"/>
        </w:rPr>
        <w:t>Leyenda</w:t>
      </w:r>
      <w:r w:rsidR="00706543">
        <w:rPr>
          <w:sz w:val="18"/>
          <w:szCs w:val="18"/>
          <w:lang w:val="es-ES_tradnl"/>
        </w:rPr>
        <w:t>s</w:t>
      </w:r>
      <w:r w:rsidRPr="008642EF">
        <w:rPr>
          <w:sz w:val="18"/>
          <w:szCs w:val="18"/>
          <w:lang w:val="es-ES_tradnl"/>
        </w:rPr>
        <w:t xml:space="preserve"> de la </w:t>
      </w:r>
      <w:r w:rsidR="00A91BB0">
        <w:rPr>
          <w:sz w:val="18"/>
          <w:szCs w:val="18"/>
          <w:lang w:val="es-ES_tradnl"/>
        </w:rPr>
        <w:t>F</w:t>
      </w:r>
      <w:r w:rsidRPr="008642EF">
        <w:rPr>
          <w:sz w:val="18"/>
          <w:szCs w:val="18"/>
          <w:lang w:val="es-ES_tradnl"/>
        </w:rPr>
        <w:t>igura:</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1 - ¿Quién regula qué en el sector de las TIC? Mundo, 2012</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2 - Tecnologías de la información</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3 - Contenidos de Internet</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4 - Acceso/servicio universal</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5 - Licencias</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6 - Supervisión y control del espectro</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7 - Regulación de precios</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8 - Contenidos de radiodifusión</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9 - Regulador</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10 - Ministerio del sector</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11 - Otro ministerio</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12 - Otro organismo</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13 - Operadores</w:t>
      </w:r>
    </w:p>
    <w:p w:rsidR="001808D4" w:rsidRPr="008642EF" w:rsidRDefault="001808D4" w:rsidP="00BA4A72">
      <w:pPr>
        <w:autoSpaceDE w:val="0"/>
        <w:autoSpaceDN w:val="0"/>
        <w:adjustRightInd w:val="0"/>
        <w:spacing w:after="0" w:line="240" w:lineRule="auto"/>
        <w:rPr>
          <w:sz w:val="18"/>
          <w:szCs w:val="18"/>
          <w:lang w:val="es-ES_tradnl"/>
        </w:rPr>
      </w:pPr>
      <w:r w:rsidRPr="008642EF">
        <w:rPr>
          <w:sz w:val="18"/>
          <w:szCs w:val="18"/>
          <w:lang w:val="es-ES_tradnl"/>
        </w:rPr>
        <w:t xml:space="preserve">14 - No está </w:t>
      </w:r>
      <w:r w:rsidR="003B484F">
        <w:rPr>
          <w:sz w:val="18"/>
          <w:szCs w:val="18"/>
          <w:lang w:val="es-ES_tradnl"/>
        </w:rPr>
        <w:t>regulado</w:t>
      </w:r>
    </w:p>
    <w:p w:rsidR="00093E87" w:rsidRPr="00EF198D" w:rsidRDefault="001808D4" w:rsidP="00B7515B">
      <w:pPr>
        <w:autoSpaceDE w:val="0"/>
        <w:autoSpaceDN w:val="0"/>
        <w:adjustRightInd w:val="0"/>
        <w:spacing w:before="120" w:after="0" w:line="240" w:lineRule="auto"/>
        <w:rPr>
          <w:rFonts w:cstheme="minorHAnsi"/>
          <w:lang w:val="es-ES_tradnl"/>
        </w:rPr>
      </w:pPr>
      <w:r w:rsidRPr="00EF198D">
        <w:rPr>
          <w:rFonts w:cstheme="minorHAnsi"/>
          <w:lang w:val="es-ES_tradnl" w:eastAsia="de-DE"/>
        </w:rPr>
        <w:t>Para adaptarse al entorno cambiante de las TIC</w:t>
      </w:r>
      <w:r w:rsidR="00093E87" w:rsidRPr="00EF198D">
        <w:rPr>
          <w:rFonts w:cstheme="minorHAnsi"/>
          <w:lang w:val="es-ES_tradnl" w:eastAsia="de-DE"/>
        </w:rPr>
        <w:t xml:space="preserve">, </w:t>
      </w:r>
      <w:r w:rsidRPr="00EF198D">
        <w:rPr>
          <w:rFonts w:cstheme="minorHAnsi"/>
          <w:lang w:val="es-ES_tradnl" w:eastAsia="de-DE"/>
        </w:rPr>
        <w:t>a</w:t>
      </w:r>
      <w:r w:rsidRPr="00EF198D">
        <w:rPr>
          <w:rFonts w:cstheme="minorHAnsi"/>
          <w:color w:val="000000"/>
          <w:lang w:val="es-ES_tradnl"/>
        </w:rPr>
        <w:t xml:space="preserve">lgunos gobiernos han continuado </w:t>
      </w:r>
      <w:r w:rsidR="00BD79DD" w:rsidRPr="00EF198D">
        <w:rPr>
          <w:rFonts w:cstheme="minorHAnsi"/>
          <w:color w:val="000000"/>
          <w:lang w:val="es-ES_tradnl"/>
        </w:rPr>
        <w:t xml:space="preserve">reformando </w:t>
      </w:r>
      <w:r w:rsidRPr="00EF198D">
        <w:rPr>
          <w:rFonts w:cstheme="minorHAnsi"/>
          <w:color w:val="000000"/>
          <w:lang w:val="es-ES_tradnl"/>
        </w:rPr>
        <w:t xml:space="preserve">su estructura organizativa e institucional </w:t>
      </w:r>
      <w:r w:rsidR="00BD79DD" w:rsidRPr="00EF198D">
        <w:rPr>
          <w:rFonts w:cstheme="minorHAnsi"/>
          <w:color w:val="000000"/>
          <w:lang w:val="es-ES_tradnl"/>
        </w:rPr>
        <w:t xml:space="preserve">con vistas a crear </w:t>
      </w:r>
      <w:r w:rsidR="00813B9F" w:rsidRPr="00EF198D">
        <w:rPr>
          <w:rFonts w:cstheme="minorHAnsi"/>
          <w:color w:val="000000"/>
          <w:lang w:val="es-ES_tradnl"/>
        </w:rPr>
        <w:t xml:space="preserve">una sola autoridad de las TIC </w:t>
      </w:r>
      <w:r w:rsidR="00BD79DD" w:rsidRPr="00EF198D">
        <w:rPr>
          <w:rFonts w:cstheme="minorHAnsi"/>
          <w:color w:val="000000"/>
          <w:lang w:val="es-ES_tradnl"/>
        </w:rPr>
        <w:t>que agrupe</w:t>
      </w:r>
      <w:r w:rsidR="00C82F0F" w:rsidRPr="00EF198D">
        <w:rPr>
          <w:rFonts w:cstheme="minorHAnsi"/>
          <w:color w:val="000000"/>
          <w:lang w:val="es-ES_tradnl"/>
        </w:rPr>
        <w:t xml:space="preserve"> a </w:t>
      </w:r>
      <w:r w:rsidR="00813B9F" w:rsidRPr="00EF198D">
        <w:rPr>
          <w:rFonts w:cstheme="minorHAnsi"/>
          <w:color w:val="000000"/>
          <w:lang w:val="es-ES_tradnl"/>
        </w:rPr>
        <w:t xml:space="preserve">las distintas </w:t>
      </w:r>
      <w:r w:rsidRPr="00EF198D">
        <w:rPr>
          <w:rFonts w:cstheme="minorHAnsi"/>
          <w:color w:val="000000"/>
          <w:lang w:val="es-ES_tradnl"/>
        </w:rPr>
        <w:t xml:space="preserve">autoridades </w:t>
      </w:r>
      <w:r w:rsidR="00813B9F" w:rsidRPr="00EF198D">
        <w:rPr>
          <w:rFonts w:cstheme="minorHAnsi"/>
          <w:color w:val="000000"/>
          <w:lang w:val="es-ES_tradnl"/>
        </w:rPr>
        <w:t xml:space="preserve">reguladoras </w:t>
      </w:r>
      <w:r w:rsidRPr="00EF198D">
        <w:rPr>
          <w:rFonts w:cstheme="minorHAnsi"/>
          <w:color w:val="000000"/>
          <w:lang w:val="es-ES_tradnl"/>
        </w:rPr>
        <w:t xml:space="preserve">de </w:t>
      </w:r>
      <w:r w:rsidR="00813B9F" w:rsidRPr="00EF198D">
        <w:rPr>
          <w:rFonts w:cstheme="minorHAnsi"/>
          <w:color w:val="000000"/>
          <w:lang w:val="es-ES_tradnl"/>
        </w:rPr>
        <w:t xml:space="preserve">las </w:t>
      </w:r>
      <w:r w:rsidRPr="00EF198D">
        <w:rPr>
          <w:rFonts w:cstheme="minorHAnsi"/>
          <w:color w:val="000000"/>
          <w:lang w:val="es-ES_tradnl"/>
        </w:rPr>
        <w:t xml:space="preserve">telecomunicaciones y </w:t>
      </w:r>
      <w:r w:rsidR="00813B9F" w:rsidRPr="00EF198D">
        <w:rPr>
          <w:rFonts w:cstheme="minorHAnsi"/>
          <w:color w:val="000000"/>
          <w:lang w:val="es-ES_tradnl"/>
        </w:rPr>
        <w:t xml:space="preserve">la </w:t>
      </w:r>
      <w:r w:rsidRPr="00EF198D">
        <w:rPr>
          <w:rFonts w:cstheme="minorHAnsi"/>
          <w:color w:val="000000"/>
          <w:lang w:val="es-ES_tradnl"/>
        </w:rPr>
        <w:t>radiodifusión</w:t>
      </w:r>
      <w:r w:rsidR="00093E87" w:rsidRPr="00EF198D">
        <w:rPr>
          <w:rFonts w:cstheme="minorHAnsi"/>
          <w:lang w:val="es-ES_tradnl" w:eastAsia="de-DE"/>
        </w:rPr>
        <w:t xml:space="preserve">. </w:t>
      </w:r>
      <w:r w:rsidR="00FA2993" w:rsidRPr="00EF198D">
        <w:rPr>
          <w:rFonts w:cstheme="minorHAnsi"/>
          <w:color w:val="000000"/>
          <w:lang w:val="es-ES_tradnl"/>
        </w:rPr>
        <w:t>Por su parte</w:t>
      </w:r>
      <w:r w:rsidR="007648B7" w:rsidRPr="00EF198D">
        <w:rPr>
          <w:rFonts w:cstheme="minorHAnsi"/>
          <w:color w:val="000000"/>
          <w:lang w:val="es-ES_tradnl"/>
        </w:rPr>
        <w:t xml:space="preserve">, otros países, principalmente en África, América y Europa, han creado agencias multisectoriales, </w:t>
      </w:r>
      <w:r w:rsidR="00FA2993" w:rsidRPr="00EF198D">
        <w:rPr>
          <w:rFonts w:cstheme="minorHAnsi"/>
          <w:color w:val="000000"/>
          <w:lang w:val="es-ES_tradnl"/>
        </w:rPr>
        <w:t xml:space="preserve">bien </w:t>
      </w:r>
      <w:r w:rsidR="00C82F0F" w:rsidRPr="00EF198D">
        <w:rPr>
          <w:rFonts w:cstheme="minorHAnsi"/>
          <w:color w:val="000000"/>
          <w:lang w:val="es-ES_tradnl"/>
        </w:rPr>
        <w:t xml:space="preserve">cuando se inició </w:t>
      </w:r>
      <w:r w:rsidR="007648B7" w:rsidRPr="00EF198D">
        <w:rPr>
          <w:rFonts w:cstheme="minorHAnsi"/>
          <w:color w:val="000000"/>
          <w:lang w:val="es-ES_tradnl"/>
        </w:rPr>
        <w:t>la reforma del sector</w:t>
      </w:r>
      <w:r w:rsidR="00813B9F" w:rsidRPr="00EF198D">
        <w:rPr>
          <w:rFonts w:cstheme="minorHAnsi"/>
          <w:color w:val="000000"/>
          <w:lang w:val="es-ES_tradnl"/>
        </w:rPr>
        <w:t xml:space="preserve">, bien </w:t>
      </w:r>
      <w:r w:rsidR="007648B7" w:rsidRPr="00EF198D">
        <w:rPr>
          <w:rFonts w:cstheme="minorHAnsi"/>
          <w:color w:val="000000"/>
          <w:lang w:val="es-ES_tradnl"/>
        </w:rPr>
        <w:t xml:space="preserve">más recientemente, </w:t>
      </w:r>
      <w:r w:rsidR="00813B9F" w:rsidRPr="00EF198D">
        <w:rPr>
          <w:rFonts w:cstheme="minorHAnsi"/>
          <w:color w:val="000000"/>
          <w:lang w:val="es-ES_tradnl"/>
        </w:rPr>
        <w:t xml:space="preserve">después de </w:t>
      </w:r>
      <w:r w:rsidR="00C82F0F" w:rsidRPr="00EF198D">
        <w:rPr>
          <w:rFonts w:cstheme="minorHAnsi"/>
          <w:color w:val="000000"/>
          <w:lang w:val="es-ES_tradnl"/>
        </w:rPr>
        <w:t xml:space="preserve">que sus mercados hayan alcanzado </w:t>
      </w:r>
      <w:r w:rsidR="007648B7" w:rsidRPr="00EF198D">
        <w:rPr>
          <w:rFonts w:cstheme="minorHAnsi"/>
          <w:color w:val="000000"/>
          <w:lang w:val="es-ES_tradnl"/>
        </w:rPr>
        <w:t xml:space="preserve">un cierto </w:t>
      </w:r>
      <w:r w:rsidR="00C82F0F" w:rsidRPr="00EF198D">
        <w:rPr>
          <w:rFonts w:cstheme="minorHAnsi"/>
          <w:color w:val="000000"/>
          <w:lang w:val="es-ES_tradnl"/>
        </w:rPr>
        <w:t xml:space="preserve">grado </w:t>
      </w:r>
      <w:r w:rsidR="007648B7" w:rsidRPr="00EF198D">
        <w:rPr>
          <w:rFonts w:cstheme="minorHAnsi"/>
          <w:color w:val="000000"/>
          <w:lang w:val="es-ES_tradnl"/>
        </w:rPr>
        <w:t xml:space="preserve">de madurez </w:t>
      </w:r>
      <w:r w:rsidR="007648B7" w:rsidRPr="00EF198D">
        <w:rPr>
          <w:rFonts w:cstheme="minorHAnsi"/>
          <w:lang w:val="es-ES_tradnl"/>
        </w:rPr>
        <w:t>(p</w:t>
      </w:r>
      <w:r w:rsidR="00FA2993" w:rsidRPr="00EF198D">
        <w:rPr>
          <w:rFonts w:cstheme="minorHAnsi"/>
          <w:lang w:val="es-ES_tradnl"/>
        </w:rPr>
        <w:t>or ejemplo, en Alemania, Dinama</w:t>
      </w:r>
      <w:r w:rsidR="007648B7" w:rsidRPr="00EF198D">
        <w:rPr>
          <w:rFonts w:cstheme="minorHAnsi"/>
          <w:lang w:val="es-ES_tradnl"/>
        </w:rPr>
        <w:t>rca, los Países Bajos y España</w:t>
      </w:r>
      <w:r w:rsidR="00093E87" w:rsidRPr="00EF198D">
        <w:rPr>
          <w:rFonts w:cstheme="minorHAnsi"/>
          <w:lang w:val="es-ES_tradnl"/>
        </w:rPr>
        <w:t>)</w:t>
      </w:r>
      <w:r w:rsidR="000C5EE6" w:rsidRPr="00EF198D">
        <w:rPr>
          <w:rFonts w:cstheme="minorHAnsi"/>
          <w:lang w:val="es-ES_tradnl"/>
        </w:rPr>
        <w:t>.</w:t>
      </w:r>
    </w:p>
    <w:p w:rsidR="00093E87" w:rsidRPr="007D794C" w:rsidRDefault="007648B7" w:rsidP="000C5EE6">
      <w:pPr>
        <w:keepNext/>
        <w:spacing w:before="240" w:after="0" w:line="240" w:lineRule="auto"/>
        <w:rPr>
          <w:rFonts w:eastAsiaTheme="majorEastAsia" w:cstheme="majorBidi"/>
          <w:b/>
          <w:bCs/>
          <w:i/>
          <w:iCs/>
          <w:szCs w:val="28"/>
          <w:lang w:val="es-ES_tradnl"/>
        </w:rPr>
      </w:pPr>
      <w:r w:rsidRPr="007D794C">
        <w:rPr>
          <w:rFonts w:eastAsiaTheme="majorEastAsia" w:cstheme="majorBidi"/>
          <w:b/>
          <w:bCs/>
          <w:i/>
          <w:iCs/>
          <w:szCs w:val="28"/>
          <w:lang w:val="es-ES_tradnl"/>
        </w:rPr>
        <w:t>Un cambio en las políticas</w:t>
      </w:r>
    </w:p>
    <w:p w:rsidR="00093E87" w:rsidRPr="008642EF" w:rsidRDefault="007648B7" w:rsidP="000C5EE6">
      <w:pPr>
        <w:spacing w:before="120" w:after="0" w:line="240" w:lineRule="auto"/>
        <w:rPr>
          <w:lang w:val="es-ES_tradnl"/>
        </w:rPr>
      </w:pPr>
      <w:r w:rsidRPr="008642EF">
        <w:rPr>
          <w:lang w:val="es-ES_tradnl"/>
        </w:rPr>
        <w:t xml:space="preserve">No obstante, en este entorno digital altamente dinámico, es necesario responder a algunas preguntas clave para evaluar </w:t>
      </w:r>
      <w:r w:rsidR="00FA2993" w:rsidRPr="008642EF">
        <w:rPr>
          <w:lang w:val="es-ES_tradnl"/>
        </w:rPr>
        <w:t xml:space="preserve">hasta qué punto </w:t>
      </w:r>
      <w:r w:rsidRPr="008642EF">
        <w:rPr>
          <w:lang w:val="es-ES_tradnl"/>
        </w:rPr>
        <w:t xml:space="preserve">los marcos jurídicos y reglamentarios de los países </w:t>
      </w:r>
      <w:r w:rsidR="00FA2993" w:rsidRPr="008642EF">
        <w:rPr>
          <w:lang w:val="es-ES_tradnl"/>
        </w:rPr>
        <w:t xml:space="preserve">están preparados para </w:t>
      </w:r>
      <w:r w:rsidRPr="008642EF">
        <w:rPr>
          <w:lang w:val="es-ES_tradnl"/>
        </w:rPr>
        <w:t xml:space="preserve">seguir adelante con </w:t>
      </w:r>
      <w:r w:rsidR="00FA2993" w:rsidRPr="008642EF">
        <w:rPr>
          <w:lang w:val="es-ES_tradnl"/>
        </w:rPr>
        <w:t xml:space="preserve">la </w:t>
      </w:r>
      <w:r w:rsidRPr="008642EF">
        <w:rPr>
          <w:lang w:val="es-ES_tradnl"/>
        </w:rPr>
        <w:t xml:space="preserve">agenda digital y garantizar las inversiones en infraestructuras necesarias. En particular, los reguladores deben analizar si están suficientemente equipados para asegurar que las prácticas </w:t>
      </w:r>
      <w:r w:rsidR="00FA2993" w:rsidRPr="008642EF">
        <w:rPr>
          <w:lang w:val="es-ES_tradnl"/>
        </w:rPr>
        <w:t xml:space="preserve">de </w:t>
      </w:r>
      <w:r w:rsidRPr="008642EF">
        <w:rPr>
          <w:lang w:val="es-ES_tradnl"/>
        </w:rPr>
        <w:t xml:space="preserve">redes y proveedores de servicios no son discriminatorias </w:t>
      </w:r>
      <w:r w:rsidR="00FA2993" w:rsidRPr="008642EF">
        <w:rPr>
          <w:lang w:val="es-ES_tradnl"/>
        </w:rPr>
        <w:t xml:space="preserve">así como </w:t>
      </w:r>
      <w:r w:rsidRPr="008642EF">
        <w:rPr>
          <w:lang w:val="es-ES_tradnl"/>
        </w:rPr>
        <w:t xml:space="preserve">la transparencia de la información. Asimismo, deben identificar si </w:t>
      </w:r>
      <w:r w:rsidR="00FA2993" w:rsidRPr="008642EF">
        <w:rPr>
          <w:lang w:val="es-ES_tradnl"/>
        </w:rPr>
        <w:t xml:space="preserve">habría que adoptar </w:t>
      </w:r>
      <w:r w:rsidRPr="008642EF">
        <w:rPr>
          <w:lang w:val="es-ES_tradnl"/>
        </w:rPr>
        <w:t xml:space="preserve">medidas adicionales para contribuir a garantizar la igualdad de condiciones entre los operadores. Además, en aquellos casos en que se soliciten fondos públicos, deberían adoptarse unas políticas </w:t>
      </w:r>
      <w:r w:rsidR="00C82F0F" w:rsidRPr="008642EF">
        <w:rPr>
          <w:lang w:val="es-ES_tradnl"/>
        </w:rPr>
        <w:t xml:space="preserve">de uso </w:t>
      </w:r>
      <w:r w:rsidRPr="008642EF">
        <w:rPr>
          <w:lang w:val="es-ES_tradnl"/>
        </w:rPr>
        <w:t>claras, en consonancia con los principios del libre acceso</w:t>
      </w:r>
      <w:r w:rsidR="00093E87" w:rsidRPr="008642EF">
        <w:rPr>
          <w:lang w:val="es-ES_tradnl"/>
        </w:rPr>
        <w:t xml:space="preserve">. </w:t>
      </w:r>
      <w:r w:rsidR="00356CEB" w:rsidRPr="008642EF">
        <w:rPr>
          <w:lang w:val="es-ES_tradnl"/>
        </w:rPr>
        <w:t xml:space="preserve">Al fijar las políticas y los planes nacionales de banda ancha, los gobiernos deben tener en cuenta la necesidad de examinar </w:t>
      </w:r>
      <w:r w:rsidR="00356CEB" w:rsidRPr="008642EF">
        <w:rPr>
          <w:lang w:val="es-ES_tradnl"/>
        </w:rPr>
        <w:lastRenderedPageBreak/>
        <w:t>las prácticas del espectro</w:t>
      </w:r>
      <w:r w:rsidR="00093E87" w:rsidRPr="008642EF">
        <w:rPr>
          <w:lang w:val="es-ES_tradnl"/>
        </w:rPr>
        <w:t>.</w:t>
      </w:r>
      <w:r w:rsidR="008642EF" w:rsidRPr="008642EF">
        <w:rPr>
          <w:lang w:val="es-ES_tradnl"/>
        </w:rPr>
        <w:t xml:space="preserve"> </w:t>
      </w:r>
      <w:r w:rsidR="00356CEB" w:rsidRPr="008642EF">
        <w:rPr>
          <w:lang w:val="es-ES_tradnl"/>
        </w:rPr>
        <w:t xml:space="preserve">En lo tocante a la protección del consumidor, se apela cada vez más a las instancias decisorias y </w:t>
      </w:r>
      <w:r w:rsidR="00FA2993" w:rsidRPr="008642EF">
        <w:rPr>
          <w:lang w:val="es-ES_tradnl"/>
        </w:rPr>
        <w:t xml:space="preserve">a los </w:t>
      </w:r>
      <w:r w:rsidR="00356CEB" w:rsidRPr="008642EF">
        <w:rPr>
          <w:lang w:val="es-ES_tradnl"/>
        </w:rPr>
        <w:t>organismos reguladores para que den respuesta a varios problemas</w:t>
      </w:r>
      <w:r w:rsidR="00093E87" w:rsidRPr="008642EF">
        <w:rPr>
          <w:lang w:val="es-ES_tradnl"/>
        </w:rPr>
        <w:t xml:space="preserve">, </w:t>
      </w:r>
      <w:r w:rsidR="00356CEB" w:rsidRPr="008642EF">
        <w:rPr>
          <w:lang w:val="es-ES_tradnl"/>
        </w:rPr>
        <w:t xml:space="preserve">tales como </w:t>
      </w:r>
      <w:r w:rsidR="00813B9F" w:rsidRPr="008642EF">
        <w:rPr>
          <w:lang w:val="es-ES_tradnl"/>
        </w:rPr>
        <w:t xml:space="preserve">proteger </w:t>
      </w:r>
      <w:r w:rsidR="00356CEB" w:rsidRPr="008642EF">
        <w:rPr>
          <w:lang w:val="es-ES_tradnl"/>
        </w:rPr>
        <w:t xml:space="preserve">contra las </w:t>
      </w:r>
      <w:proofErr w:type="spellStart"/>
      <w:r w:rsidR="00356CEB" w:rsidRPr="008642EF">
        <w:rPr>
          <w:lang w:val="es-ES_tradnl"/>
        </w:rPr>
        <w:t>ciberamenazas</w:t>
      </w:r>
      <w:proofErr w:type="spellEnd"/>
      <w:r w:rsidR="00356CEB" w:rsidRPr="008642EF">
        <w:rPr>
          <w:lang w:val="es-ES_tradnl"/>
        </w:rPr>
        <w:t>, garantizar la privacidad y la protección de los datos en un entorno en la nube</w:t>
      </w:r>
      <w:r w:rsidR="00813B9F" w:rsidRPr="008642EF">
        <w:rPr>
          <w:lang w:val="es-ES_tradnl"/>
        </w:rPr>
        <w:t xml:space="preserve"> y sensibilizar a </w:t>
      </w:r>
      <w:r w:rsidR="00356CEB" w:rsidRPr="008642EF">
        <w:rPr>
          <w:lang w:val="es-ES_tradnl"/>
        </w:rPr>
        <w:t xml:space="preserve">los usuarios </w:t>
      </w:r>
      <w:r w:rsidR="00813B9F" w:rsidRPr="008642EF">
        <w:rPr>
          <w:lang w:val="es-ES_tradnl"/>
        </w:rPr>
        <w:t xml:space="preserve">sobre el intercambio </w:t>
      </w:r>
      <w:r w:rsidR="00356CEB" w:rsidRPr="008642EF">
        <w:rPr>
          <w:lang w:val="es-ES_tradnl"/>
        </w:rPr>
        <w:t>adecuado de contenidos y su repercusión</w:t>
      </w:r>
      <w:r w:rsidR="00093E87" w:rsidRPr="008642EF">
        <w:rPr>
          <w:lang w:val="es-ES_tradnl"/>
        </w:rPr>
        <w:t>.</w:t>
      </w:r>
      <w:r w:rsidR="0053267C" w:rsidRPr="008642EF">
        <w:rPr>
          <w:lang w:val="es-ES_tradnl"/>
        </w:rPr>
        <w:t xml:space="preserve"> Dado el carácter auténticamente transnacional que han adquirido los servicios transportados por estas redes, el fortalecimiento de la cooperación transfronteriza, regional e internacional en particular en estos ámbitos seguirá siendo clave para garantizar que todos los ciudadanos del mundo puedan beneficiarse de un acceso asequible, seguro y protegido en cualquier lugar y en cualquier momento</w:t>
      </w:r>
      <w:r w:rsidR="00093E87" w:rsidRPr="008642EF">
        <w:rPr>
          <w:lang w:val="es-ES_tradnl"/>
        </w:rPr>
        <w:t xml:space="preserve">. </w:t>
      </w:r>
      <w:r w:rsidR="0053267C" w:rsidRPr="008642EF">
        <w:rPr>
          <w:lang w:val="es-ES_tradnl"/>
        </w:rPr>
        <w:t xml:space="preserve">Además, el cumplimiento de una política y de un marco regulador firmes exige dotarse de una visión y una estrategia claras al más alto nivel para seguir avanzando </w:t>
      </w:r>
      <w:r w:rsidR="00BD79DD" w:rsidRPr="008642EF">
        <w:rPr>
          <w:lang w:val="es-ES_tradnl"/>
        </w:rPr>
        <w:t xml:space="preserve">hacia </w:t>
      </w:r>
      <w:r w:rsidR="0053267C" w:rsidRPr="008642EF">
        <w:rPr>
          <w:lang w:val="es-ES_tradnl"/>
        </w:rPr>
        <w:t xml:space="preserve">la sociedad de la información a la que </w:t>
      </w:r>
      <w:r w:rsidR="00FA2993" w:rsidRPr="008642EF">
        <w:rPr>
          <w:lang w:val="es-ES_tradnl"/>
        </w:rPr>
        <w:t xml:space="preserve">aspiran </w:t>
      </w:r>
      <w:r w:rsidR="00C82F0F" w:rsidRPr="008642EF">
        <w:rPr>
          <w:lang w:val="es-ES_tradnl"/>
        </w:rPr>
        <w:t xml:space="preserve">los países </w:t>
      </w:r>
      <w:r w:rsidR="0053267C" w:rsidRPr="008642EF">
        <w:rPr>
          <w:lang w:val="es-ES_tradnl"/>
        </w:rPr>
        <w:t>desde la celebración de la Cumbre Mundial sobre la Sociedad de la Información (CMSI</w:t>
      </w:r>
      <w:r w:rsidR="00093E87" w:rsidRPr="008642EF">
        <w:rPr>
          <w:lang w:val="es-ES_tradnl"/>
        </w:rPr>
        <w:t>).</w:t>
      </w:r>
    </w:p>
    <w:p w:rsidR="00093E87" w:rsidRPr="008642EF" w:rsidRDefault="0053267C" w:rsidP="003B484F">
      <w:pPr>
        <w:spacing w:before="120" w:after="0" w:line="240" w:lineRule="auto"/>
        <w:rPr>
          <w:lang w:val="es-ES_tradnl"/>
        </w:rPr>
      </w:pPr>
      <w:r w:rsidRPr="008642EF">
        <w:rPr>
          <w:lang w:val="es-ES_tradnl"/>
        </w:rPr>
        <w:t xml:space="preserve">La revisión del actual marco político y </w:t>
      </w:r>
      <w:r w:rsidR="00813B9F" w:rsidRPr="008642EF">
        <w:rPr>
          <w:lang w:val="es-ES_tradnl"/>
        </w:rPr>
        <w:t xml:space="preserve">normativo </w:t>
      </w:r>
      <w:r w:rsidRPr="008642EF">
        <w:rPr>
          <w:lang w:val="es-ES_tradnl"/>
        </w:rPr>
        <w:t xml:space="preserve">de las TIC para adaptarlo al cambiante entorno digital es un proceso en curso que requiere coordinación con múltiples interesados </w:t>
      </w:r>
      <w:r w:rsidR="00813B9F" w:rsidRPr="008642EF">
        <w:rPr>
          <w:lang w:val="es-ES_tradnl"/>
        </w:rPr>
        <w:t xml:space="preserve">a fin de </w:t>
      </w:r>
      <w:r w:rsidRPr="008642EF">
        <w:rPr>
          <w:lang w:val="es-ES_tradnl"/>
        </w:rPr>
        <w:t xml:space="preserve">desarrollar enfoques innovadores que atraigan y garanticen las cuantiosas y continuas inversiones </w:t>
      </w:r>
      <w:r w:rsidR="00FA2993" w:rsidRPr="008642EF">
        <w:rPr>
          <w:lang w:val="es-ES_tradnl"/>
        </w:rPr>
        <w:t xml:space="preserve">en las redes </w:t>
      </w:r>
      <w:r w:rsidRPr="008642EF">
        <w:rPr>
          <w:lang w:val="es-ES_tradnl"/>
        </w:rPr>
        <w:t xml:space="preserve">que siguen </w:t>
      </w:r>
      <w:r w:rsidR="00FA2993" w:rsidRPr="008642EF">
        <w:rPr>
          <w:lang w:val="es-ES_tradnl"/>
        </w:rPr>
        <w:t>siendo necesarias</w:t>
      </w:r>
      <w:r w:rsidR="00093E87" w:rsidRPr="008642EF">
        <w:rPr>
          <w:lang w:val="es-ES_tradnl"/>
        </w:rPr>
        <w:t xml:space="preserve">. </w:t>
      </w:r>
      <w:r w:rsidR="006D592C" w:rsidRPr="008642EF">
        <w:rPr>
          <w:lang w:val="es-ES_tradnl"/>
        </w:rPr>
        <w:t>Las medidas reguladoras y de política por las que se rige la banda ancha tienen implicaciones para otros sectores de la economía, así como para la sociedad en su conjunto, dado el papel de la banda ancha en cuanto que infraestructura de información de primer orden presente en otros sectores clave</w:t>
      </w:r>
      <w:r w:rsidR="00093E87" w:rsidRPr="008642EF">
        <w:rPr>
          <w:lang w:val="es-ES_tradnl"/>
        </w:rPr>
        <w:t xml:space="preserve"> </w:t>
      </w:r>
      <w:r w:rsidR="006D592C" w:rsidRPr="008642EF">
        <w:rPr>
          <w:lang w:val="es-ES_tradnl"/>
        </w:rPr>
        <w:t>(por ejemplo, las redes de potencia, el transporte y los servicios de salud y financieros</w:t>
      </w:r>
      <w:r w:rsidR="00093E87" w:rsidRPr="008642EF">
        <w:rPr>
          <w:lang w:val="es-ES_tradnl"/>
        </w:rPr>
        <w:t xml:space="preserve">). </w:t>
      </w:r>
      <w:r w:rsidR="006D592C" w:rsidRPr="008642EF">
        <w:rPr>
          <w:lang w:val="es-ES_tradnl"/>
        </w:rPr>
        <w:t>Conscientes del papel fundamental de las TIC, más de 145</w:t>
      </w:r>
      <w:r w:rsidR="003B484F">
        <w:rPr>
          <w:lang w:val="es-ES_tradnl"/>
        </w:rPr>
        <w:t> </w:t>
      </w:r>
      <w:r w:rsidR="006D592C" w:rsidRPr="008642EF">
        <w:rPr>
          <w:lang w:val="es-ES_tradnl"/>
        </w:rPr>
        <w:t xml:space="preserve">gobiernos han adoptado </w:t>
      </w:r>
      <w:r w:rsidR="00BD79DD" w:rsidRPr="008642EF">
        <w:rPr>
          <w:lang w:val="es-ES_tradnl"/>
        </w:rPr>
        <w:t xml:space="preserve">o tienen previsto adoptar </w:t>
      </w:r>
      <w:r w:rsidR="006D592C" w:rsidRPr="008642EF">
        <w:rPr>
          <w:lang w:val="es-ES_tradnl"/>
        </w:rPr>
        <w:t>política</w:t>
      </w:r>
      <w:r w:rsidR="00BD79DD" w:rsidRPr="008642EF">
        <w:rPr>
          <w:lang w:val="es-ES_tradnl"/>
        </w:rPr>
        <w:t>s</w:t>
      </w:r>
      <w:r w:rsidR="006D592C" w:rsidRPr="008642EF">
        <w:rPr>
          <w:lang w:val="es-ES_tradnl"/>
        </w:rPr>
        <w:t>, estrategia</w:t>
      </w:r>
      <w:r w:rsidR="00BD79DD" w:rsidRPr="008642EF">
        <w:rPr>
          <w:lang w:val="es-ES_tradnl"/>
        </w:rPr>
        <w:t>s</w:t>
      </w:r>
      <w:r w:rsidR="006D592C" w:rsidRPr="008642EF">
        <w:rPr>
          <w:lang w:val="es-ES_tradnl"/>
        </w:rPr>
        <w:t xml:space="preserve"> o plan</w:t>
      </w:r>
      <w:r w:rsidR="00BD79DD" w:rsidRPr="008642EF">
        <w:rPr>
          <w:lang w:val="es-ES_tradnl"/>
        </w:rPr>
        <w:t>es</w:t>
      </w:r>
      <w:r w:rsidR="006D592C" w:rsidRPr="008642EF">
        <w:rPr>
          <w:lang w:val="es-ES_tradnl"/>
        </w:rPr>
        <w:t xml:space="preserve"> nacional</w:t>
      </w:r>
      <w:r w:rsidR="00BD79DD" w:rsidRPr="008642EF">
        <w:rPr>
          <w:lang w:val="es-ES_tradnl"/>
        </w:rPr>
        <w:t>es</w:t>
      </w:r>
      <w:r w:rsidR="006D592C" w:rsidRPr="008642EF">
        <w:rPr>
          <w:lang w:val="es-ES_tradnl"/>
        </w:rPr>
        <w:t xml:space="preserve"> para promover la banda ancha. Muchas de estas políticas y planes sobre la banda ancha se centran en la creación de una infraestructura nacional de banda ancha, el fomento de la demanda a través de la adopción de servicios y aplicaciones en línea, como la educación virtual, la telemedicina, el gobierno electrónico o el comercio electrónico, y la ampliación de la conectividad para universalizar el acceso</w:t>
      </w:r>
      <w:r w:rsidR="00093E87" w:rsidRPr="008642EF">
        <w:rPr>
          <w:lang w:val="es-ES_tradnl"/>
        </w:rPr>
        <w:t xml:space="preserve"> (</w:t>
      </w:r>
      <w:r w:rsidRPr="008642EF">
        <w:rPr>
          <w:lang w:val="es-ES_tradnl"/>
        </w:rPr>
        <w:t xml:space="preserve">Véase la Figura </w:t>
      </w:r>
      <w:r w:rsidR="00093E87" w:rsidRPr="008642EF">
        <w:rPr>
          <w:lang w:val="es-ES_tradnl"/>
        </w:rPr>
        <w:t>1.4).</w:t>
      </w:r>
    </w:p>
    <w:p w:rsidR="00093E87" w:rsidRPr="0053288C" w:rsidRDefault="00FA2993" w:rsidP="0053288C">
      <w:pPr>
        <w:keepNext/>
        <w:spacing w:before="240" w:after="120" w:line="240" w:lineRule="auto"/>
        <w:rPr>
          <w:b/>
          <w:bCs/>
          <w:lang w:val="es-ES_tradnl"/>
        </w:rPr>
      </w:pPr>
      <w:r w:rsidRPr="0053288C">
        <w:rPr>
          <w:b/>
          <w:bCs/>
          <w:lang w:val="es-ES_tradnl"/>
        </w:rPr>
        <w:t>Figura</w:t>
      </w:r>
      <w:r w:rsidR="00093E87" w:rsidRPr="0053288C">
        <w:rPr>
          <w:b/>
          <w:bCs/>
          <w:lang w:val="es-ES_tradnl"/>
        </w:rPr>
        <w:t xml:space="preserve"> 1.4: </w:t>
      </w:r>
      <w:r w:rsidRPr="0053288C">
        <w:rPr>
          <w:b/>
          <w:bCs/>
          <w:lang w:val="es-ES_tradnl"/>
        </w:rPr>
        <w:t>Objetivos del plan nacional de banda ancha</w:t>
      </w:r>
      <w:r w:rsidR="00093E87" w:rsidRPr="0053288C">
        <w:rPr>
          <w:b/>
          <w:bCs/>
          <w:lang w:val="es-ES_tradnl"/>
        </w:rPr>
        <w:t>, 2012</w:t>
      </w:r>
    </w:p>
    <w:p w:rsidR="00093E87" w:rsidRPr="008642EF" w:rsidRDefault="00093E87" w:rsidP="00B7515B">
      <w:pPr>
        <w:keepNext/>
        <w:autoSpaceDE w:val="0"/>
        <w:autoSpaceDN w:val="0"/>
        <w:adjustRightInd w:val="0"/>
        <w:spacing w:line="240" w:lineRule="auto"/>
        <w:rPr>
          <w:lang w:val="es-ES_tradnl"/>
        </w:rPr>
      </w:pPr>
      <w:r w:rsidRPr="008642EF">
        <w:rPr>
          <w:noProof/>
          <w:lang w:eastAsia="en-US"/>
        </w:rPr>
        <w:drawing>
          <wp:inline distT="0" distB="0" distL="0" distR="0" wp14:anchorId="13E34F09" wp14:editId="125BB9D4">
            <wp:extent cx="5305425" cy="294630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9234" cy="2948420"/>
                    </a:xfrm>
                    <a:prstGeom prst="rect">
                      <a:avLst/>
                    </a:prstGeom>
                    <a:noFill/>
                  </pic:spPr>
                </pic:pic>
              </a:graphicData>
            </a:graphic>
          </wp:inline>
        </w:drawing>
      </w:r>
    </w:p>
    <w:p w:rsidR="00093E87" w:rsidRPr="00706543" w:rsidRDefault="00FA2993" w:rsidP="00706543">
      <w:pPr>
        <w:spacing w:after="0" w:line="240" w:lineRule="auto"/>
        <w:rPr>
          <w:i/>
          <w:iCs/>
          <w:sz w:val="18"/>
          <w:szCs w:val="18"/>
          <w:lang w:val="es-ES_tradnl"/>
        </w:rPr>
      </w:pPr>
      <w:r w:rsidRPr="00706543">
        <w:rPr>
          <w:sz w:val="18"/>
          <w:szCs w:val="18"/>
          <w:lang w:val="es-ES_tradnl"/>
        </w:rPr>
        <w:t>Origen</w:t>
      </w:r>
      <w:r w:rsidR="00093E87" w:rsidRPr="00706543">
        <w:rPr>
          <w:sz w:val="18"/>
          <w:szCs w:val="18"/>
          <w:lang w:val="es-ES_tradnl"/>
        </w:rPr>
        <w:t xml:space="preserve">: </w:t>
      </w:r>
      <w:r w:rsidRPr="00706543">
        <w:rPr>
          <w:sz w:val="18"/>
          <w:szCs w:val="18"/>
          <w:lang w:val="es-ES_tradnl"/>
        </w:rPr>
        <w:t>Base de datos de la UIT sobre reglamentación de las telecomunicaciones/TIC</w:t>
      </w:r>
      <w:r w:rsidR="00093E87" w:rsidRPr="00706543">
        <w:rPr>
          <w:sz w:val="18"/>
          <w:szCs w:val="18"/>
          <w:lang w:val="es-ES_tradnl"/>
        </w:rPr>
        <w:t>.</w:t>
      </w:r>
    </w:p>
    <w:p w:rsidR="003717BD" w:rsidRPr="008642EF" w:rsidRDefault="003717BD" w:rsidP="00F60529">
      <w:pPr>
        <w:keepNext/>
        <w:autoSpaceDE w:val="0"/>
        <w:autoSpaceDN w:val="0"/>
        <w:adjustRightInd w:val="0"/>
        <w:spacing w:before="120" w:after="0" w:line="240" w:lineRule="auto"/>
        <w:rPr>
          <w:sz w:val="18"/>
          <w:szCs w:val="18"/>
          <w:lang w:val="es-ES_tradnl"/>
        </w:rPr>
      </w:pPr>
      <w:r w:rsidRPr="008642EF">
        <w:rPr>
          <w:sz w:val="18"/>
          <w:szCs w:val="18"/>
          <w:lang w:val="es-ES_tradnl"/>
        </w:rPr>
        <w:t>Leyenda</w:t>
      </w:r>
      <w:r w:rsidR="00706543">
        <w:rPr>
          <w:sz w:val="18"/>
          <w:szCs w:val="18"/>
          <w:lang w:val="es-ES_tradnl"/>
        </w:rPr>
        <w:t>s</w:t>
      </w:r>
      <w:r w:rsidRPr="008642EF">
        <w:rPr>
          <w:sz w:val="18"/>
          <w:szCs w:val="18"/>
          <w:lang w:val="es-ES_tradnl"/>
        </w:rPr>
        <w:t xml:space="preserve"> de la </w:t>
      </w:r>
      <w:r w:rsidR="00A91BB0">
        <w:rPr>
          <w:sz w:val="18"/>
          <w:szCs w:val="18"/>
          <w:lang w:val="es-ES_tradnl"/>
        </w:rPr>
        <w:t>F</w:t>
      </w:r>
      <w:r w:rsidRPr="008642EF">
        <w:rPr>
          <w:sz w:val="18"/>
          <w:szCs w:val="18"/>
          <w:lang w:val="es-ES_tradnl"/>
        </w:rPr>
        <w:t>igura:</w:t>
      </w:r>
    </w:p>
    <w:p w:rsidR="003717BD" w:rsidRPr="00F60529" w:rsidRDefault="003717BD" w:rsidP="00F60529">
      <w:pPr>
        <w:spacing w:after="0" w:line="240" w:lineRule="auto"/>
        <w:rPr>
          <w:sz w:val="18"/>
          <w:szCs w:val="18"/>
          <w:lang w:val="es-ES_tradnl"/>
        </w:rPr>
      </w:pPr>
      <w:r w:rsidRPr="00F60529">
        <w:rPr>
          <w:sz w:val="18"/>
          <w:szCs w:val="18"/>
          <w:lang w:val="es-ES_tradnl"/>
        </w:rPr>
        <w:t xml:space="preserve">1 - Crear </w:t>
      </w:r>
      <w:r w:rsidR="00466E45" w:rsidRPr="00F60529">
        <w:rPr>
          <w:sz w:val="18"/>
          <w:szCs w:val="18"/>
          <w:lang w:val="es-ES_tradnl"/>
        </w:rPr>
        <w:t>una</w:t>
      </w:r>
      <w:r w:rsidRPr="00F60529">
        <w:rPr>
          <w:sz w:val="18"/>
          <w:szCs w:val="18"/>
          <w:lang w:val="es-ES_tradnl"/>
        </w:rPr>
        <w:t xml:space="preserve"> infraestructura de banda ancha </w:t>
      </w:r>
      <w:r w:rsidR="00466E45" w:rsidRPr="00F60529">
        <w:rPr>
          <w:sz w:val="18"/>
          <w:szCs w:val="18"/>
          <w:lang w:val="es-ES_tradnl"/>
        </w:rPr>
        <w:t>a nivel nacional</w:t>
      </w:r>
    </w:p>
    <w:p w:rsidR="003717BD" w:rsidRPr="00F60529" w:rsidRDefault="003717BD" w:rsidP="00F60529">
      <w:pPr>
        <w:spacing w:after="0" w:line="240" w:lineRule="auto"/>
        <w:rPr>
          <w:sz w:val="18"/>
          <w:szCs w:val="18"/>
          <w:lang w:val="es-ES_tradnl"/>
        </w:rPr>
      </w:pPr>
      <w:r w:rsidRPr="00F60529">
        <w:rPr>
          <w:sz w:val="18"/>
          <w:szCs w:val="18"/>
          <w:lang w:val="es-ES_tradnl"/>
        </w:rPr>
        <w:t xml:space="preserve">2 - Conectar </w:t>
      </w:r>
      <w:r w:rsidR="00C82F0F" w:rsidRPr="00F60529">
        <w:rPr>
          <w:sz w:val="18"/>
          <w:szCs w:val="18"/>
          <w:lang w:val="es-ES_tradnl"/>
        </w:rPr>
        <w:t xml:space="preserve">a la banda ancha a </w:t>
      </w:r>
      <w:r w:rsidRPr="00F60529">
        <w:rPr>
          <w:sz w:val="18"/>
          <w:szCs w:val="18"/>
          <w:lang w:val="es-ES_tradnl"/>
        </w:rPr>
        <w:t xml:space="preserve">un X% de hogares </w:t>
      </w:r>
    </w:p>
    <w:p w:rsidR="003717BD" w:rsidRPr="00F60529" w:rsidRDefault="003717BD" w:rsidP="00F60529">
      <w:pPr>
        <w:spacing w:after="0" w:line="240" w:lineRule="auto"/>
        <w:rPr>
          <w:sz w:val="18"/>
          <w:szCs w:val="18"/>
          <w:lang w:val="es-ES_tradnl"/>
        </w:rPr>
      </w:pPr>
      <w:r w:rsidRPr="00F60529">
        <w:rPr>
          <w:sz w:val="18"/>
          <w:szCs w:val="18"/>
          <w:lang w:val="es-ES_tradnl"/>
        </w:rPr>
        <w:t>3 - Promover la adopción de servicios y aplicaciones de banda ancha</w:t>
      </w:r>
    </w:p>
    <w:p w:rsidR="003717BD" w:rsidRPr="00F60529" w:rsidRDefault="003717BD" w:rsidP="00F60529">
      <w:pPr>
        <w:spacing w:after="0" w:line="240" w:lineRule="auto"/>
        <w:rPr>
          <w:sz w:val="18"/>
          <w:szCs w:val="18"/>
          <w:lang w:val="es-ES_tradnl"/>
        </w:rPr>
      </w:pPr>
      <w:r w:rsidRPr="00F60529">
        <w:rPr>
          <w:sz w:val="18"/>
          <w:szCs w:val="18"/>
          <w:lang w:val="es-ES_tradnl"/>
        </w:rPr>
        <w:t>4 - Fomentar la prestación de servicios y aplicaciones públicas en línea</w:t>
      </w:r>
    </w:p>
    <w:p w:rsidR="003717BD" w:rsidRPr="00F60529" w:rsidRDefault="003B484F" w:rsidP="00F60529">
      <w:pPr>
        <w:spacing w:after="0" w:line="240" w:lineRule="auto"/>
        <w:rPr>
          <w:sz w:val="18"/>
          <w:szCs w:val="18"/>
          <w:lang w:val="es-ES_tradnl"/>
        </w:rPr>
      </w:pPr>
      <w:r w:rsidRPr="00F60529">
        <w:rPr>
          <w:sz w:val="18"/>
          <w:szCs w:val="18"/>
          <w:lang w:val="es-ES_tradnl"/>
        </w:rPr>
        <w:t>5 - Otros</w:t>
      </w:r>
    </w:p>
    <w:p w:rsidR="00093E87" w:rsidRPr="008642EF" w:rsidRDefault="00466E45" w:rsidP="00007E5A">
      <w:pPr>
        <w:autoSpaceDE w:val="0"/>
        <w:autoSpaceDN w:val="0"/>
        <w:adjustRightInd w:val="0"/>
        <w:spacing w:before="120" w:after="0" w:line="240" w:lineRule="auto"/>
        <w:rPr>
          <w:lang w:val="es-ES_tradnl"/>
        </w:rPr>
      </w:pPr>
      <w:r w:rsidRPr="008642EF">
        <w:rPr>
          <w:lang w:val="es-ES_tradnl"/>
        </w:rPr>
        <w:lastRenderedPageBreak/>
        <w:t xml:space="preserve">En su empeño por </w:t>
      </w:r>
      <w:r w:rsidR="00FB2FD8" w:rsidRPr="008642EF">
        <w:rPr>
          <w:lang w:val="es-ES_tradnl"/>
        </w:rPr>
        <w:t>encontrar alternativas innovadoras para financiar los planes y las políticas, y en aquellos casos en</w:t>
      </w:r>
      <w:r w:rsidR="004904C1" w:rsidRPr="008642EF">
        <w:rPr>
          <w:lang w:val="es-ES_tradnl"/>
        </w:rPr>
        <w:t xml:space="preserve"> los</w:t>
      </w:r>
      <w:r w:rsidR="00FB2FD8" w:rsidRPr="008642EF">
        <w:rPr>
          <w:lang w:val="es-ES_tradnl"/>
        </w:rPr>
        <w:t xml:space="preserve"> que la inversión privada puede estar limitada, algunos países, </w:t>
      </w:r>
      <w:r w:rsidR="004904C1" w:rsidRPr="008642EF">
        <w:rPr>
          <w:lang w:val="es-ES_tradnl"/>
        </w:rPr>
        <w:t xml:space="preserve">entre ellos </w:t>
      </w:r>
      <w:r w:rsidR="00FB2FD8" w:rsidRPr="008642EF">
        <w:rPr>
          <w:lang w:val="es-ES_tradnl"/>
        </w:rPr>
        <w:t xml:space="preserve">Australia, Malasia y Singapur, han optado por destinar fondos públicos directamente a la construcción y el funcionamiento de </w:t>
      </w:r>
      <w:r w:rsidR="008642EF" w:rsidRPr="008642EF">
        <w:rPr>
          <w:lang w:val="es-ES_tradnl"/>
        </w:rPr>
        <w:t>la red, al menos durante un peri</w:t>
      </w:r>
      <w:r w:rsidR="00FB2FD8" w:rsidRPr="008642EF">
        <w:rPr>
          <w:lang w:val="es-ES_tradnl"/>
        </w:rPr>
        <w:t>odo de tiempo determinado. Otros</w:t>
      </w:r>
      <w:r w:rsidRPr="008642EF">
        <w:rPr>
          <w:lang w:val="es-ES_tradnl"/>
        </w:rPr>
        <w:t>, como</w:t>
      </w:r>
      <w:r w:rsidR="00FB2FD8" w:rsidRPr="008642EF">
        <w:rPr>
          <w:lang w:val="es-ES_tradnl"/>
        </w:rPr>
        <w:t xml:space="preserve"> </w:t>
      </w:r>
      <w:r w:rsidRPr="008642EF">
        <w:rPr>
          <w:lang w:val="es-ES_tradnl"/>
        </w:rPr>
        <w:t xml:space="preserve">Francia, Tailandia o </w:t>
      </w:r>
      <w:proofErr w:type="spellStart"/>
      <w:r w:rsidRPr="008642EF">
        <w:rPr>
          <w:lang w:val="es-ES_tradnl"/>
        </w:rPr>
        <w:t>Kenya</w:t>
      </w:r>
      <w:proofErr w:type="spellEnd"/>
      <w:r w:rsidRPr="008642EF">
        <w:rPr>
          <w:lang w:val="es-ES_tradnl"/>
        </w:rPr>
        <w:t xml:space="preserve">, </w:t>
      </w:r>
      <w:r w:rsidR="00FB2FD8" w:rsidRPr="008642EF">
        <w:rPr>
          <w:lang w:val="es-ES_tradnl"/>
        </w:rPr>
        <w:t xml:space="preserve">han establecido alianzas público-privadas para impulsar el desarrollo de proyectos </w:t>
      </w:r>
      <w:r w:rsidRPr="008642EF">
        <w:rPr>
          <w:lang w:val="es-ES_tradnl"/>
        </w:rPr>
        <w:t>de</w:t>
      </w:r>
      <w:r w:rsidR="00FB2FD8" w:rsidRPr="008642EF">
        <w:rPr>
          <w:lang w:val="es-ES_tradnl"/>
        </w:rPr>
        <w:t xml:space="preserve"> acceso</w:t>
      </w:r>
      <w:r w:rsidRPr="008642EF">
        <w:rPr>
          <w:lang w:val="es-ES_tradnl"/>
        </w:rPr>
        <w:t xml:space="preserve"> universal</w:t>
      </w:r>
      <w:r w:rsidR="00FB2FD8" w:rsidRPr="008642EF">
        <w:rPr>
          <w:lang w:val="es-ES_tradnl"/>
        </w:rPr>
        <w:t xml:space="preserve">. Algunos gobiernos también han ofrecido subvenciones directas a través de la adopción de paquetes de estímulo, como </w:t>
      </w:r>
      <w:r w:rsidRPr="008642EF">
        <w:rPr>
          <w:lang w:val="es-ES_tradnl"/>
        </w:rPr>
        <w:t xml:space="preserve">ha sucedido en </w:t>
      </w:r>
      <w:r w:rsidR="00FB2FD8" w:rsidRPr="008642EF">
        <w:rPr>
          <w:lang w:val="es-ES_tradnl"/>
        </w:rPr>
        <w:t>la Unión Europea y los Estados Unidos de América</w:t>
      </w:r>
      <w:r w:rsidR="00007E5A" w:rsidRPr="008642EF">
        <w:rPr>
          <w:rStyle w:val="FootnoteReference"/>
          <w:lang w:val="es-ES_tradnl"/>
        </w:rPr>
        <w:footnoteReference w:id="12"/>
      </w:r>
      <w:r w:rsidRPr="008642EF">
        <w:rPr>
          <w:lang w:val="es-ES_tradnl"/>
        </w:rPr>
        <w:t>.</w:t>
      </w:r>
      <w:r w:rsidR="00093E87" w:rsidRPr="008642EF">
        <w:rPr>
          <w:lang w:val="es-ES_tradnl"/>
        </w:rPr>
        <w:t xml:space="preserve"> </w:t>
      </w:r>
      <w:r w:rsidRPr="008642EF">
        <w:rPr>
          <w:lang w:val="es-ES_tradnl"/>
        </w:rPr>
        <w:t>O</w:t>
      </w:r>
      <w:r w:rsidR="00FB2FD8" w:rsidRPr="008642EF">
        <w:rPr>
          <w:lang w:val="es-ES_tradnl"/>
        </w:rPr>
        <w:t>tros</w:t>
      </w:r>
      <w:r w:rsidRPr="008642EF">
        <w:rPr>
          <w:lang w:val="es-ES_tradnl"/>
        </w:rPr>
        <w:t xml:space="preserve">, por último, </w:t>
      </w:r>
      <w:r w:rsidR="00FB2FD8" w:rsidRPr="008642EF">
        <w:rPr>
          <w:lang w:val="es-ES_tradnl"/>
        </w:rPr>
        <w:t xml:space="preserve">han </w:t>
      </w:r>
      <w:r w:rsidRPr="008642EF">
        <w:rPr>
          <w:lang w:val="es-ES_tradnl"/>
        </w:rPr>
        <w:t xml:space="preserve">apostado por crear </w:t>
      </w:r>
      <w:r w:rsidR="00FB2FD8" w:rsidRPr="008642EF">
        <w:rPr>
          <w:lang w:val="es-ES_tradnl"/>
        </w:rPr>
        <w:t>fondos específicamente dedicados a la banda ancha</w:t>
      </w:r>
      <w:r w:rsidR="00093E87" w:rsidRPr="008642EF">
        <w:rPr>
          <w:lang w:val="es-ES_tradnl"/>
        </w:rPr>
        <w:t xml:space="preserve">. </w:t>
      </w:r>
    </w:p>
    <w:p w:rsidR="00093E87" w:rsidRPr="008642EF" w:rsidRDefault="007455FF" w:rsidP="00007E5A">
      <w:pPr>
        <w:spacing w:before="120" w:after="0" w:line="240" w:lineRule="auto"/>
        <w:rPr>
          <w:lang w:val="es-ES_tradnl"/>
        </w:rPr>
      </w:pPr>
      <w:r w:rsidRPr="008642EF">
        <w:rPr>
          <w:lang w:val="es-ES_tradnl"/>
        </w:rPr>
        <w:t xml:space="preserve">La comunidad mundial de reguladores ha reconocido varias opciones para que los poderes públicos y los reguladores creen incentivos </w:t>
      </w:r>
      <w:r w:rsidR="00466E45" w:rsidRPr="008642EF">
        <w:rPr>
          <w:lang w:val="es-ES_tradnl"/>
        </w:rPr>
        <w:t xml:space="preserve">para el </w:t>
      </w:r>
      <w:r w:rsidRPr="008642EF">
        <w:rPr>
          <w:lang w:val="es-ES_tradnl"/>
        </w:rPr>
        <w:t xml:space="preserve">sector privado </w:t>
      </w:r>
      <w:r w:rsidR="00466E45" w:rsidRPr="008642EF">
        <w:rPr>
          <w:lang w:val="es-ES_tradnl"/>
        </w:rPr>
        <w:t xml:space="preserve">a fin de </w:t>
      </w:r>
      <w:r w:rsidRPr="008642EF">
        <w:rPr>
          <w:lang w:val="es-ES_tradnl"/>
        </w:rPr>
        <w:t xml:space="preserve">que </w:t>
      </w:r>
      <w:r w:rsidR="00466E45" w:rsidRPr="008642EF">
        <w:rPr>
          <w:lang w:val="es-ES_tradnl"/>
        </w:rPr>
        <w:t xml:space="preserve">este </w:t>
      </w:r>
      <w:r w:rsidRPr="008642EF">
        <w:rPr>
          <w:lang w:val="es-ES_tradnl"/>
        </w:rPr>
        <w:t xml:space="preserve">invierta en el sector de las TIC, </w:t>
      </w:r>
      <w:r w:rsidR="00285816" w:rsidRPr="008642EF">
        <w:rPr>
          <w:lang w:val="es-ES_tradnl"/>
        </w:rPr>
        <w:t xml:space="preserve">entre otros la </w:t>
      </w:r>
      <w:r w:rsidRPr="008642EF">
        <w:rPr>
          <w:lang w:val="es-ES_tradnl"/>
        </w:rPr>
        <w:t xml:space="preserve">adopción de políticas favorables, </w:t>
      </w:r>
      <w:r w:rsidR="00285816" w:rsidRPr="008642EF">
        <w:rPr>
          <w:lang w:val="es-ES_tradnl"/>
        </w:rPr>
        <w:t xml:space="preserve">la </w:t>
      </w:r>
      <w:r w:rsidRPr="008642EF">
        <w:rPr>
          <w:lang w:val="es-ES_tradnl"/>
        </w:rPr>
        <w:t xml:space="preserve">simplificación del régimen de concesión de licencias, </w:t>
      </w:r>
      <w:r w:rsidR="00285816" w:rsidRPr="008642EF">
        <w:rPr>
          <w:lang w:val="es-ES_tradnl"/>
        </w:rPr>
        <w:t xml:space="preserve">la </w:t>
      </w:r>
      <w:r w:rsidRPr="008642EF">
        <w:rPr>
          <w:lang w:val="es-ES_tradnl"/>
        </w:rPr>
        <w:t xml:space="preserve">disponibilidad de más espectro, </w:t>
      </w:r>
      <w:r w:rsidR="00285816" w:rsidRPr="008642EF">
        <w:rPr>
          <w:lang w:val="es-ES_tradnl"/>
        </w:rPr>
        <w:t xml:space="preserve">la </w:t>
      </w:r>
      <w:r w:rsidRPr="008642EF">
        <w:rPr>
          <w:lang w:val="es-ES_tradnl"/>
        </w:rPr>
        <w:t xml:space="preserve">reducción de las obligaciones normativas y </w:t>
      </w:r>
      <w:r w:rsidR="00285816" w:rsidRPr="008642EF">
        <w:rPr>
          <w:lang w:val="es-ES_tradnl"/>
        </w:rPr>
        <w:t xml:space="preserve">los </w:t>
      </w:r>
      <w:r w:rsidRPr="008642EF">
        <w:rPr>
          <w:lang w:val="es-ES_tradnl"/>
        </w:rPr>
        <w:t>incentivos fiscales</w:t>
      </w:r>
      <w:r w:rsidR="00007E5A" w:rsidRPr="008642EF">
        <w:rPr>
          <w:rStyle w:val="FootnoteReference"/>
          <w:lang w:val="es-ES_tradnl"/>
        </w:rPr>
        <w:footnoteReference w:id="13"/>
      </w:r>
      <w:r w:rsidR="00093E87" w:rsidRPr="008642EF">
        <w:rPr>
          <w:lang w:val="es-ES_tradnl"/>
        </w:rPr>
        <w:t xml:space="preserve">. </w:t>
      </w:r>
      <w:r w:rsidRPr="008642EF">
        <w:rPr>
          <w:lang w:val="es-ES_tradnl"/>
        </w:rPr>
        <w:t xml:space="preserve">Además, en un entorno tan próspero como el de </w:t>
      </w:r>
      <w:r w:rsidR="003B484F">
        <w:rPr>
          <w:lang w:val="es-ES_tradnl"/>
        </w:rPr>
        <w:t xml:space="preserve">la </w:t>
      </w:r>
      <w:r w:rsidRPr="008642EF">
        <w:rPr>
          <w:lang w:val="es-ES_tradnl"/>
        </w:rPr>
        <w:t xml:space="preserve">banda ancha, los marcos reglamentarios deben </w:t>
      </w:r>
      <w:r w:rsidR="00285816" w:rsidRPr="008642EF">
        <w:rPr>
          <w:lang w:val="es-ES_tradnl"/>
        </w:rPr>
        <w:t xml:space="preserve">buscar el </w:t>
      </w:r>
      <w:r w:rsidRPr="008642EF">
        <w:rPr>
          <w:lang w:val="es-ES_tradnl"/>
        </w:rPr>
        <w:t xml:space="preserve">equilibrio entre </w:t>
      </w:r>
      <w:r w:rsidR="00BD79DD" w:rsidRPr="008642EF">
        <w:rPr>
          <w:lang w:val="es-ES_tradnl"/>
        </w:rPr>
        <w:t>promover</w:t>
      </w:r>
      <w:r w:rsidRPr="008642EF">
        <w:rPr>
          <w:lang w:val="es-ES_tradnl"/>
        </w:rPr>
        <w:t xml:space="preserve"> la competencia en </w:t>
      </w:r>
      <w:r w:rsidR="00BD79DD" w:rsidRPr="008642EF">
        <w:rPr>
          <w:lang w:val="es-ES_tradnl"/>
        </w:rPr>
        <w:t xml:space="preserve">materia de </w:t>
      </w:r>
      <w:r w:rsidRPr="008642EF">
        <w:rPr>
          <w:lang w:val="es-ES_tradnl"/>
        </w:rPr>
        <w:t xml:space="preserve">servicios, en </w:t>
      </w:r>
      <w:r w:rsidR="00BD79DD" w:rsidRPr="008642EF">
        <w:rPr>
          <w:lang w:val="es-ES_tradnl"/>
        </w:rPr>
        <w:t xml:space="preserve">lugar de la competencia en </w:t>
      </w:r>
      <w:r w:rsidRPr="008642EF">
        <w:rPr>
          <w:lang w:val="es-ES_tradnl"/>
        </w:rPr>
        <w:t>infraestructura</w:t>
      </w:r>
      <w:r w:rsidR="00BD79DD" w:rsidRPr="008642EF">
        <w:rPr>
          <w:lang w:val="es-ES_tradnl"/>
        </w:rPr>
        <w:t>s</w:t>
      </w:r>
      <w:r w:rsidR="00466E45" w:rsidRPr="008642EF">
        <w:rPr>
          <w:lang w:val="es-ES_tradnl"/>
        </w:rPr>
        <w:t>,</w:t>
      </w:r>
      <w:r w:rsidRPr="008642EF">
        <w:rPr>
          <w:lang w:val="es-ES_tradnl"/>
        </w:rPr>
        <w:t xml:space="preserve"> para abordar los retos asociados al acceso a las redes y servicios de banda ancha</w:t>
      </w:r>
      <w:r w:rsidR="00007E5A" w:rsidRPr="008642EF">
        <w:rPr>
          <w:rStyle w:val="FootnoteReference"/>
          <w:lang w:val="es-ES_tradnl"/>
        </w:rPr>
        <w:footnoteReference w:id="14"/>
      </w:r>
      <w:r w:rsidR="00093E87" w:rsidRPr="008642EF">
        <w:rPr>
          <w:lang w:val="es-ES_tradnl"/>
        </w:rPr>
        <w:t>.</w:t>
      </w:r>
    </w:p>
    <w:p w:rsidR="00093E87" w:rsidRPr="008642EF" w:rsidRDefault="007455FF" w:rsidP="00B7515B">
      <w:pPr>
        <w:pStyle w:val="Heading3"/>
        <w:numPr>
          <w:ilvl w:val="1"/>
          <w:numId w:val="7"/>
        </w:numPr>
        <w:spacing w:line="240" w:lineRule="auto"/>
        <w:rPr>
          <w:lang w:val="es-ES_tradnl"/>
        </w:rPr>
      </w:pPr>
      <w:r w:rsidRPr="008642EF">
        <w:rPr>
          <w:lang w:val="es-ES_tradnl"/>
        </w:rPr>
        <w:t xml:space="preserve"> </w:t>
      </w:r>
      <w:bookmarkStart w:id="5" w:name="_Toc359935893"/>
      <w:r w:rsidRPr="008642EF">
        <w:rPr>
          <w:lang w:val="es-ES_tradnl"/>
        </w:rPr>
        <w:t>Un vistazo a las t</w:t>
      </w:r>
      <w:r w:rsidR="00285816" w:rsidRPr="008642EF">
        <w:rPr>
          <w:lang w:val="es-ES_tradnl"/>
        </w:rPr>
        <w:t>endencias</w:t>
      </w:r>
      <w:r w:rsidR="00B42A79" w:rsidRPr="008642EF">
        <w:rPr>
          <w:lang w:val="es-ES_tradnl"/>
        </w:rPr>
        <w:t xml:space="preserve"> </w:t>
      </w:r>
      <w:r w:rsidR="00466E45" w:rsidRPr="008642EF">
        <w:rPr>
          <w:lang w:val="es-ES_tradnl"/>
        </w:rPr>
        <w:t xml:space="preserve">normativas en </w:t>
      </w:r>
      <w:r w:rsidR="008C62F2" w:rsidRPr="008642EF">
        <w:rPr>
          <w:lang w:val="es-ES_tradnl"/>
        </w:rPr>
        <w:t xml:space="preserve">las </w:t>
      </w:r>
      <w:r w:rsidRPr="008642EF">
        <w:rPr>
          <w:lang w:val="es-ES_tradnl"/>
        </w:rPr>
        <w:t xml:space="preserve">TIC en la </w:t>
      </w:r>
      <w:r w:rsidR="000B03B6" w:rsidRPr="008642EF">
        <w:rPr>
          <w:lang w:val="es-ES_tradnl"/>
        </w:rPr>
        <w:t xml:space="preserve">Región </w:t>
      </w:r>
      <w:r w:rsidRPr="008642EF">
        <w:rPr>
          <w:lang w:val="es-ES_tradnl"/>
        </w:rPr>
        <w:t>de las Américas</w:t>
      </w:r>
      <w:r w:rsidR="00093E87" w:rsidRPr="008642EF">
        <w:rPr>
          <w:rStyle w:val="FootnoteReference"/>
          <w:rFonts w:cs="Arial"/>
          <w:b w:val="0"/>
          <w:bCs w:val="0"/>
          <w:lang w:val="es-ES_tradnl"/>
        </w:rPr>
        <w:footnoteReference w:id="15"/>
      </w:r>
      <w:bookmarkEnd w:id="5"/>
    </w:p>
    <w:p w:rsidR="00093E87" w:rsidRPr="000C5EE6" w:rsidRDefault="002817FD" w:rsidP="000C5EE6">
      <w:pPr>
        <w:spacing w:before="120" w:after="0" w:line="240" w:lineRule="auto"/>
        <w:rPr>
          <w:rFonts w:cs="Arial"/>
          <w:lang w:val="es-ES_tradnl"/>
        </w:rPr>
      </w:pPr>
      <w:r w:rsidRPr="008642EF">
        <w:rPr>
          <w:rFonts w:cs="Arial"/>
          <w:lang w:val="es-ES_tradnl"/>
        </w:rPr>
        <w:t xml:space="preserve">Los gobiernos de todo el mundo se encuentran en una encrucijada compleja. El tráfico de datos crece de manera exponencial y los consumidores reclaman poder acceder </w:t>
      </w:r>
      <w:r w:rsidR="008C62F2" w:rsidRPr="008642EF">
        <w:rPr>
          <w:rFonts w:cs="Arial"/>
          <w:lang w:val="es-ES_tradnl"/>
        </w:rPr>
        <w:t xml:space="preserve">en todo momento y en cualquier lugar </w:t>
      </w:r>
      <w:r w:rsidRPr="008642EF">
        <w:rPr>
          <w:rFonts w:cs="Arial"/>
          <w:lang w:val="es-ES_tradnl"/>
        </w:rPr>
        <w:t>a aplicaciones y servicios de TIC innovadores</w:t>
      </w:r>
      <w:r w:rsidR="00466E45" w:rsidRPr="008642EF">
        <w:rPr>
          <w:rFonts w:cs="Arial"/>
          <w:lang w:val="es-ES_tradnl"/>
        </w:rPr>
        <w:t xml:space="preserve">; estos dos factores ponen presión </w:t>
      </w:r>
      <w:r w:rsidRPr="008642EF">
        <w:rPr>
          <w:rFonts w:cs="Arial"/>
          <w:lang w:val="es-ES_tradnl"/>
        </w:rPr>
        <w:t xml:space="preserve">a los operadores de las redes que, a su vez, están </w:t>
      </w:r>
      <w:r w:rsidR="00285816" w:rsidRPr="008642EF">
        <w:rPr>
          <w:rFonts w:cs="Arial"/>
          <w:lang w:val="es-ES_tradnl"/>
        </w:rPr>
        <w:t xml:space="preserve">realizando </w:t>
      </w:r>
      <w:r w:rsidRPr="008642EF">
        <w:rPr>
          <w:rFonts w:cs="Arial"/>
          <w:lang w:val="es-ES_tradnl"/>
        </w:rPr>
        <w:t xml:space="preserve">unas cuantiosas inversiones para, en un momento de incertidumbre económica y </w:t>
      </w:r>
      <w:r w:rsidR="008C62F2" w:rsidRPr="008642EF">
        <w:rPr>
          <w:rFonts w:cs="Arial"/>
          <w:lang w:val="es-ES_tradnl"/>
        </w:rPr>
        <w:t xml:space="preserve">lenta </w:t>
      </w:r>
      <w:r w:rsidRPr="008642EF">
        <w:rPr>
          <w:rFonts w:cs="Arial"/>
          <w:lang w:val="es-ES_tradnl"/>
        </w:rPr>
        <w:t>recuperación</w:t>
      </w:r>
      <w:r w:rsidR="00285816" w:rsidRPr="008642EF">
        <w:rPr>
          <w:rFonts w:cs="Arial"/>
          <w:lang w:val="es-ES_tradnl"/>
        </w:rPr>
        <w:t>, implantar la infraestructura de banda ancha necesaria</w:t>
      </w:r>
      <w:r w:rsidRPr="008642EF">
        <w:rPr>
          <w:rFonts w:cs="Arial"/>
          <w:lang w:val="es-ES_tradnl"/>
        </w:rPr>
        <w:t xml:space="preserve">. En este contexto, </w:t>
      </w:r>
      <w:r w:rsidR="00760500" w:rsidRPr="008642EF">
        <w:rPr>
          <w:rFonts w:cs="Arial"/>
          <w:lang w:val="es-ES_tradnl"/>
        </w:rPr>
        <w:t>es</w:t>
      </w:r>
      <w:r w:rsidRPr="008642EF">
        <w:rPr>
          <w:rFonts w:cs="Arial"/>
          <w:lang w:val="es-ES_tradnl"/>
        </w:rPr>
        <w:t xml:space="preserve"> preciso encontrar </w:t>
      </w:r>
      <w:r w:rsidR="00760500" w:rsidRPr="008642EF">
        <w:rPr>
          <w:rFonts w:cs="Arial"/>
          <w:lang w:val="es-ES_tradnl"/>
        </w:rPr>
        <w:t xml:space="preserve">vías alternativas de </w:t>
      </w:r>
      <w:r w:rsidRPr="008642EF">
        <w:rPr>
          <w:rFonts w:cs="Arial"/>
          <w:lang w:val="es-ES_tradnl"/>
        </w:rPr>
        <w:t>financiación para satisfacer las demandas y los objetivos tanto en términos de conectividad como de acceso, así como para reducir y compartir las estrategias de costes</w:t>
      </w:r>
      <w:r w:rsidR="00093E87" w:rsidRPr="008642EF">
        <w:rPr>
          <w:rFonts w:cs="Arial"/>
          <w:lang w:val="es-ES_tradnl"/>
        </w:rPr>
        <w:t xml:space="preserve">. </w:t>
      </w:r>
      <w:r w:rsidR="00F53B0F" w:rsidRPr="008642EF">
        <w:rPr>
          <w:rFonts w:cs="Arial"/>
          <w:lang w:val="es-ES_tradnl"/>
        </w:rPr>
        <w:t xml:space="preserve">En consecuencia, </w:t>
      </w:r>
      <w:r w:rsidR="00760500" w:rsidRPr="008642EF">
        <w:rPr>
          <w:rFonts w:cs="Arial"/>
          <w:lang w:val="es-ES_tradnl"/>
        </w:rPr>
        <w:t xml:space="preserve">los gobiernos deben intervenir </w:t>
      </w:r>
      <w:r w:rsidR="00F53B0F" w:rsidRPr="008642EF">
        <w:rPr>
          <w:rFonts w:cs="Arial"/>
          <w:lang w:val="es-ES_tradnl"/>
        </w:rPr>
        <w:t>en varios niveles para hacer frente a los nuevos imperativos econó</w:t>
      </w:r>
      <w:r w:rsidR="00760500" w:rsidRPr="008642EF">
        <w:rPr>
          <w:rFonts w:cs="Arial"/>
          <w:lang w:val="es-ES_tradnl"/>
        </w:rPr>
        <w:t>m</w:t>
      </w:r>
      <w:r w:rsidR="00F53B0F" w:rsidRPr="008642EF">
        <w:rPr>
          <w:rFonts w:cs="Arial"/>
          <w:lang w:val="es-ES_tradnl"/>
        </w:rPr>
        <w:t xml:space="preserve">icos y sociales de un mundo digital. En este entorno, tanto en la </w:t>
      </w:r>
      <w:r w:rsidR="000B03B6" w:rsidRPr="008642EF">
        <w:rPr>
          <w:rFonts w:cs="Arial"/>
          <w:lang w:val="es-ES_tradnl"/>
        </w:rPr>
        <w:t xml:space="preserve">Región </w:t>
      </w:r>
      <w:r w:rsidR="00F53B0F" w:rsidRPr="008642EF">
        <w:rPr>
          <w:rFonts w:cs="Arial"/>
          <w:lang w:val="es-ES_tradnl"/>
        </w:rPr>
        <w:t>de las Américas como en cualquier otra región del mundo, la clave para garantizar que la inversión siga impulsando el crecimiento y la innovación en la esfera de las TIC</w:t>
      </w:r>
      <w:r w:rsidR="00760500" w:rsidRPr="008642EF">
        <w:rPr>
          <w:rFonts w:cs="Arial"/>
          <w:lang w:val="es-ES_tradnl"/>
        </w:rPr>
        <w:t xml:space="preserve"> siguen siendo unas políticas orientadas y una normativa eficaz</w:t>
      </w:r>
      <w:r w:rsidR="00093E87" w:rsidRPr="008642EF">
        <w:rPr>
          <w:rFonts w:cs="Arial"/>
          <w:lang w:val="es-ES_tradnl"/>
        </w:rPr>
        <w:t xml:space="preserve">. </w:t>
      </w:r>
      <w:r w:rsidR="00671C93" w:rsidRPr="008642EF">
        <w:rPr>
          <w:rFonts w:cs="Arial"/>
          <w:lang w:val="es-ES_tradnl"/>
        </w:rPr>
        <w:t>En la siguiente sección se examina</w:t>
      </w:r>
      <w:r w:rsidR="00760500" w:rsidRPr="008642EF">
        <w:rPr>
          <w:rFonts w:cs="Arial"/>
          <w:lang w:val="es-ES_tradnl"/>
        </w:rPr>
        <w:t xml:space="preserve">n los </w:t>
      </w:r>
      <w:r w:rsidR="00671C93" w:rsidRPr="008642EF">
        <w:rPr>
          <w:rFonts w:cs="Arial"/>
          <w:lang w:val="es-ES_tradnl"/>
        </w:rPr>
        <w:t xml:space="preserve">pasos </w:t>
      </w:r>
      <w:r w:rsidR="00760500" w:rsidRPr="008642EF">
        <w:rPr>
          <w:rFonts w:cs="Arial"/>
          <w:lang w:val="es-ES_tradnl"/>
        </w:rPr>
        <w:t xml:space="preserve">que </w:t>
      </w:r>
      <w:r w:rsidR="00671C93" w:rsidRPr="008642EF">
        <w:rPr>
          <w:rFonts w:cs="Arial"/>
          <w:lang w:val="es-ES_tradnl"/>
        </w:rPr>
        <w:t xml:space="preserve">han dado los países de la </w:t>
      </w:r>
      <w:r w:rsidR="000B03B6" w:rsidRPr="008642EF">
        <w:rPr>
          <w:rFonts w:cs="Arial"/>
          <w:lang w:val="es-ES_tradnl"/>
        </w:rPr>
        <w:t xml:space="preserve">Región </w:t>
      </w:r>
      <w:r w:rsidR="00671C93" w:rsidRPr="008642EF">
        <w:rPr>
          <w:rFonts w:cs="Arial"/>
          <w:lang w:val="es-ES_tradnl"/>
        </w:rPr>
        <w:t>de las Américas para reformar el sector de las TIC a fin de adaptarse a los cambios que se están produciendo en un ecosistema digital dinámico o para anticiparse a ellos</w:t>
      </w:r>
      <w:r w:rsidR="00093E87" w:rsidRPr="008642EF">
        <w:rPr>
          <w:rFonts w:cs="Arial"/>
          <w:lang w:val="es-ES_tradnl"/>
        </w:rPr>
        <w:t>.</w:t>
      </w:r>
    </w:p>
    <w:p w:rsidR="00093E87" w:rsidRPr="008642EF" w:rsidRDefault="006304A9" w:rsidP="00B7515B">
      <w:pPr>
        <w:spacing w:before="120" w:after="0" w:line="240" w:lineRule="auto"/>
        <w:rPr>
          <w:lang w:val="es-ES_tradnl"/>
        </w:rPr>
      </w:pPr>
      <w:r w:rsidRPr="008642EF">
        <w:rPr>
          <w:lang w:val="es-ES_tradnl"/>
        </w:rPr>
        <w:t xml:space="preserve">Distintos países de la </w:t>
      </w:r>
      <w:r w:rsidR="000B03B6" w:rsidRPr="008642EF">
        <w:rPr>
          <w:lang w:val="es-ES_tradnl"/>
        </w:rPr>
        <w:t xml:space="preserve">Región </w:t>
      </w:r>
      <w:r w:rsidRPr="008642EF">
        <w:rPr>
          <w:lang w:val="es-ES_tradnl"/>
        </w:rPr>
        <w:t xml:space="preserve">de las Américas, como el Brasil, los Estados Unidos de América y el Canadá, </w:t>
      </w:r>
      <w:r w:rsidR="00760500" w:rsidRPr="008642EF">
        <w:rPr>
          <w:lang w:val="es-ES_tradnl"/>
        </w:rPr>
        <w:t>fueron de</w:t>
      </w:r>
      <w:r w:rsidRPr="008642EF">
        <w:rPr>
          <w:lang w:val="es-ES_tradnl"/>
        </w:rPr>
        <w:t xml:space="preserve"> los primeros en introducir reformas en el sector </w:t>
      </w:r>
      <w:r w:rsidR="00285816" w:rsidRPr="008642EF">
        <w:rPr>
          <w:lang w:val="es-ES_tradnl"/>
        </w:rPr>
        <w:t xml:space="preserve">con el objetivo de </w:t>
      </w:r>
      <w:r w:rsidRPr="008642EF">
        <w:rPr>
          <w:lang w:val="es-ES_tradnl"/>
        </w:rPr>
        <w:t xml:space="preserve">mejorar el acceso a las telecomunicaciones y a las TIC mediante el establecimiento de una serie de condiciones jurídicas y </w:t>
      </w:r>
      <w:r w:rsidR="00760500" w:rsidRPr="008642EF">
        <w:rPr>
          <w:lang w:val="es-ES_tradnl"/>
        </w:rPr>
        <w:t xml:space="preserve">normativas </w:t>
      </w:r>
      <w:r w:rsidRPr="008642EF">
        <w:rPr>
          <w:lang w:val="es-ES_tradnl"/>
        </w:rPr>
        <w:t xml:space="preserve">para </w:t>
      </w:r>
      <w:r w:rsidR="00760500" w:rsidRPr="008642EF">
        <w:rPr>
          <w:lang w:val="es-ES_tradnl"/>
        </w:rPr>
        <w:t xml:space="preserve">permitir </w:t>
      </w:r>
      <w:r w:rsidR="00285816" w:rsidRPr="008642EF">
        <w:rPr>
          <w:lang w:val="es-ES_tradnl"/>
        </w:rPr>
        <w:t xml:space="preserve">el desarrollo de </w:t>
      </w:r>
      <w:r w:rsidRPr="008642EF">
        <w:rPr>
          <w:lang w:val="es-ES_tradnl"/>
        </w:rPr>
        <w:t>un entorno propicio</w:t>
      </w:r>
      <w:r w:rsidR="00093E87" w:rsidRPr="008642EF">
        <w:rPr>
          <w:lang w:val="es-ES_tradnl"/>
        </w:rPr>
        <w:t xml:space="preserve">. </w:t>
      </w:r>
      <w:r w:rsidRPr="008642EF">
        <w:rPr>
          <w:lang w:val="es-ES_tradnl"/>
        </w:rPr>
        <w:t xml:space="preserve">El ritmo de las reformas en la </w:t>
      </w:r>
      <w:r w:rsidR="00273F6A" w:rsidRPr="008642EF">
        <w:rPr>
          <w:lang w:val="es-ES_tradnl"/>
        </w:rPr>
        <w:t xml:space="preserve">Región </w:t>
      </w:r>
      <w:r w:rsidRPr="008642EF">
        <w:rPr>
          <w:lang w:val="es-ES_tradnl"/>
        </w:rPr>
        <w:t>fue a más en la última década, y ha seguido una trayectoria similar a la observada en otras zonas del mundo</w:t>
      </w:r>
      <w:r w:rsidR="00093E87" w:rsidRPr="008642EF">
        <w:rPr>
          <w:lang w:val="es-ES_tradnl"/>
        </w:rPr>
        <w:t xml:space="preserve">. </w:t>
      </w:r>
      <w:r w:rsidRPr="008642EF">
        <w:rPr>
          <w:lang w:val="es-ES_tradnl"/>
        </w:rPr>
        <w:t xml:space="preserve">En todos los países, </w:t>
      </w:r>
      <w:r w:rsidR="00760500" w:rsidRPr="008642EF">
        <w:rPr>
          <w:lang w:val="es-ES_tradnl"/>
        </w:rPr>
        <w:t xml:space="preserve">la finalidad de </w:t>
      </w:r>
      <w:r w:rsidRPr="008642EF">
        <w:rPr>
          <w:lang w:val="es-ES_tradnl"/>
        </w:rPr>
        <w:t xml:space="preserve">las iniciativas </w:t>
      </w:r>
      <w:r w:rsidR="00760500" w:rsidRPr="008642EF">
        <w:rPr>
          <w:lang w:val="es-ES_tradnl"/>
        </w:rPr>
        <w:t xml:space="preserve">en pro </w:t>
      </w:r>
      <w:r w:rsidRPr="008642EF">
        <w:rPr>
          <w:lang w:val="es-ES_tradnl"/>
        </w:rPr>
        <w:t xml:space="preserve">de la liberalización </w:t>
      </w:r>
      <w:r w:rsidR="00760500" w:rsidRPr="008642EF">
        <w:rPr>
          <w:lang w:val="es-ES_tradnl"/>
        </w:rPr>
        <w:t xml:space="preserve">era </w:t>
      </w:r>
      <w:r w:rsidRPr="008642EF">
        <w:rPr>
          <w:lang w:val="es-ES_tradnl"/>
        </w:rPr>
        <w:t xml:space="preserve">abrir la mayoría de mercados de las TIC a la competencia y </w:t>
      </w:r>
      <w:r w:rsidR="00760500" w:rsidRPr="008642EF">
        <w:rPr>
          <w:lang w:val="es-ES_tradnl"/>
        </w:rPr>
        <w:t xml:space="preserve">a </w:t>
      </w:r>
      <w:r w:rsidRPr="008642EF">
        <w:rPr>
          <w:lang w:val="es-ES_tradnl"/>
        </w:rPr>
        <w:t>la inversión extranjera</w:t>
      </w:r>
      <w:r w:rsidR="00093E87" w:rsidRPr="008642EF">
        <w:rPr>
          <w:lang w:val="es-ES_tradnl"/>
        </w:rPr>
        <w:t xml:space="preserve">. </w:t>
      </w:r>
      <w:r w:rsidR="004E7C38" w:rsidRPr="008642EF">
        <w:rPr>
          <w:lang w:val="es-ES_tradnl"/>
        </w:rPr>
        <w:t xml:space="preserve">Prácticamente </w:t>
      </w:r>
      <w:r w:rsidR="004E7C38" w:rsidRPr="008642EF">
        <w:rPr>
          <w:lang w:val="es-ES_tradnl"/>
        </w:rPr>
        <w:lastRenderedPageBreak/>
        <w:t xml:space="preserve">el 80% de los operadores tradicionales de la </w:t>
      </w:r>
      <w:r w:rsidR="000B03B6" w:rsidRPr="008642EF">
        <w:rPr>
          <w:lang w:val="es-ES_tradnl"/>
        </w:rPr>
        <w:t xml:space="preserve">Región </w:t>
      </w:r>
      <w:r w:rsidR="004E7C38" w:rsidRPr="008642EF">
        <w:rPr>
          <w:lang w:val="es-ES_tradnl"/>
        </w:rPr>
        <w:t xml:space="preserve">de las Américas están, total o parcialmente, </w:t>
      </w:r>
      <w:r w:rsidR="00285816" w:rsidRPr="008642EF">
        <w:rPr>
          <w:lang w:val="es-ES_tradnl"/>
        </w:rPr>
        <w:t xml:space="preserve">en manos </w:t>
      </w:r>
      <w:r w:rsidR="004E7C38" w:rsidRPr="008642EF">
        <w:rPr>
          <w:lang w:val="es-ES_tradnl"/>
        </w:rPr>
        <w:t xml:space="preserve">de inversores privados, </w:t>
      </w:r>
      <w:r w:rsidR="00760500" w:rsidRPr="008642EF">
        <w:rPr>
          <w:lang w:val="es-ES_tradnl"/>
        </w:rPr>
        <w:t xml:space="preserve">y </w:t>
      </w:r>
      <w:r w:rsidR="004E7C38" w:rsidRPr="008642EF">
        <w:rPr>
          <w:lang w:val="es-ES_tradnl"/>
        </w:rPr>
        <w:t xml:space="preserve">en el 70% de los países </w:t>
      </w:r>
      <w:r w:rsidR="00760500" w:rsidRPr="008642EF">
        <w:rPr>
          <w:lang w:val="es-ES_tradnl"/>
        </w:rPr>
        <w:t>no hay límites a la participación extranjera en las empresas</w:t>
      </w:r>
      <w:r w:rsidR="004E7C38" w:rsidRPr="008642EF">
        <w:rPr>
          <w:lang w:val="es-ES_tradnl"/>
        </w:rPr>
        <w:t xml:space="preserve">. En términos de competencia, el </w:t>
      </w:r>
      <w:r w:rsidR="00760500" w:rsidRPr="008642EF">
        <w:rPr>
          <w:lang w:val="es-ES_tradnl"/>
        </w:rPr>
        <w:t xml:space="preserve">funcionamiento </w:t>
      </w:r>
      <w:r w:rsidR="004E7C38" w:rsidRPr="008642EF">
        <w:rPr>
          <w:lang w:val="es-ES_tradnl"/>
        </w:rPr>
        <w:t xml:space="preserve">de los mercados de las TIC de la </w:t>
      </w:r>
      <w:r w:rsidR="000B03B6" w:rsidRPr="008642EF">
        <w:rPr>
          <w:lang w:val="es-ES_tradnl"/>
        </w:rPr>
        <w:t xml:space="preserve">Región </w:t>
      </w:r>
      <w:r w:rsidR="004E7C38" w:rsidRPr="008642EF">
        <w:rPr>
          <w:lang w:val="es-ES_tradnl"/>
        </w:rPr>
        <w:t xml:space="preserve">de las Américas es bueno, y </w:t>
      </w:r>
      <w:r w:rsidR="00760500" w:rsidRPr="008642EF">
        <w:rPr>
          <w:lang w:val="es-ES_tradnl"/>
        </w:rPr>
        <w:t xml:space="preserve">todos los mercados relacionados con la banda ancha </w:t>
      </w:r>
      <w:r w:rsidR="004E7C38" w:rsidRPr="008642EF">
        <w:rPr>
          <w:lang w:val="es-ES_tradnl"/>
        </w:rPr>
        <w:t xml:space="preserve">están, como se muestra en la Figura 1.5, por encima de la media mundial. La entrega de servicios de voz </w:t>
      </w:r>
      <w:r w:rsidR="00760500" w:rsidRPr="008642EF">
        <w:rPr>
          <w:lang w:val="es-ES_tradnl"/>
        </w:rPr>
        <w:t>por</w:t>
      </w:r>
      <w:r w:rsidR="004E7C38" w:rsidRPr="008642EF">
        <w:rPr>
          <w:lang w:val="es-ES_tradnl"/>
        </w:rPr>
        <w:t xml:space="preserve"> IP es legal en el 93% de los países de la </w:t>
      </w:r>
      <w:r w:rsidR="003B484F" w:rsidRPr="008642EF">
        <w:rPr>
          <w:lang w:val="es-ES_tradnl"/>
        </w:rPr>
        <w:t>Región</w:t>
      </w:r>
      <w:r w:rsidR="004E7C38" w:rsidRPr="008642EF">
        <w:rPr>
          <w:lang w:val="es-ES_tradnl"/>
        </w:rPr>
        <w:t xml:space="preserve">, una cifra que </w:t>
      </w:r>
      <w:r w:rsidR="00760500" w:rsidRPr="008642EF">
        <w:rPr>
          <w:lang w:val="es-ES_tradnl"/>
        </w:rPr>
        <w:t xml:space="preserve">la </w:t>
      </w:r>
      <w:r w:rsidR="004E7C38" w:rsidRPr="008642EF">
        <w:rPr>
          <w:lang w:val="es-ES_tradnl"/>
        </w:rPr>
        <w:t xml:space="preserve">sitúa inmediatamente detrás de Europa, donde los servicios de voz sobre IP son legales en todos los países, y de la </w:t>
      </w:r>
      <w:r w:rsidR="000B03B6" w:rsidRPr="008642EF">
        <w:rPr>
          <w:lang w:val="es-ES_tradnl"/>
        </w:rPr>
        <w:t xml:space="preserve">Región </w:t>
      </w:r>
      <w:r w:rsidR="004E7C38" w:rsidRPr="008642EF">
        <w:rPr>
          <w:lang w:val="es-ES_tradnl"/>
        </w:rPr>
        <w:t xml:space="preserve">de Asia y el Pacífico, donde </w:t>
      </w:r>
      <w:r w:rsidR="00285816" w:rsidRPr="008642EF">
        <w:rPr>
          <w:lang w:val="es-ES_tradnl"/>
        </w:rPr>
        <w:t>este</w:t>
      </w:r>
      <w:r w:rsidR="004E7C38" w:rsidRPr="008642EF">
        <w:rPr>
          <w:lang w:val="es-ES_tradnl"/>
        </w:rPr>
        <w:t xml:space="preserve"> porcentaje es del 95%. </w:t>
      </w:r>
      <w:r w:rsidR="007868E2" w:rsidRPr="008642EF">
        <w:rPr>
          <w:lang w:val="es-ES_tradnl"/>
        </w:rPr>
        <w:t>En el 20% de los países en los que servicios básicos y de ADSL siguen en régimen de monopolio podrá ser necesario llevar a cabo esfuerzos adicionales. Una solución para garantizar que los consumidores pued</w:t>
      </w:r>
      <w:r w:rsidR="00A7547E" w:rsidRPr="008642EF">
        <w:rPr>
          <w:lang w:val="es-ES_tradnl"/>
        </w:rPr>
        <w:t>a</w:t>
      </w:r>
      <w:r w:rsidR="007868E2" w:rsidRPr="008642EF">
        <w:rPr>
          <w:lang w:val="es-ES_tradnl"/>
        </w:rPr>
        <w:t xml:space="preserve">n beneficiarse de una mayor competencia puede ser </w:t>
      </w:r>
      <w:r w:rsidR="00A7547E" w:rsidRPr="008642EF">
        <w:rPr>
          <w:lang w:val="es-ES_tradnl"/>
        </w:rPr>
        <w:t xml:space="preserve">requerir tanto a los operadores de telefonía fija como móvil </w:t>
      </w:r>
      <w:r w:rsidR="004904C1" w:rsidRPr="008642EF">
        <w:rPr>
          <w:lang w:val="es-ES_tradnl"/>
        </w:rPr>
        <w:t>que realicen</w:t>
      </w:r>
      <w:r w:rsidR="00A7547E" w:rsidRPr="008642EF">
        <w:rPr>
          <w:lang w:val="es-ES_tradnl"/>
        </w:rPr>
        <w:t xml:space="preserve"> la portabilidad del número</w:t>
      </w:r>
      <w:r w:rsidR="007868E2" w:rsidRPr="008642EF">
        <w:rPr>
          <w:lang w:val="es-ES_tradnl"/>
        </w:rPr>
        <w:t xml:space="preserve">. En la actualidad, </w:t>
      </w:r>
      <w:r w:rsidR="00A7547E" w:rsidRPr="008642EF">
        <w:rPr>
          <w:lang w:val="es-ES_tradnl"/>
        </w:rPr>
        <w:t xml:space="preserve">solamente en el 35% de los países de la </w:t>
      </w:r>
      <w:r w:rsidR="003B484F" w:rsidRPr="008642EF">
        <w:rPr>
          <w:lang w:val="es-ES_tradnl"/>
        </w:rPr>
        <w:t xml:space="preserve">Región </w:t>
      </w:r>
      <w:r w:rsidR="00A7547E" w:rsidRPr="008642EF">
        <w:rPr>
          <w:lang w:val="es-ES_tradnl"/>
        </w:rPr>
        <w:t xml:space="preserve">se requiere a los operadores de telefonía fija la portabilidad, un servicio al que pueden acceder </w:t>
      </w:r>
      <w:r w:rsidR="007868E2" w:rsidRPr="008642EF">
        <w:rPr>
          <w:lang w:val="es-ES_tradnl"/>
        </w:rPr>
        <w:t>el 3</w:t>
      </w:r>
      <w:r w:rsidR="00A7547E" w:rsidRPr="008642EF">
        <w:rPr>
          <w:lang w:val="es-ES_tradnl"/>
        </w:rPr>
        <w:t>8</w:t>
      </w:r>
      <w:r w:rsidR="007868E2" w:rsidRPr="008642EF">
        <w:rPr>
          <w:lang w:val="es-ES_tradnl"/>
        </w:rPr>
        <w:t xml:space="preserve">% de usuarios de teléfono fijo. En el caso de los operadores </w:t>
      </w:r>
      <w:r w:rsidR="00A7547E" w:rsidRPr="008642EF">
        <w:rPr>
          <w:lang w:val="es-ES_tradnl"/>
        </w:rPr>
        <w:t>de telefonía móvil</w:t>
      </w:r>
      <w:r w:rsidR="007868E2" w:rsidRPr="008642EF">
        <w:rPr>
          <w:lang w:val="es-ES_tradnl"/>
        </w:rPr>
        <w:t xml:space="preserve">, en el 52% de los países de la </w:t>
      </w:r>
      <w:r w:rsidR="003B484F" w:rsidRPr="008642EF">
        <w:rPr>
          <w:lang w:val="es-ES_tradnl"/>
        </w:rPr>
        <w:t xml:space="preserve">Región </w:t>
      </w:r>
      <w:r w:rsidR="0080752A" w:rsidRPr="008642EF">
        <w:rPr>
          <w:lang w:val="es-ES_tradnl"/>
        </w:rPr>
        <w:t>es un requisito</w:t>
      </w:r>
      <w:r w:rsidR="007868E2" w:rsidRPr="008642EF">
        <w:rPr>
          <w:lang w:val="es-ES_tradnl"/>
        </w:rPr>
        <w:t xml:space="preserve">, aunque </w:t>
      </w:r>
      <w:r w:rsidR="00A7547E" w:rsidRPr="008642EF">
        <w:rPr>
          <w:lang w:val="es-ES_tradnl"/>
        </w:rPr>
        <w:t xml:space="preserve">este servicio </w:t>
      </w:r>
      <w:r w:rsidR="007868E2" w:rsidRPr="008642EF">
        <w:rPr>
          <w:lang w:val="es-ES_tradnl"/>
        </w:rPr>
        <w:t>solamente está disponible en el 44%</w:t>
      </w:r>
      <w:r w:rsidR="00A7547E" w:rsidRPr="008642EF">
        <w:rPr>
          <w:lang w:val="es-ES_tradnl"/>
        </w:rPr>
        <w:t xml:space="preserve"> de los países</w:t>
      </w:r>
      <w:r w:rsidR="007868E2" w:rsidRPr="008642EF">
        <w:rPr>
          <w:lang w:val="es-ES_tradnl"/>
        </w:rPr>
        <w:t xml:space="preserve">. Este porcentaje es relativamente bajo con respecto a Europa, los Estados </w:t>
      </w:r>
      <w:r w:rsidR="00A7547E" w:rsidRPr="008642EF">
        <w:rPr>
          <w:lang w:val="es-ES_tradnl"/>
        </w:rPr>
        <w:t>Á</w:t>
      </w:r>
      <w:r w:rsidR="007868E2" w:rsidRPr="008642EF">
        <w:rPr>
          <w:lang w:val="es-ES_tradnl"/>
        </w:rPr>
        <w:t xml:space="preserve">rabes y la </w:t>
      </w:r>
      <w:r w:rsidR="000B03B6" w:rsidRPr="008642EF">
        <w:rPr>
          <w:lang w:val="es-ES_tradnl"/>
        </w:rPr>
        <w:t xml:space="preserve">Región </w:t>
      </w:r>
      <w:r w:rsidR="007868E2" w:rsidRPr="008642EF">
        <w:rPr>
          <w:lang w:val="es-ES_tradnl"/>
        </w:rPr>
        <w:t xml:space="preserve">de Asia y el Pacífico (véase la Figura </w:t>
      </w:r>
      <w:r w:rsidR="00093E87" w:rsidRPr="008642EF">
        <w:rPr>
          <w:lang w:val="es-ES_tradnl"/>
        </w:rPr>
        <w:t>1.5).</w:t>
      </w:r>
    </w:p>
    <w:p w:rsidR="00093E87" w:rsidRPr="0053288C" w:rsidRDefault="007868E2" w:rsidP="0053288C">
      <w:pPr>
        <w:keepNext/>
        <w:spacing w:before="240" w:after="120" w:line="240" w:lineRule="auto"/>
        <w:rPr>
          <w:b/>
          <w:bCs/>
          <w:i/>
          <w:iCs/>
          <w:lang w:val="es-ES_tradnl"/>
        </w:rPr>
      </w:pPr>
      <w:r w:rsidRPr="0053288C">
        <w:rPr>
          <w:b/>
          <w:bCs/>
          <w:lang w:val="es-ES_tradnl"/>
        </w:rPr>
        <w:t xml:space="preserve">Figura </w:t>
      </w:r>
      <w:r w:rsidR="00093E87" w:rsidRPr="0053288C">
        <w:rPr>
          <w:b/>
          <w:bCs/>
          <w:lang w:val="es-ES_tradnl"/>
        </w:rPr>
        <w:t>1.5</w:t>
      </w:r>
      <w:r w:rsidR="00354D62">
        <w:rPr>
          <w:b/>
          <w:bCs/>
          <w:lang w:val="es-ES_tradnl"/>
        </w:rPr>
        <w:t>:</w:t>
      </w:r>
      <w:r w:rsidR="00093E87" w:rsidRPr="0053288C">
        <w:rPr>
          <w:b/>
          <w:bCs/>
          <w:lang w:val="es-ES_tradnl"/>
        </w:rPr>
        <w:t xml:space="preserve"> </w:t>
      </w:r>
      <w:r w:rsidRPr="0053288C">
        <w:rPr>
          <w:b/>
          <w:bCs/>
          <w:lang w:val="es-ES_tradnl"/>
        </w:rPr>
        <w:t xml:space="preserve">Competitividad de la </w:t>
      </w:r>
      <w:r w:rsidR="000B03B6" w:rsidRPr="0053288C">
        <w:rPr>
          <w:b/>
          <w:bCs/>
          <w:lang w:val="es-ES_tradnl"/>
        </w:rPr>
        <w:t xml:space="preserve">Región </w:t>
      </w:r>
      <w:r w:rsidRPr="0053288C">
        <w:rPr>
          <w:b/>
          <w:bCs/>
          <w:lang w:val="es-ES_tradnl"/>
        </w:rPr>
        <w:t xml:space="preserve">de las Américas, segmentos de mercado </w:t>
      </w:r>
      <w:r w:rsidR="00A7547E" w:rsidRPr="0053288C">
        <w:rPr>
          <w:b/>
          <w:bCs/>
          <w:lang w:val="es-ES_tradnl"/>
        </w:rPr>
        <w:t>concretos</w:t>
      </w:r>
      <w:r w:rsidR="00093E87" w:rsidRPr="0053288C">
        <w:rPr>
          <w:b/>
          <w:bCs/>
          <w:lang w:val="es-ES_tradnl"/>
        </w:rPr>
        <w:t>, 2012</w:t>
      </w:r>
      <w:r w:rsidR="000C5EE6" w:rsidRPr="0053288C">
        <w:rPr>
          <w:b/>
          <w:bCs/>
          <w:lang w:val="es-ES_tradnl"/>
        </w:rPr>
        <w:br/>
      </w:r>
      <w:r w:rsidRPr="0053288C">
        <w:rPr>
          <w:b/>
          <w:bCs/>
          <w:i/>
          <w:iCs/>
          <w:lang w:val="es-ES_tradnl"/>
        </w:rPr>
        <w:t>Competencia en segmentos de mercado</w:t>
      </w:r>
      <w:r w:rsidR="00A7547E" w:rsidRPr="0053288C">
        <w:rPr>
          <w:b/>
          <w:bCs/>
          <w:i/>
          <w:iCs/>
          <w:lang w:val="es-ES_tradnl"/>
        </w:rPr>
        <w:t xml:space="preserve"> concretos</w:t>
      </w:r>
      <w:r w:rsidRPr="0053288C">
        <w:rPr>
          <w:b/>
          <w:bCs/>
          <w:i/>
          <w:iCs/>
          <w:lang w:val="es-ES_tradnl"/>
        </w:rPr>
        <w:t xml:space="preserve">, </w:t>
      </w:r>
      <w:r w:rsidR="000B03B6" w:rsidRPr="0053288C">
        <w:rPr>
          <w:b/>
          <w:bCs/>
          <w:i/>
          <w:iCs/>
          <w:lang w:val="es-ES_tradnl"/>
        </w:rPr>
        <w:t xml:space="preserve">Región </w:t>
      </w:r>
      <w:r w:rsidRPr="0053288C">
        <w:rPr>
          <w:b/>
          <w:bCs/>
          <w:i/>
          <w:iCs/>
          <w:lang w:val="es-ES_tradnl"/>
        </w:rPr>
        <w:t xml:space="preserve">de las Américas y mundo, </w:t>
      </w:r>
      <w:r w:rsidR="00093E87" w:rsidRPr="0053288C">
        <w:rPr>
          <w:b/>
          <w:bCs/>
          <w:i/>
          <w:iCs/>
          <w:lang w:val="es-ES_tradnl"/>
        </w:rPr>
        <w:t xml:space="preserve">2012 </w:t>
      </w:r>
    </w:p>
    <w:p w:rsidR="00093E87" w:rsidRPr="008642EF" w:rsidRDefault="00093E87" w:rsidP="00B7515B">
      <w:pPr>
        <w:spacing w:after="0" w:line="240" w:lineRule="auto"/>
        <w:rPr>
          <w:sz w:val="20"/>
          <w:szCs w:val="20"/>
          <w:lang w:val="es-ES_tradnl"/>
        </w:rPr>
      </w:pPr>
      <w:r w:rsidRPr="008642EF">
        <w:rPr>
          <w:noProof/>
          <w:sz w:val="20"/>
          <w:szCs w:val="20"/>
          <w:lang w:eastAsia="en-US"/>
        </w:rPr>
        <w:drawing>
          <wp:inline distT="0" distB="0" distL="0" distR="0" wp14:anchorId="63F4BE46" wp14:editId="3F346F7A">
            <wp:extent cx="5705475" cy="293220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7960" cy="2933481"/>
                    </a:xfrm>
                    <a:prstGeom prst="rect">
                      <a:avLst/>
                    </a:prstGeom>
                    <a:noFill/>
                  </pic:spPr>
                </pic:pic>
              </a:graphicData>
            </a:graphic>
          </wp:inline>
        </w:drawing>
      </w:r>
    </w:p>
    <w:p w:rsidR="007868E2" w:rsidRPr="000C5EE6" w:rsidRDefault="007868E2" w:rsidP="00261C0B">
      <w:pPr>
        <w:spacing w:before="240" w:after="0" w:line="240" w:lineRule="auto"/>
        <w:rPr>
          <w:sz w:val="18"/>
          <w:szCs w:val="18"/>
          <w:lang w:val="es-ES_tradnl"/>
        </w:rPr>
      </w:pPr>
      <w:r w:rsidRPr="000C5EE6">
        <w:rPr>
          <w:sz w:val="18"/>
          <w:szCs w:val="18"/>
          <w:lang w:val="es-ES_tradnl"/>
        </w:rPr>
        <w:t>Leyenda</w:t>
      </w:r>
      <w:r w:rsidR="00706543">
        <w:rPr>
          <w:sz w:val="18"/>
          <w:szCs w:val="18"/>
          <w:lang w:val="es-ES_tradnl"/>
        </w:rPr>
        <w:t>s</w:t>
      </w:r>
      <w:r w:rsidRPr="000C5EE6">
        <w:rPr>
          <w:sz w:val="18"/>
          <w:szCs w:val="18"/>
          <w:lang w:val="es-ES_tradnl"/>
        </w:rPr>
        <w:t xml:space="preserve"> de la </w:t>
      </w:r>
      <w:r w:rsidR="00A91BB0" w:rsidRPr="000C5EE6">
        <w:rPr>
          <w:sz w:val="18"/>
          <w:szCs w:val="18"/>
          <w:lang w:val="es-ES_tradnl"/>
        </w:rPr>
        <w:t>F</w:t>
      </w:r>
      <w:r w:rsidRPr="000C5EE6">
        <w:rPr>
          <w:sz w:val="18"/>
          <w:szCs w:val="18"/>
          <w:lang w:val="es-ES_tradnl"/>
        </w:rPr>
        <w:t>igura:</w:t>
      </w:r>
    </w:p>
    <w:p w:rsidR="007868E2" w:rsidRPr="000C5EE6" w:rsidRDefault="007868E2" w:rsidP="00B7515B">
      <w:pPr>
        <w:spacing w:after="0" w:line="240" w:lineRule="auto"/>
        <w:rPr>
          <w:sz w:val="18"/>
          <w:szCs w:val="18"/>
          <w:lang w:val="es-ES_tradnl"/>
        </w:rPr>
      </w:pPr>
      <w:r w:rsidRPr="000C5EE6">
        <w:rPr>
          <w:sz w:val="18"/>
          <w:szCs w:val="18"/>
          <w:lang w:val="es-ES_tradnl"/>
        </w:rPr>
        <w:t>1 - Servicios básicos</w:t>
      </w:r>
    </w:p>
    <w:p w:rsidR="007868E2" w:rsidRPr="000C5EE6" w:rsidRDefault="007868E2" w:rsidP="00B7515B">
      <w:pPr>
        <w:spacing w:after="0" w:line="240" w:lineRule="auto"/>
        <w:rPr>
          <w:sz w:val="18"/>
          <w:szCs w:val="18"/>
          <w:lang w:val="es-ES_tradnl"/>
        </w:rPr>
      </w:pPr>
      <w:r w:rsidRPr="000C5EE6">
        <w:rPr>
          <w:sz w:val="18"/>
          <w:szCs w:val="18"/>
          <w:lang w:val="es-ES_tradnl"/>
        </w:rPr>
        <w:t xml:space="preserve">2 - </w:t>
      </w:r>
      <w:r w:rsidR="00A7547E" w:rsidRPr="000C5EE6">
        <w:rPr>
          <w:sz w:val="18"/>
          <w:szCs w:val="18"/>
          <w:lang w:val="es-ES_tradnl"/>
        </w:rPr>
        <w:t>Telefonía</w:t>
      </w:r>
      <w:r w:rsidRPr="000C5EE6">
        <w:rPr>
          <w:sz w:val="18"/>
          <w:szCs w:val="18"/>
          <w:lang w:val="es-ES_tradnl"/>
        </w:rPr>
        <w:t xml:space="preserve"> móvil</w:t>
      </w:r>
      <w:r w:rsidR="00A7547E" w:rsidRPr="000C5EE6">
        <w:rPr>
          <w:sz w:val="18"/>
          <w:szCs w:val="18"/>
          <w:lang w:val="es-ES_tradnl"/>
        </w:rPr>
        <w:t xml:space="preserve"> celular</w:t>
      </w:r>
    </w:p>
    <w:p w:rsidR="007868E2" w:rsidRPr="000C5EE6" w:rsidRDefault="007868E2" w:rsidP="00B7515B">
      <w:pPr>
        <w:spacing w:after="0" w:line="240" w:lineRule="auto"/>
        <w:rPr>
          <w:sz w:val="18"/>
          <w:szCs w:val="18"/>
          <w:lang w:val="es-ES_tradnl"/>
        </w:rPr>
      </w:pPr>
      <w:r w:rsidRPr="000C5EE6">
        <w:rPr>
          <w:sz w:val="18"/>
          <w:szCs w:val="18"/>
          <w:lang w:val="es-ES_tradnl"/>
        </w:rPr>
        <w:t>3 - Banda ancha inalámbrica fija</w:t>
      </w:r>
    </w:p>
    <w:p w:rsidR="007868E2" w:rsidRPr="000C5EE6" w:rsidRDefault="007868E2" w:rsidP="00B7515B">
      <w:pPr>
        <w:spacing w:after="0" w:line="240" w:lineRule="auto"/>
        <w:rPr>
          <w:sz w:val="18"/>
          <w:szCs w:val="18"/>
          <w:lang w:val="es-ES_tradnl"/>
        </w:rPr>
      </w:pPr>
      <w:r w:rsidRPr="000C5EE6">
        <w:rPr>
          <w:sz w:val="18"/>
          <w:szCs w:val="18"/>
          <w:lang w:val="es-ES_tradnl"/>
        </w:rPr>
        <w:t>4 - Pasarelas internacionales</w:t>
      </w:r>
    </w:p>
    <w:p w:rsidR="007868E2" w:rsidRPr="000C5EE6" w:rsidRDefault="007868E2" w:rsidP="00B7515B">
      <w:pPr>
        <w:spacing w:after="0" w:line="240" w:lineRule="auto"/>
        <w:rPr>
          <w:sz w:val="18"/>
          <w:szCs w:val="18"/>
          <w:lang w:val="es-ES_tradnl"/>
        </w:rPr>
      </w:pPr>
      <w:r w:rsidRPr="000C5EE6">
        <w:rPr>
          <w:sz w:val="18"/>
          <w:szCs w:val="18"/>
          <w:lang w:val="es-ES_tradnl"/>
        </w:rPr>
        <w:t>5 - Banda ancha móvil</w:t>
      </w:r>
    </w:p>
    <w:p w:rsidR="007868E2" w:rsidRPr="000C5EE6" w:rsidRDefault="007868E2" w:rsidP="00B7515B">
      <w:pPr>
        <w:spacing w:after="0" w:line="240" w:lineRule="auto"/>
        <w:rPr>
          <w:sz w:val="18"/>
          <w:szCs w:val="18"/>
          <w:lang w:val="es-ES_tradnl"/>
        </w:rPr>
      </w:pPr>
      <w:r w:rsidRPr="000C5EE6">
        <w:rPr>
          <w:sz w:val="18"/>
          <w:szCs w:val="18"/>
          <w:lang w:val="es-ES_tradnl"/>
        </w:rPr>
        <w:t>6 - Módem de cable</w:t>
      </w:r>
    </w:p>
    <w:p w:rsidR="007868E2" w:rsidRPr="000C5EE6" w:rsidRDefault="007868E2" w:rsidP="00B7515B">
      <w:pPr>
        <w:spacing w:after="0" w:line="240" w:lineRule="auto"/>
        <w:rPr>
          <w:sz w:val="18"/>
          <w:szCs w:val="18"/>
          <w:lang w:val="es-ES_tradnl"/>
        </w:rPr>
      </w:pPr>
      <w:r w:rsidRPr="000C5EE6">
        <w:rPr>
          <w:sz w:val="18"/>
          <w:szCs w:val="18"/>
          <w:lang w:val="es-ES_tradnl"/>
        </w:rPr>
        <w:t>7 - ADSL</w:t>
      </w:r>
    </w:p>
    <w:p w:rsidR="007868E2" w:rsidRPr="000C5EE6" w:rsidRDefault="007868E2" w:rsidP="00B7515B">
      <w:pPr>
        <w:spacing w:after="0" w:line="240" w:lineRule="auto"/>
        <w:rPr>
          <w:sz w:val="18"/>
          <w:szCs w:val="18"/>
          <w:lang w:val="es-ES_tradnl"/>
        </w:rPr>
      </w:pPr>
      <w:r w:rsidRPr="000C5EE6">
        <w:rPr>
          <w:sz w:val="18"/>
          <w:szCs w:val="18"/>
          <w:lang w:val="es-ES_tradnl"/>
        </w:rPr>
        <w:t>8 - Datos</w:t>
      </w:r>
    </w:p>
    <w:p w:rsidR="007868E2" w:rsidRPr="000C5EE6" w:rsidRDefault="007868E2" w:rsidP="00B7515B">
      <w:pPr>
        <w:spacing w:after="0" w:line="240" w:lineRule="auto"/>
        <w:rPr>
          <w:sz w:val="18"/>
          <w:szCs w:val="18"/>
          <w:lang w:val="es-ES_tradnl"/>
        </w:rPr>
      </w:pPr>
      <w:r w:rsidRPr="000C5EE6">
        <w:rPr>
          <w:sz w:val="18"/>
          <w:szCs w:val="18"/>
          <w:lang w:val="es-ES_tradnl"/>
        </w:rPr>
        <w:t>9 - Américas</w:t>
      </w:r>
    </w:p>
    <w:p w:rsidR="007868E2" w:rsidRPr="000C5EE6" w:rsidRDefault="003B484F" w:rsidP="00B7515B">
      <w:pPr>
        <w:spacing w:after="0" w:line="240" w:lineRule="auto"/>
        <w:rPr>
          <w:sz w:val="18"/>
          <w:szCs w:val="18"/>
          <w:lang w:val="es-ES_tradnl"/>
        </w:rPr>
      </w:pPr>
      <w:r>
        <w:rPr>
          <w:sz w:val="18"/>
          <w:szCs w:val="18"/>
          <w:lang w:val="es-ES_tradnl"/>
        </w:rPr>
        <w:t>10 - Mundo</w:t>
      </w:r>
    </w:p>
    <w:p w:rsidR="00093E87" w:rsidRPr="008642EF" w:rsidRDefault="007868E2" w:rsidP="00F60529">
      <w:pPr>
        <w:keepNext/>
        <w:spacing w:before="240" w:after="120" w:line="240" w:lineRule="auto"/>
        <w:rPr>
          <w:b/>
          <w:bCs/>
          <w:i/>
          <w:iCs/>
          <w:lang w:val="es-ES_tradnl"/>
        </w:rPr>
      </w:pPr>
      <w:r w:rsidRPr="008642EF">
        <w:rPr>
          <w:b/>
          <w:bCs/>
          <w:i/>
          <w:iCs/>
          <w:lang w:val="es-ES_tradnl"/>
        </w:rPr>
        <w:lastRenderedPageBreak/>
        <w:t>Portabilidad del número, por región</w:t>
      </w:r>
      <w:r w:rsidR="00093E87" w:rsidRPr="008642EF">
        <w:rPr>
          <w:b/>
          <w:bCs/>
          <w:i/>
          <w:iCs/>
          <w:lang w:val="es-ES_tradnl"/>
        </w:rPr>
        <w:t>, 2012</w:t>
      </w:r>
    </w:p>
    <w:p w:rsidR="00093E87" w:rsidRPr="008642EF" w:rsidRDefault="00093E87" w:rsidP="000C5EE6">
      <w:pPr>
        <w:autoSpaceDE w:val="0"/>
        <w:autoSpaceDN w:val="0"/>
        <w:adjustRightInd w:val="0"/>
        <w:spacing w:line="240" w:lineRule="auto"/>
        <w:rPr>
          <w:sz w:val="18"/>
          <w:szCs w:val="18"/>
          <w:lang w:val="es-ES_tradnl"/>
        </w:rPr>
      </w:pPr>
      <w:r w:rsidRPr="008642EF">
        <w:rPr>
          <w:noProof/>
          <w:sz w:val="18"/>
          <w:szCs w:val="18"/>
          <w:lang w:eastAsia="en-US"/>
        </w:rPr>
        <w:drawing>
          <wp:inline distT="0" distB="0" distL="0" distR="0" wp14:anchorId="59A57250" wp14:editId="3B1F3C7B">
            <wp:extent cx="2838450" cy="2419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93" cy="2427484"/>
                    </a:xfrm>
                    <a:prstGeom prst="rect">
                      <a:avLst/>
                    </a:prstGeom>
                    <a:noFill/>
                  </pic:spPr>
                </pic:pic>
              </a:graphicData>
            </a:graphic>
          </wp:inline>
        </w:drawing>
      </w:r>
      <w:r w:rsidRPr="008642EF">
        <w:rPr>
          <w:sz w:val="18"/>
          <w:szCs w:val="18"/>
          <w:lang w:val="es-ES_tradnl"/>
        </w:rPr>
        <w:t xml:space="preserve"> </w:t>
      </w:r>
      <w:r w:rsidRPr="008642EF">
        <w:rPr>
          <w:noProof/>
          <w:sz w:val="18"/>
          <w:szCs w:val="18"/>
          <w:lang w:eastAsia="en-US"/>
        </w:rPr>
        <w:drawing>
          <wp:inline distT="0" distB="0" distL="0" distR="0" wp14:anchorId="38601739" wp14:editId="5967A5B2">
            <wp:extent cx="2838450" cy="24222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0328" cy="2423851"/>
                    </a:xfrm>
                    <a:prstGeom prst="rect">
                      <a:avLst/>
                    </a:prstGeom>
                    <a:noFill/>
                  </pic:spPr>
                </pic:pic>
              </a:graphicData>
            </a:graphic>
          </wp:inline>
        </w:drawing>
      </w:r>
    </w:p>
    <w:p w:rsidR="00093E87" w:rsidRPr="00706543" w:rsidRDefault="007868E2" w:rsidP="00706543">
      <w:pPr>
        <w:spacing w:after="0" w:line="240" w:lineRule="auto"/>
        <w:rPr>
          <w:i/>
          <w:iCs/>
          <w:sz w:val="18"/>
          <w:szCs w:val="18"/>
          <w:lang w:val="es-ES_tradnl"/>
        </w:rPr>
      </w:pPr>
      <w:r w:rsidRPr="00706543">
        <w:rPr>
          <w:sz w:val="18"/>
          <w:szCs w:val="18"/>
          <w:lang w:val="es-ES_tradnl"/>
        </w:rPr>
        <w:t>Origen</w:t>
      </w:r>
      <w:r w:rsidR="00093E87" w:rsidRPr="00706543">
        <w:rPr>
          <w:sz w:val="18"/>
          <w:szCs w:val="18"/>
          <w:lang w:val="es-ES_tradnl"/>
        </w:rPr>
        <w:t xml:space="preserve">: </w:t>
      </w:r>
      <w:r w:rsidRPr="00706543">
        <w:rPr>
          <w:sz w:val="18"/>
          <w:szCs w:val="18"/>
          <w:lang w:val="es-ES_tradnl"/>
        </w:rPr>
        <w:t>Base de datos de la UIT sobre reglamentación de las telecomunicaciones/TIC</w:t>
      </w:r>
      <w:r w:rsidR="00093E87" w:rsidRPr="00706543">
        <w:rPr>
          <w:sz w:val="18"/>
          <w:szCs w:val="18"/>
          <w:lang w:val="es-ES_tradnl"/>
        </w:rPr>
        <w:t>.</w:t>
      </w:r>
    </w:p>
    <w:p w:rsidR="007868E2" w:rsidRPr="008642EF" w:rsidRDefault="007868E2" w:rsidP="00F60529">
      <w:pPr>
        <w:keepNext/>
        <w:autoSpaceDE w:val="0"/>
        <w:autoSpaceDN w:val="0"/>
        <w:adjustRightInd w:val="0"/>
        <w:spacing w:before="120" w:after="0" w:line="240" w:lineRule="auto"/>
        <w:rPr>
          <w:sz w:val="18"/>
          <w:szCs w:val="18"/>
          <w:lang w:val="es-ES_tradnl"/>
        </w:rPr>
      </w:pPr>
      <w:r w:rsidRPr="008642EF">
        <w:rPr>
          <w:sz w:val="18"/>
          <w:szCs w:val="18"/>
          <w:lang w:val="es-ES_tradnl"/>
        </w:rPr>
        <w:t>Leyenda</w:t>
      </w:r>
      <w:r w:rsidR="00706543">
        <w:rPr>
          <w:sz w:val="18"/>
          <w:szCs w:val="18"/>
          <w:lang w:val="es-ES_tradnl"/>
        </w:rPr>
        <w:t>s</w:t>
      </w:r>
      <w:r w:rsidRPr="008642EF">
        <w:rPr>
          <w:sz w:val="18"/>
          <w:szCs w:val="18"/>
          <w:lang w:val="es-ES_tradnl"/>
        </w:rPr>
        <w:t xml:space="preserve"> de la </w:t>
      </w:r>
      <w:r w:rsidR="00A91BB0">
        <w:rPr>
          <w:sz w:val="18"/>
          <w:szCs w:val="18"/>
          <w:lang w:val="es-ES_tradnl"/>
        </w:rPr>
        <w:t>F</w:t>
      </w:r>
      <w:r w:rsidRPr="008642EF">
        <w:rPr>
          <w:sz w:val="18"/>
          <w:szCs w:val="18"/>
          <w:lang w:val="es-ES_tradnl"/>
        </w:rPr>
        <w:t>igura:</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 xml:space="preserve">1 - </w:t>
      </w:r>
      <w:r w:rsidR="00A7547E" w:rsidRPr="008642EF">
        <w:rPr>
          <w:sz w:val="18"/>
          <w:szCs w:val="18"/>
          <w:lang w:val="es-ES_tradnl"/>
        </w:rPr>
        <w:t>P</w:t>
      </w:r>
      <w:r w:rsidRPr="008642EF">
        <w:rPr>
          <w:sz w:val="18"/>
          <w:szCs w:val="18"/>
          <w:lang w:val="es-ES_tradnl"/>
        </w:rPr>
        <w:t>ortabilidad del número</w:t>
      </w:r>
      <w:r w:rsidR="00A7547E" w:rsidRPr="008642EF">
        <w:rPr>
          <w:sz w:val="18"/>
          <w:szCs w:val="18"/>
          <w:lang w:val="es-ES_tradnl"/>
        </w:rPr>
        <w:t xml:space="preserve"> requerida</w:t>
      </w:r>
      <w:r w:rsidRPr="008642EF">
        <w:rPr>
          <w:sz w:val="18"/>
          <w:szCs w:val="18"/>
          <w:lang w:val="es-ES_tradnl"/>
        </w:rPr>
        <w:t>, 2012</w:t>
      </w:r>
    </w:p>
    <w:p w:rsidR="007868E2" w:rsidRPr="008642EF" w:rsidRDefault="007868E2" w:rsidP="00A91BB0">
      <w:pPr>
        <w:keepNext/>
        <w:autoSpaceDE w:val="0"/>
        <w:autoSpaceDN w:val="0"/>
        <w:adjustRightInd w:val="0"/>
        <w:spacing w:after="0" w:line="240" w:lineRule="auto"/>
        <w:rPr>
          <w:sz w:val="18"/>
          <w:szCs w:val="18"/>
          <w:lang w:val="es-ES_tradnl"/>
        </w:rPr>
      </w:pPr>
      <w:r w:rsidRPr="008642EF">
        <w:rPr>
          <w:sz w:val="18"/>
          <w:szCs w:val="18"/>
          <w:lang w:val="es-ES_tradnl"/>
        </w:rPr>
        <w:t xml:space="preserve">2 </w:t>
      </w:r>
      <w:r w:rsidR="00A91BB0">
        <w:rPr>
          <w:sz w:val="18"/>
          <w:szCs w:val="18"/>
          <w:lang w:val="es-ES_tradnl"/>
        </w:rPr>
        <w:t>-</w:t>
      </w:r>
      <w:r w:rsidRPr="008642EF">
        <w:rPr>
          <w:sz w:val="18"/>
          <w:szCs w:val="18"/>
          <w:lang w:val="es-ES_tradnl"/>
        </w:rPr>
        <w:t xml:space="preserve"> </w:t>
      </w:r>
      <w:r w:rsidR="0080752A" w:rsidRPr="008642EF">
        <w:rPr>
          <w:sz w:val="18"/>
          <w:szCs w:val="18"/>
          <w:lang w:val="es-ES_tradnl"/>
        </w:rPr>
        <w:t xml:space="preserve">A los </w:t>
      </w:r>
      <w:r w:rsidRPr="008642EF">
        <w:rPr>
          <w:sz w:val="18"/>
          <w:szCs w:val="18"/>
          <w:lang w:val="es-ES_tradnl"/>
        </w:rPr>
        <w:t>operadores de línea fija</w:t>
      </w:r>
    </w:p>
    <w:p w:rsidR="007868E2" w:rsidRPr="008642EF" w:rsidRDefault="007868E2" w:rsidP="00A91BB0">
      <w:pPr>
        <w:keepNext/>
        <w:autoSpaceDE w:val="0"/>
        <w:autoSpaceDN w:val="0"/>
        <w:adjustRightInd w:val="0"/>
        <w:spacing w:after="0" w:line="240" w:lineRule="auto"/>
        <w:rPr>
          <w:sz w:val="18"/>
          <w:szCs w:val="18"/>
          <w:lang w:val="es-ES_tradnl"/>
        </w:rPr>
      </w:pPr>
      <w:r w:rsidRPr="008642EF">
        <w:rPr>
          <w:sz w:val="18"/>
          <w:szCs w:val="18"/>
          <w:lang w:val="es-ES_tradnl"/>
        </w:rPr>
        <w:t xml:space="preserve">3 </w:t>
      </w:r>
      <w:r w:rsidR="00A91BB0">
        <w:rPr>
          <w:sz w:val="18"/>
          <w:szCs w:val="18"/>
          <w:lang w:val="es-ES_tradnl"/>
        </w:rPr>
        <w:t>-</w:t>
      </w:r>
      <w:r w:rsidRPr="008642EF">
        <w:rPr>
          <w:sz w:val="18"/>
          <w:szCs w:val="18"/>
          <w:lang w:val="es-ES_tradnl"/>
        </w:rPr>
        <w:t xml:space="preserve"> </w:t>
      </w:r>
      <w:r w:rsidR="0080752A" w:rsidRPr="008642EF">
        <w:rPr>
          <w:sz w:val="18"/>
          <w:szCs w:val="18"/>
          <w:lang w:val="es-ES_tradnl"/>
        </w:rPr>
        <w:t xml:space="preserve">A los </w:t>
      </w:r>
      <w:r w:rsidRPr="008642EF">
        <w:rPr>
          <w:sz w:val="18"/>
          <w:szCs w:val="18"/>
          <w:lang w:val="es-ES_tradnl"/>
        </w:rPr>
        <w:t>operadores móviles</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4 - % de países</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5 - África</w:t>
      </w:r>
    </w:p>
    <w:p w:rsidR="007868E2" w:rsidRPr="008642EF" w:rsidRDefault="004904C1" w:rsidP="000C5EE6">
      <w:pPr>
        <w:keepNext/>
        <w:autoSpaceDE w:val="0"/>
        <w:autoSpaceDN w:val="0"/>
        <w:adjustRightInd w:val="0"/>
        <w:spacing w:after="0" w:line="240" w:lineRule="auto"/>
        <w:rPr>
          <w:sz w:val="18"/>
          <w:szCs w:val="18"/>
          <w:lang w:val="es-ES_tradnl"/>
        </w:rPr>
      </w:pPr>
      <w:r w:rsidRPr="008642EF">
        <w:rPr>
          <w:sz w:val="18"/>
          <w:szCs w:val="18"/>
          <w:lang w:val="es-ES_tradnl"/>
        </w:rPr>
        <w:t>6 - Estados Á</w:t>
      </w:r>
      <w:r w:rsidR="007868E2" w:rsidRPr="008642EF">
        <w:rPr>
          <w:sz w:val="18"/>
          <w:szCs w:val="18"/>
          <w:lang w:val="es-ES_tradnl"/>
        </w:rPr>
        <w:t>rabes</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7 - Asia y el Pacífico</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8 - CEI</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9 - Europa</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10 - Las Américas</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11 - Disponibilidad del servicio de portabilidad del número, 2012</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 xml:space="preserve">12 - Para </w:t>
      </w:r>
      <w:r w:rsidR="0080752A" w:rsidRPr="008642EF">
        <w:rPr>
          <w:sz w:val="18"/>
          <w:szCs w:val="18"/>
          <w:lang w:val="es-ES_tradnl"/>
        </w:rPr>
        <w:t xml:space="preserve">los </w:t>
      </w:r>
      <w:r w:rsidRPr="008642EF">
        <w:rPr>
          <w:sz w:val="18"/>
          <w:szCs w:val="18"/>
          <w:lang w:val="es-ES_tradnl"/>
        </w:rPr>
        <w:t>usuarios de línea fija</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13 - África</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 xml:space="preserve">14 - Estados </w:t>
      </w:r>
      <w:r w:rsidR="004904C1" w:rsidRPr="008642EF">
        <w:rPr>
          <w:sz w:val="18"/>
          <w:szCs w:val="18"/>
          <w:lang w:val="es-ES_tradnl"/>
        </w:rPr>
        <w:t>Á</w:t>
      </w:r>
      <w:r w:rsidRPr="008642EF">
        <w:rPr>
          <w:sz w:val="18"/>
          <w:szCs w:val="18"/>
          <w:lang w:val="es-ES_tradnl"/>
        </w:rPr>
        <w:t>rabes</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15 - Asia y el Pacífico</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16 - CEI</w:t>
      </w:r>
    </w:p>
    <w:p w:rsidR="007868E2" w:rsidRPr="008642EF" w:rsidRDefault="007868E2" w:rsidP="000C5EE6">
      <w:pPr>
        <w:keepNext/>
        <w:autoSpaceDE w:val="0"/>
        <w:autoSpaceDN w:val="0"/>
        <w:adjustRightInd w:val="0"/>
        <w:spacing w:after="0" w:line="240" w:lineRule="auto"/>
        <w:rPr>
          <w:sz w:val="18"/>
          <w:szCs w:val="18"/>
          <w:lang w:val="es-ES_tradnl"/>
        </w:rPr>
      </w:pPr>
      <w:r w:rsidRPr="008642EF">
        <w:rPr>
          <w:sz w:val="18"/>
          <w:szCs w:val="18"/>
          <w:lang w:val="es-ES_tradnl"/>
        </w:rPr>
        <w:t>17 - Europa</w:t>
      </w:r>
    </w:p>
    <w:p w:rsidR="007868E2" w:rsidRPr="008642EF" w:rsidRDefault="003B484F" w:rsidP="000C5EE6">
      <w:pPr>
        <w:keepNext/>
        <w:autoSpaceDE w:val="0"/>
        <w:autoSpaceDN w:val="0"/>
        <w:adjustRightInd w:val="0"/>
        <w:spacing w:after="0" w:line="240" w:lineRule="auto"/>
        <w:rPr>
          <w:sz w:val="18"/>
          <w:szCs w:val="18"/>
          <w:lang w:val="es-ES_tradnl"/>
        </w:rPr>
      </w:pPr>
      <w:r>
        <w:rPr>
          <w:sz w:val="18"/>
          <w:szCs w:val="18"/>
          <w:lang w:val="es-ES_tradnl"/>
        </w:rPr>
        <w:t>18 - Las Américas</w:t>
      </w:r>
    </w:p>
    <w:p w:rsidR="00093E87" w:rsidRPr="008642EF" w:rsidRDefault="00E722F3" w:rsidP="00E83BD6">
      <w:pPr>
        <w:spacing w:before="120" w:after="0" w:line="240" w:lineRule="auto"/>
        <w:rPr>
          <w:lang w:val="es-ES_tradnl"/>
        </w:rPr>
      </w:pPr>
      <w:r w:rsidRPr="008642EF">
        <w:rPr>
          <w:lang w:val="es-ES_tradnl"/>
        </w:rPr>
        <w:t xml:space="preserve">La adopción de un régimen de licencias simplificado y el establecimiento de </w:t>
      </w:r>
      <w:r w:rsidR="00A7547E" w:rsidRPr="008642EF">
        <w:rPr>
          <w:lang w:val="es-ES_tradnl"/>
        </w:rPr>
        <w:t xml:space="preserve">organismos </w:t>
      </w:r>
      <w:r w:rsidRPr="008642EF">
        <w:rPr>
          <w:lang w:val="es-ES_tradnl"/>
        </w:rPr>
        <w:t xml:space="preserve">reguladores independientes para las telecomunicaciones y las TIC son otras </w:t>
      </w:r>
      <w:r w:rsidR="00A7547E" w:rsidRPr="008642EF">
        <w:rPr>
          <w:lang w:val="es-ES_tradnl"/>
        </w:rPr>
        <w:t xml:space="preserve">de las </w:t>
      </w:r>
      <w:r w:rsidRPr="008642EF">
        <w:rPr>
          <w:lang w:val="es-ES_tradnl"/>
        </w:rPr>
        <w:t xml:space="preserve">medidas </w:t>
      </w:r>
      <w:r w:rsidR="00A7547E" w:rsidRPr="008642EF">
        <w:rPr>
          <w:lang w:val="es-ES_tradnl"/>
        </w:rPr>
        <w:t xml:space="preserve">normativas </w:t>
      </w:r>
      <w:r w:rsidRPr="008642EF">
        <w:rPr>
          <w:lang w:val="es-ES_tradnl"/>
        </w:rPr>
        <w:t xml:space="preserve">e institucionales adoptadas por los gobiernos para reformar el sector. </w:t>
      </w:r>
      <w:r w:rsidR="00A7547E" w:rsidRPr="008642EF">
        <w:rPr>
          <w:lang w:val="es-ES_tradnl"/>
        </w:rPr>
        <w:t>En p</w:t>
      </w:r>
      <w:r w:rsidRPr="008642EF">
        <w:rPr>
          <w:lang w:val="es-ES_tradnl"/>
        </w:rPr>
        <w:t>aíses como la Argentina, las Bahamas, Colombia y el Perú</w:t>
      </w:r>
      <w:r w:rsidR="004904C1" w:rsidRPr="008642EF">
        <w:rPr>
          <w:lang w:val="es-ES_tradnl"/>
        </w:rPr>
        <w:t>,</w:t>
      </w:r>
      <w:r w:rsidRPr="008642EF">
        <w:rPr>
          <w:lang w:val="es-ES_tradnl"/>
        </w:rPr>
        <w:t xml:space="preserve"> l</w:t>
      </w:r>
      <w:r w:rsidR="008C62F2" w:rsidRPr="008642EF">
        <w:rPr>
          <w:lang w:val="es-ES_tradnl"/>
        </w:rPr>
        <w:t>a simplificación de los regímenes de concesión de licencias ha suavizado l</w:t>
      </w:r>
      <w:r w:rsidRPr="008642EF">
        <w:rPr>
          <w:lang w:val="es-ES_tradnl"/>
        </w:rPr>
        <w:t xml:space="preserve">os procesos </w:t>
      </w:r>
      <w:r w:rsidR="00A7547E" w:rsidRPr="008642EF">
        <w:rPr>
          <w:lang w:val="es-ES_tradnl"/>
        </w:rPr>
        <w:t xml:space="preserve">para entrar </w:t>
      </w:r>
      <w:r w:rsidRPr="008642EF">
        <w:rPr>
          <w:lang w:val="es-ES_tradnl"/>
        </w:rPr>
        <w:t xml:space="preserve">en el mercado. No obstante, en muchos países de la </w:t>
      </w:r>
      <w:r w:rsidR="000B03B6" w:rsidRPr="008642EF">
        <w:rPr>
          <w:lang w:val="es-ES_tradnl"/>
        </w:rPr>
        <w:t>Región</w:t>
      </w:r>
      <w:r w:rsidRPr="008642EF">
        <w:rPr>
          <w:lang w:val="es-ES_tradnl"/>
        </w:rPr>
        <w:t xml:space="preserve"> de las Américas</w:t>
      </w:r>
      <w:r w:rsidR="0080752A" w:rsidRPr="008642EF">
        <w:rPr>
          <w:lang w:val="es-ES_tradnl"/>
        </w:rPr>
        <w:t xml:space="preserve">, la concesión de </w:t>
      </w:r>
      <w:r w:rsidRPr="008642EF">
        <w:rPr>
          <w:lang w:val="es-ES_tradnl"/>
        </w:rPr>
        <w:t xml:space="preserve">licencias </w:t>
      </w:r>
      <w:r w:rsidR="0080752A" w:rsidRPr="008642EF">
        <w:rPr>
          <w:lang w:val="es-ES_tradnl"/>
        </w:rPr>
        <w:t>individuales por servicio sigue</w:t>
      </w:r>
      <w:r w:rsidRPr="008642EF">
        <w:rPr>
          <w:lang w:val="es-ES_tradnl"/>
        </w:rPr>
        <w:t xml:space="preserve"> siendo la norma</w:t>
      </w:r>
      <w:r w:rsidR="00093E87" w:rsidRPr="008642EF">
        <w:rPr>
          <w:rFonts w:cs="Arial"/>
          <w:lang w:val="es-ES_tradnl"/>
        </w:rPr>
        <w:t xml:space="preserve">. </w:t>
      </w:r>
      <w:r w:rsidRPr="008642EF">
        <w:rPr>
          <w:rFonts w:cs="Arial"/>
          <w:lang w:val="es-ES_tradnl"/>
        </w:rPr>
        <w:t xml:space="preserve">El primer organismo regulador de las telecomunicaciones de la </w:t>
      </w:r>
      <w:r w:rsidR="003B484F" w:rsidRPr="008642EF">
        <w:rPr>
          <w:rFonts w:cs="Arial"/>
          <w:lang w:val="es-ES_tradnl"/>
        </w:rPr>
        <w:t xml:space="preserve">Región </w:t>
      </w:r>
      <w:r w:rsidRPr="008642EF">
        <w:rPr>
          <w:rFonts w:cs="Arial"/>
          <w:lang w:val="es-ES_tradnl"/>
        </w:rPr>
        <w:t xml:space="preserve">se creó en 1934, cuando los Estados Unidos de América establecieron la Comisión Federal de Comunicaciones </w:t>
      </w:r>
      <w:r w:rsidR="00093E87" w:rsidRPr="008642EF">
        <w:rPr>
          <w:rFonts w:cs="Arial"/>
          <w:lang w:val="es-ES_tradnl"/>
        </w:rPr>
        <w:t>(FCC)</w:t>
      </w:r>
      <w:r w:rsidRPr="008642EF">
        <w:rPr>
          <w:rFonts w:cs="Arial"/>
          <w:lang w:val="es-ES_tradnl"/>
        </w:rPr>
        <w:t>, tras la que llegó, en</w:t>
      </w:r>
      <w:r w:rsidR="00E83BD6">
        <w:rPr>
          <w:rFonts w:cs="Arial"/>
          <w:lang w:val="es-ES_tradnl"/>
        </w:rPr>
        <w:t> </w:t>
      </w:r>
      <w:r w:rsidRPr="008642EF">
        <w:rPr>
          <w:rFonts w:cs="Arial"/>
          <w:lang w:val="es-ES_tradnl"/>
        </w:rPr>
        <w:t xml:space="preserve">1968, la Comisión Canadiense de Radiotelevisión y Telecomunicaciones (CRTC), en el Canadá. En las últimas dos décadas, la mayoría de países de la </w:t>
      </w:r>
      <w:r w:rsidR="003B484F" w:rsidRPr="008642EF">
        <w:rPr>
          <w:rFonts w:cs="Arial"/>
          <w:lang w:val="es-ES_tradnl"/>
        </w:rPr>
        <w:t xml:space="preserve">Región </w:t>
      </w:r>
      <w:r w:rsidRPr="008642EF">
        <w:rPr>
          <w:rFonts w:cs="Arial"/>
          <w:lang w:val="es-ES_tradnl"/>
        </w:rPr>
        <w:t xml:space="preserve">han seguido el ejemplo de los Estados Unidos y el Canadá. A finales de 2012, el 94% de los países de la </w:t>
      </w:r>
      <w:r w:rsidR="003B484F" w:rsidRPr="008642EF">
        <w:rPr>
          <w:rFonts w:cs="Arial"/>
          <w:lang w:val="es-ES_tradnl"/>
        </w:rPr>
        <w:t xml:space="preserve">Región </w:t>
      </w:r>
      <w:r w:rsidRPr="008642EF">
        <w:rPr>
          <w:rFonts w:cs="Arial"/>
          <w:lang w:val="es-ES_tradnl"/>
        </w:rPr>
        <w:t xml:space="preserve">habían creado un organismo regulador de las telecomunicaciones/TIC independiente, y la </w:t>
      </w:r>
      <w:r w:rsidR="000B03B6" w:rsidRPr="008642EF">
        <w:rPr>
          <w:rFonts w:cs="Arial"/>
          <w:lang w:val="es-ES_tradnl"/>
        </w:rPr>
        <w:t>Región</w:t>
      </w:r>
      <w:r w:rsidRPr="008642EF">
        <w:rPr>
          <w:rFonts w:cs="Arial"/>
          <w:lang w:val="es-ES_tradnl"/>
        </w:rPr>
        <w:t xml:space="preserve"> de las Américas es hoy la región con un mayor porcentaje de organ</w:t>
      </w:r>
      <w:r w:rsidR="00A7547E" w:rsidRPr="008642EF">
        <w:rPr>
          <w:rFonts w:cs="Arial"/>
          <w:lang w:val="es-ES_tradnl"/>
        </w:rPr>
        <w:t>ismos reguladores independientes</w:t>
      </w:r>
      <w:r w:rsidRPr="008642EF">
        <w:rPr>
          <w:rFonts w:cs="Arial"/>
          <w:lang w:val="es-ES_tradnl"/>
        </w:rPr>
        <w:t xml:space="preserve"> (véase la Figura </w:t>
      </w:r>
      <w:r w:rsidR="00093E87" w:rsidRPr="008642EF">
        <w:rPr>
          <w:rFonts w:cs="Arial"/>
          <w:lang w:val="es-ES_tradnl"/>
        </w:rPr>
        <w:t>1.6).</w:t>
      </w:r>
      <w:r w:rsidR="008642EF" w:rsidRPr="008642EF">
        <w:rPr>
          <w:rFonts w:cs="Arial"/>
          <w:lang w:val="es-ES_tradnl"/>
        </w:rPr>
        <w:t xml:space="preserve"> </w:t>
      </w:r>
    </w:p>
    <w:p w:rsidR="00093E87" w:rsidRPr="00354D62" w:rsidRDefault="0059625F" w:rsidP="0053288C">
      <w:pPr>
        <w:keepNext/>
        <w:spacing w:before="240" w:after="120" w:line="240" w:lineRule="auto"/>
        <w:rPr>
          <w:b/>
          <w:bCs/>
          <w:lang w:val="es-ES_tradnl"/>
        </w:rPr>
      </w:pPr>
      <w:r w:rsidRPr="00354D62">
        <w:rPr>
          <w:b/>
          <w:bCs/>
          <w:lang w:val="es-ES_tradnl"/>
        </w:rPr>
        <w:lastRenderedPageBreak/>
        <w:t>Figura</w:t>
      </w:r>
      <w:r w:rsidR="00093E87" w:rsidRPr="00354D62">
        <w:rPr>
          <w:b/>
          <w:bCs/>
          <w:lang w:val="es-ES_tradnl"/>
        </w:rPr>
        <w:t xml:space="preserve"> 1.6</w:t>
      </w:r>
      <w:r w:rsidR="00354D62" w:rsidRPr="00354D62">
        <w:rPr>
          <w:b/>
          <w:bCs/>
          <w:lang w:val="es-ES_tradnl"/>
        </w:rPr>
        <w:t>:</w:t>
      </w:r>
      <w:r w:rsidR="00093E87" w:rsidRPr="00354D62">
        <w:rPr>
          <w:b/>
          <w:bCs/>
          <w:lang w:val="es-ES_tradnl"/>
        </w:rPr>
        <w:t xml:space="preserve"> </w:t>
      </w:r>
      <w:r w:rsidRPr="00354D62">
        <w:rPr>
          <w:b/>
          <w:bCs/>
          <w:lang w:val="es-ES_tradnl"/>
        </w:rPr>
        <w:t>Organismos reguladores independientes por región</w:t>
      </w:r>
      <w:r w:rsidR="00354D62">
        <w:rPr>
          <w:b/>
          <w:bCs/>
          <w:lang w:val="es-ES_tradnl"/>
        </w:rPr>
        <w:t>, 2012</w:t>
      </w:r>
    </w:p>
    <w:p w:rsidR="00093E87" w:rsidRPr="008642EF" w:rsidRDefault="00093E87" w:rsidP="009C3233">
      <w:pPr>
        <w:spacing w:line="240" w:lineRule="auto"/>
        <w:rPr>
          <w:rFonts w:cs="Arial"/>
          <w:lang w:val="es-ES_tradnl"/>
        </w:rPr>
      </w:pPr>
      <w:r w:rsidRPr="008642EF">
        <w:rPr>
          <w:noProof/>
          <w:lang w:eastAsia="en-US"/>
        </w:rPr>
        <w:drawing>
          <wp:inline distT="0" distB="0" distL="0" distR="0" wp14:anchorId="784C7C25" wp14:editId="29439985">
            <wp:extent cx="3409950" cy="2257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408573" cy="2256514"/>
                    </a:xfrm>
                    <a:prstGeom prst="rect">
                      <a:avLst/>
                    </a:prstGeom>
                  </pic:spPr>
                </pic:pic>
              </a:graphicData>
            </a:graphic>
          </wp:inline>
        </w:drawing>
      </w:r>
    </w:p>
    <w:p w:rsidR="00093E87" w:rsidRPr="00706543" w:rsidRDefault="0059625F" w:rsidP="00706543">
      <w:pPr>
        <w:spacing w:after="0" w:line="240" w:lineRule="auto"/>
        <w:rPr>
          <w:i/>
          <w:iCs/>
          <w:sz w:val="18"/>
          <w:szCs w:val="18"/>
          <w:lang w:val="es-ES_tradnl"/>
        </w:rPr>
      </w:pPr>
      <w:r w:rsidRPr="00706543">
        <w:rPr>
          <w:sz w:val="18"/>
          <w:szCs w:val="18"/>
          <w:lang w:val="es-ES_tradnl"/>
        </w:rPr>
        <w:t>Origen</w:t>
      </w:r>
      <w:r w:rsidR="00093E87" w:rsidRPr="00706543">
        <w:rPr>
          <w:sz w:val="18"/>
          <w:szCs w:val="18"/>
          <w:lang w:val="es-ES_tradnl"/>
        </w:rPr>
        <w:t xml:space="preserve">: </w:t>
      </w:r>
      <w:r w:rsidRPr="00706543">
        <w:rPr>
          <w:sz w:val="18"/>
          <w:szCs w:val="18"/>
          <w:lang w:val="es-ES_tradnl"/>
        </w:rPr>
        <w:t>Base de datos de la UIT sobre reglamentación de las telecomunicaciones/TIC</w:t>
      </w:r>
      <w:r w:rsidR="00093E87" w:rsidRPr="00706543">
        <w:rPr>
          <w:sz w:val="18"/>
          <w:szCs w:val="18"/>
          <w:lang w:val="es-ES_tradnl"/>
        </w:rPr>
        <w:t>.</w:t>
      </w:r>
    </w:p>
    <w:p w:rsidR="00093E87" w:rsidRPr="008642EF" w:rsidRDefault="0059625F" w:rsidP="00F60529">
      <w:pPr>
        <w:spacing w:before="120" w:after="0" w:line="240" w:lineRule="auto"/>
        <w:rPr>
          <w:sz w:val="18"/>
          <w:szCs w:val="18"/>
          <w:lang w:val="es-ES_tradnl"/>
        </w:rPr>
      </w:pPr>
      <w:r w:rsidRPr="008642EF">
        <w:rPr>
          <w:sz w:val="18"/>
          <w:szCs w:val="18"/>
          <w:lang w:val="es-ES_tradnl"/>
        </w:rPr>
        <w:t>Leyenda</w:t>
      </w:r>
      <w:r w:rsidR="00706543">
        <w:rPr>
          <w:sz w:val="18"/>
          <w:szCs w:val="18"/>
          <w:lang w:val="es-ES_tradnl"/>
        </w:rPr>
        <w:t>s</w:t>
      </w:r>
      <w:r w:rsidRPr="008642EF">
        <w:rPr>
          <w:sz w:val="18"/>
          <w:szCs w:val="18"/>
          <w:lang w:val="es-ES_tradnl"/>
        </w:rPr>
        <w:t xml:space="preserve"> de la </w:t>
      </w:r>
      <w:r w:rsidR="00A91BB0">
        <w:rPr>
          <w:sz w:val="18"/>
          <w:szCs w:val="18"/>
          <w:lang w:val="es-ES_tradnl"/>
        </w:rPr>
        <w:t>F</w:t>
      </w:r>
      <w:r w:rsidRPr="008642EF">
        <w:rPr>
          <w:sz w:val="18"/>
          <w:szCs w:val="18"/>
          <w:lang w:val="es-ES_tradnl"/>
        </w:rPr>
        <w:t>igura:</w:t>
      </w:r>
    </w:p>
    <w:p w:rsidR="0059625F" w:rsidRPr="008642EF" w:rsidRDefault="0059625F" w:rsidP="00B7515B">
      <w:pPr>
        <w:spacing w:after="0" w:line="240" w:lineRule="auto"/>
        <w:rPr>
          <w:sz w:val="18"/>
          <w:szCs w:val="18"/>
          <w:lang w:val="es-ES_tradnl"/>
        </w:rPr>
      </w:pPr>
      <w:r w:rsidRPr="008642EF">
        <w:rPr>
          <w:sz w:val="18"/>
          <w:szCs w:val="18"/>
          <w:lang w:val="es-ES_tradnl"/>
        </w:rPr>
        <w:t>1 - Organismos reguladores independientes, porcentaje por región, 2012</w:t>
      </w:r>
    </w:p>
    <w:p w:rsidR="0059625F" w:rsidRPr="008642EF" w:rsidRDefault="0059625F" w:rsidP="00B7515B">
      <w:pPr>
        <w:spacing w:after="0" w:line="240" w:lineRule="auto"/>
        <w:rPr>
          <w:sz w:val="18"/>
          <w:szCs w:val="18"/>
          <w:lang w:val="es-ES_tradnl"/>
        </w:rPr>
      </w:pPr>
      <w:r w:rsidRPr="008642EF">
        <w:rPr>
          <w:sz w:val="18"/>
          <w:szCs w:val="18"/>
          <w:lang w:val="es-ES_tradnl"/>
        </w:rPr>
        <w:t>2 - Las Américas</w:t>
      </w:r>
    </w:p>
    <w:p w:rsidR="0059625F" w:rsidRPr="008642EF" w:rsidRDefault="0059625F" w:rsidP="00B7515B">
      <w:pPr>
        <w:spacing w:after="0" w:line="240" w:lineRule="auto"/>
        <w:rPr>
          <w:sz w:val="18"/>
          <w:szCs w:val="18"/>
          <w:lang w:val="es-ES_tradnl"/>
        </w:rPr>
      </w:pPr>
      <w:r w:rsidRPr="008642EF">
        <w:rPr>
          <w:sz w:val="18"/>
          <w:szCs w:val="18"/>
          <w:lang w:val="es-ES_tradnl"/>
        </w:rPr>
        <w:t>3 - África</w:t>
      </w:r>
    </w:p>
    <w:p w:rsidR="0059625F" w:rsidRPr="008642EF" w:rsidRDefault="0059625F" w:rsidP="00B7515B">
      <w:pPr>
        <w:spacing w:after="0" w:line="240" w:lineRule="auto"/>
        <w:rPr>
          <w:sz w:val="18"/>
          <w:szCs w:val="18"/>
          <w:lang w:val="es-ES_tradnl"/>
        </w:rPr>
      </w:pPr>
      <w:r w:rsidRPr="008642EF">
        <w:rPr>
          <w:sz w:val="18"/>
          <w:szCs w:val="18"/>
          <w:lang w:val="es-ES_tradnl"/>
        </w:rPr>
        <w:t>4 - Europa</w:t>
      </w:r>
    </w:p>
    <w:p w:rsidR="0059625F" w:rsidRPr="008642EF" w:rsidRDefault="004904C1" w:rsidP="00B7515B">
      <w:pPr>
        <w:spacing w:after="0" w:line="240" w:lineRule="auto"/>
        <w:rPr>
          <w:sz w:val="18"/>
          <w:szCs w:val="18"/>
          <w:lang w:val="es-ES_tradnl"/>
        </w:rPr>
      </w:pPr>
      <w:r w:rsidRPr="008642EF">
        <w:rPr>
          <w:sz w:val="18"/>
          <w:szCs w:val="18"/>
          <w:lang w:val="es-ES_tradnl"/>
        </w:rPr>
        <w:t>5 - Estados Á</w:t>
      </w:r>
      <w:r w:rsidR="0059625F" w:rsidRPr="008642EF">
        <w:rPr>
          <w:sz w:val="18"/>
          <w:szCs w:val="18"/>
          <w:lang w:val="es-ES_tradnl"/>
        </w:rPr>
        <w:t>rabes</w:t>
      </w:r>
    </w:p>
    <w:p w:rsidR="0059625F" w:rsidRPr="008642EF" w:rsidRDefault="0059625F" w:rsidP="00B7515B">
      <w:pPr>
        <w:spacing w:after="0" w:line="240" w:lineRule="auto"/>
        <w:rPr>
          <w:sz w:val="18"/>
          <w:szCs w:val="18"/>
          <w:lang w:val="es-ES_tradnl"/>
        </w:rPr>
      </w:pPr>
      <w:r w:rsidRPr="008642EF">
        <w:rPr>
          <w:sz w:val="18"/>
          <w:szCs w:val="18"/>
          <w:lang w:val="es-ES_tradnl"/>
        </w:rPr>
        <w:t>6 - Asia y el Pacífico</w:t>
      </w:r>
    </w:p>
    <w:p w:rsidR="0059625F" w:rsidRPr="008642EF" w:rsidRDefault="003B484F" w:rsidP="00B7515B">
      <w:pPr>
        <w:spacing w:after="0" w:line="240" w:lineRule="auto"/>
        <w:rPr>
          <w:sz w:val="18"/>
          <w:szCs w:val="18"/>
          <w:lang w:val="es-ES_tradnl"/>
        </w:rPr>
      </w:pPr>
      <w:r>
        <w:rPr>
          <w:sz w:val="18"/>
          <w:szCs w:val="18"/>
          <w:lang w:val="es-ES_tradnl"/>
        </w:rPr>
        <w:t>7 - CEI</w:t>
      </w:r>
    </w:p>
    <w:p w:rsidR="00093E87" w:rsidRPr="00354D62" w:rsidRDefault="0059625F" w:rsidP="0053288C">
      <w:pPr>
        <w:keepNext/>
        <w:spacing w:before="240" w:after="120" w:line="240" w:lineRule="auto"/>
        <w:rPr>
          <w:b/>
          <w:bCs/>
          <w:lang w:val="es-ES_tradnl"/>
        </w:rPr>
      </w:pPr>
      <w:r w:rsidRPr="00354D62">
        <w:rPr>
          <w:b/>
          <w:bCs/>
          <w:lang w:val="es-ES_tradnl"/>
        </w:rPr>
        <w:t>Figura</w:t>
      </w:r>
      <w:r w:rsidR="00093E87" w:rsidRPr="00354D62">
        <w:rPr>
          <w:b/>
          <w:bCs/>
          <w:lang w:val="es-ES_tradnl"/>
        </w:rPr>
        <w:t xml:space="preserve"> 1.7</w:t>
      </w:r>
      <w:r w:rsidR="00354D62" w:rsidRPr="00354D62">
        <w:rPr>
          <w:b/>
          <w:bCs/>
          <w:lang w:val="es-ES_tradnl"/>
        </w:rPr>
        <w:t>:</w:t>
      </w:r>
      <w:r w:rsidR="00093E87" w:rsidRPr="00354D62">
        <w:rPr>
          <w:b/>
          <w:bCs/>
          <w:lang w:val="es-ES_tradnl"/>
        </w:rPr>
        <w:t xml:space="preserve"> </w:t>
      </w:r>
      <w:r w:rsidRPr="00354D62">
        <w:rPr>
          <w:b/>
          <w:bCs/>
          <w:lang w:val="es-ES_tradnl"/>
        </w:rPr>
        <w:t xml:space="preserve">Funciones de reglamentación concretas, </w:t>
      </w:r>
      <w:r w:rsidR="000B03B6" w:rsidRPr="00354D62">
        <w:rPr>
          <w:b/>
          <w:bCs/>
          <w:lang w:val="es-ES_tradnl"/>
        </w:rPr>
        <w:t>Región</w:t>
      </w:r>
      <w:r w:rsidRPr="00354D62">
        <w:rPr>
          <w:b/>
          <w:bCs/>
          <w:lang w:val="es-ES_tradnl"/>
        </w:rPr>
        <w:t xml:space="preserve"> de las Américas</w:t>
      </w:r>
      <w:r w:rsidR="00093E87" w:rsidRPr="00354D62">
        <w:rPr>
          <w:b/>
          <w:bCs/>
          <w:lang w:val="es-ES_tradnl"/>
        </w:rPr>
        <w:t>, 2012</w:t>
      </w:r>
    </w:p>
    <w:p w:rsidR="00093E87" w:rsidRPr="008642EF" w:rsidRDefault="00093E87" w:rsidP="009C3233">
      <w:pPr>
        <w:spacing w:line="240" w:lineRule="auto"/>
        <w:rPr>
          <w:rFonts w:cs="Arial"/>
          <w:lang w:val="es-ES_tradnl"/>
        </w:rPr>
      </w:pPr>
      <w:r w:rsidRPr="008642EF">
        <w:rPr>
          <w:rFonts w:cs="Arial"/>
          <w:noProof/>
          <w:lang w:eastAsia="en-US"/>
        </w:rPr>
        <w:drawing>
          <wp:inline distT="0" distB="0" distL="0" distR="0" wp14:anchorId="21654362" wp14:editId="44D6C5B1">
            <wp:extent cx="5581650" cy="3133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650" cy="3133725"/>
                    </a:xfrm>
                    <a:prstGeom prst="rect">
                      <a:avLst/>
                    </a:prstGeom>
                    <a:noFill/>
                  </pic:spPr>
                </pic:pic>
              </a:graphicData>
            </a:graphic>
          </wp:inline>
        </w:drawing>
      </w:r>
    </w:p>
    <w:p w:rsidR="00093E87" w:rsidRPr="00706543" w:rsidRDefault="0059625F" w:rsidP="00706543">
      <w:pPr>
        <w:spacing w:after="0" w:line="240" w:lineRule="auto"/>
        <w:rPr>
          <w:i/>
          <w:iCs/>
          <w:sz w:val="18"/>
          <w:szCs w:val="18"/>
          <w:lang w:val="es-ES_tradnl"/>
        </w:rPr>
      </w:pPr>
      <w:r w:rsidRPr="00706543">
        <w:rPr>
          <w:sz w:val="18"/>
          <w:szCs w:val="18"/>
          <w:lang w:val="es-ES_tradnl"/>
        </w:rPr>
        <w:t>Origen: Base de datos de la UIT sobre reglamentación de las telecomunicaciones/TIC</w:t>
      </w:r>
      <w:r w:rsidR="00093E87" w:rsidRPr="00706543">
        <w:rPr>
          <w:sz w:val="18"/>
          <w:szCs w:val="18"/>
          <w:lang w:val="es-ES_tradnl"/>
        </w:rPr>
        <w:t>.</w:t>
      </w:r>
    </w:p>
    <w:p w:rsidR="00093E87" w:rsidRPr="00EF198D" w:rsidRDefault="0059625F" w:rsidP="00F60529">
      <w:pPr>
        <w:spacing w:before="120" w:after="0" w:line="240" w:lineRule="auto"/>
        <w:rPr>
          <w:rFonts w:cs="Arial"/>
          <w:sz w:val="18"/>
          <w:szCs w:val="18"/>
          <w:lang w:val="es-ES_tradnl"/>
        </w:rPr>
      </w:pPr>
      <w:r w:rsidRPr="00EF198D">
        <w:rPr>
          <w:rFonts w:cs="Arial"/>
          <w:sz w:val="18"/>
          <w:szCs w:val="18"/>
          <w:lang w:val="es-ES_tradnl"/>
        </w:rPr>
        <w:t>Leyenda</w:t>
      </w:r>
      <w:r w:rsidR="00706543">
        <w:rPr>
          <w:rFonts w:cs="Arial"/>
          <w:sz w:val="18"/>
          <w:szCs w:val="18"/>
          <w:lang w:val="es-ES_tradnl"/>
        </w:rPr>
        <w:t>s</w:t>
      </w:r>
      <w:r w:rsidRPr="00EF198D">
        <w:rPr>
          <w:rFonts w:cs="Arial"/>
          <w:sz w:val="18"/>
          <w:szCs w:val="18"/>
          <w:lang w:val="es-ES_tradnl"/>
        </w:rPr>
        <w:t xml:space="preserve"> de la </w:t>
      </w:r>
      <w:r w:rsidR="00A91BB0" w:rsidRPr="00EF198D">
        <w:rPr>
          <w:rFonts w:cs="Arial"/>
          <w:sz w:val="18"/>
          <w:szCs w:val="18"/>
          <w:lang w:val="es-ES_tradnl"/>
        </w:rPr>
        <w:t>F</w:t>
      </w:r>
      <w:r w:rsidRPr="00EF198D">
        <w:rPr>
          <w:rFonts w:cs="Arial"/>
          <w:sz w:val="18"/>
          <w:szCs w:val="18"/>
          <w:lang w:val="es-ES_tradnl"/>
        </w:rPr>
        <w:t>igura:</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 xml:space="preserve">1 - Funciones de reglamentación concretas, organismo encargado en la </w:t>
      </w:r>
      <w:r w:rsidR="000B03B6" w:rsidRPr="00EF198D">
        <w:rPr>
          <w:rFonts w:cs="Arial"/>
          <w:sz w:val="18"/>
          <w:szCs w:val="18"/>
          <w:lang w:val="es-ES_tradnl"/>
        </w:rPr>
        <w:t>Región</w:t>
      </w:r>
      <w:r w:rsidRPr="00EF198D">
        <w:rPr>
          <w:rFonts w:cs="Arial"/>
          <w:sz w:val="18"/>
          <w:szCs w:val="18"/>
          <w:lang w:val="es-ES_tradnl"/>
        </w:rPr>
        <w:t xml:space="preserve"> de las Américas, 2012</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2 - % de países</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 xml:space="preserve">3 - </w:t>
      </w:r>
      <w:r w:rsidR="00A7547E" w:rsidRPr="00EF198D">
        <w:rPr>
          <w:rFonts w:cs="Arial"/>
          <w:sz w:val="18"/>
          <w:szCs w:val="18"/>
          <w:lang w:val="es-ES_tradnl"/>
        </w:rPr>
        <w:t>Concesión de l</w:t>
      </w:r>
      <w:r w:rsidRPr="00EF198D">
        <w:rPr>
          <w:rFonts w:cs="Arial"/>
          <w:sz w:val="18"/>
          <w:szCs w:val="18"/>
          <w:lang w:val="es-ES_tradnl"/>
        </w:rPr>
        <w:t>icencias</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4 - Atribución y asignación de frecuencias radioeléctricas</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5 - Servicio universal</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6 - Radiodifusión (radio y televisión)</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7 - Contenidos de radiodifusión</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lastRenderedPageBreak/>
        <w:t>8 - TI</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9 - Contenidos de Internet</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 xml:space="preserve">10 - </w:t>
      </w:r>
      <w:r w:rsidR="00A7547E" w:rsidRPr="00EF198D">
        <w:rPr>
          <w:rFonts w:cs="Arial"/>
          <w:sz w:val="18"/>
          <w:szCs w:val="18"/>
          <w:lang w:val="es-ES_tradnl"/>
        </w:rPr>
        <w:t xml:space="preserve">Autoridad </w:t>
      </w:r>
      <w:r w:rsidRPr="00EF198D">
        <w:rPr>
          <w:rFonts w:cs="Arial"/>
          <w:sz w:val="18"/>
          <w:szCs w:val="18"/>
          <w:lang w:val="es-ES_tradnl"/>
        </w:rPr>
        <w:t>reguladora</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11 - Otro Ministerio u organismo gubernamental</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12 - Ministerio del Sector</w:t>
      </w:r>
    </w:p>
    <w:p w:rsidR="0059625F" w:rsidRPr="00EF198D" w:rsidRDefault="0059625F" w:rsidP="00B7515B">
      <w:pPr>
        <w:spacing w:after="0" w:line="240" w:lineRule="auto"/>
        <w:rPr>
          <w:rFonts w:cs="Arial"/>
          <w:sz w:val="18"/>
          <w:szCs w:val="18"/>
          <w:lang w:val="es-ES_tradnl"/>
        </w:rPr>
      </w:pPr>
      <w:r w:rsidRPr="00EF198D">
        <w:rPr>
          <w:rFonts w:cs="Arial"/>
          <w:sz w:val="18"/>
          <w:szCs w:val="18"/>
          <w:lang w:val="es-ES_tradnl"/>
        </w:rPr>
        <w:t>13 - Operador</w:t>
      </w:r>
    </w:p>
    <w:p w:rsidR="0059625F" w:rsidRPr="00EF198D" w:rsidRDefault="003B484F" w:rsidP="00B7515B">
      <w:pPr>
        <w:spacing w:after="0" w:line="240" w:lineRule="auto"/>
        <w:rPr>
          <w:rFonts w:cs="Arial"/>
          <w:sz w:val="18"/>
          <w:szCs w:val="18"/>
          <w:lang w:val="es-ES_tradnl"/>
        </w:rPr>
      </w:pPr>
      <w:r>
        <w:rPr>
          <w:rFonts w:cs="Arial"/>
          <w:sz w:val="18"/>
          <w:szCs w:val="18"/>
          <w:lang w:val="es-ES_tradnl"/>
        </w:rPr>
        <w:t>14 - No está regulada</w:t>
      </w:r>
    </w:p>
    <w:p w:rsidR="00093E87" w:rsidRPr="00EF198D" w:rsidRDefault="00D940B5" w:rsidP="00B7515B">
      <w:pPr>
        <w:spacing w:before="120" w:after="0" w:line="240" w:lineRule="auto"/>
        <w:rPr>
          <w:rFonts w:cstheme="minorHAnsi"/>
          <w:lang w:val="es-ES_tradnl"/>
        </w:rPr>
      </w:pPr>
      <w:r w:rsidRPr="00EF198D">
        <w:rPr>
          <w:rFonts w:cstheme="minorHAnsi"/>
          <w:lang w:val="es-ES_tradnl"/>
        </w:rPr>
        <w:t xml:space="preserve">Para adaptarse a los cambios en el sector, algunos países han ido un paso más allá en la reforma de sus </w:t>
      </w:r>
      <w:r w:rsidR="00CD2B42" w:rsidRPr="00EF198D">
        <w:rPr>
          <w:rFonts w:cstheme="minorHAnsi"/>
          <w:lang w:val="es-ES_tradnl"/>
        </w:rPr>
        <w:t xml:space="preserve">organismos de regulación </w:t>
      </w:r>
      <w:r w:rsidRPr="00EF198D">
        <w:rPr>
          <w:rFonts w:cstheme="minorHAnsi"/>
          <w:lang w:val="es-ES_tradnl"/>
        </w:rPr>
        <w:t xml:space="preserve">y han pasado de un organismo de regulación </w:t>
      </w:r>
      <w:r w:rsidR="00CD2B42" w:rsidRPr="00EF198D">
        <w:rPr>
          <w:rFonts w:cstheme="minorHAnsi"/>
          <w:lang w:val="es-ES_tradnl"/>
        </w:rPr>
        <w:t xml:space="preserve">específico para cada sector </w:t>
      </w:r>
      <w:r w:rsidRPr="00EF198D">
        <w:rPr>
          <w:rFonts w:cstheme="minorHAnsi"/>
          <w:lang w:val="es-ES_tradnl"/>
        </w:rPr>
        <w:t xml:space="preserve">a un único regulador convergente. Otros países han optado por </w:t>
      </w:r>
      <w:r w:rsidR="004904C1" w:rsidRPr="00EF198D">
        <w:rPr>
          <w:rFonts w:cstheme="minorHAnsi"/>
          <w:lang w:val="es-ES_tradnl"/>
        </w:rPr>
        <w:t>crear</w:t>
      </w:r>
      <w:r w:rsidR="0080752A" w:rsidRPr="00EF198D">
        <w:rPr>
          <w:rFonts w:cstheme="minorHAnsi"/>
          <w:lang w:val="es-ES_tradnl"/>
        </w:rPr>
        <w:t xml:space="preserve"> </w:t>
      </w:r>
      <w:r w:rsidRPr="00EF198D">
        <w:rPr>
          <w:rFonts w:cstheme="minorHAnsi"/>
          <w:lang w:val="es-ES_tradnl"/>
        </w:rPr>
        <w:t>un organismo regulador multisectorial</w:t>
      </w:r>
      <w:r w:rsidR="00CD2B42" w:rsidRPr="00EF198D">
        <w:rPr>
          <w:rFonts w:cstheme="minorHAnsi"/>
          <w:lang w:val="es-ES_tradnl"/>
        </w:rPr>
        <w:t xml:space="preserve">; así lo han hecho </w:t>
      </w:r>
      <w:r w:rsidRPr="00EF198D">
        <w:rPr>
          <w:rFonts w:cstheme="minorHAnsi"/>
          <w:lang w:val="es-ES_tradnl"/>
        </w:rPr>
        <w:t>determinados países de América Central y el Caribe, en los que una única entidad supervisa los mercados de las TIC así como los de otros servicios públicos, como la electricidad, el agua, correos, el gas</w:t>
      </w:r>
      <w:r w:rsidR="00093E87" w:rsidRPr="00EF198D">
        <w:rPr>
          <w:rFonts w:cstheme="minorHAnsi"/>
          <w:lang w:val="es-ES_tradnl"/>
        </w:rPr>
        <w:t xml:space="preserve">, etc. </w:t>
      </w:r>
      <w:r w:rsidRPr="00EF198D">
        <w:rPr>
          <w:rFonts w:cstheme="minorHAnsi"/>
          <w:lang w:val="es-ES_tradnl"/>
        </w:rPr>
        <w:t>E</w:t>
      </w:r>
      <w:r w:rsidR="00093E87" w:rsidRPr="00EF198D">
        <w:rPr>
          <w:rFonts w:cstheme="minorHAnsi"/>
          <w:lang w:val="es-ES_tradnl"/>
        </w:rPr>
        <w:t xml:space="preserve">n Barbados </w:t>
      </w:r>
      <w:r w:rsidRPr="00EF198D">
        <w:rPr>
          <w:rFonts w:cstheme="minorHAnsi"/>
          <w:lang w:val="es-ES_tradnl"/>
        </w:rPr>
        <w:t xml:space="preserve">y </w:t>
      </w:r>
      <w:r w:rsidR="0080752A" w:rsidRPr="00EF198D">
        <w:rPr>
          <w:rFonts w:cstheme="minorHAnsi"/>
          <w:lang w:val="es-ES_tradnl"/>
        </w:rPr>
        <w:t xml:space="preserve">en </w:t>
      </w:r>
      <w:r w:rsidRPr="00EF198D">
        <w:rPr>
          <w:rFonts w:cstheme="minorHAnsi"/>
          <w:lang w:val="es-ES_tradnl"/>
        </w:rPr>
        <w:t xml:space="preserve">las Bahamas, la Comisión de Comercio Justo y la </w:t>
      </w:r>
      <w:r w:rsidRPr="00EF198D">
        <w:rPr>
          <w:rFonts w:cstheme="minorHAnsi"/>
          <w:color w:val="000000"/>
          <w:lang w:val="es-ES_tradnl"/>
        </w:rPr>
        <w:t xml:space="preserve">Autoridad Reglamentaria de los Servicios Públicos y la Competencia </w:t>
      </w:r>
      <w:r w:rsidR="00093E87" w:rsidRPr="00EF198D">
        <w:rPr>
          <w:rFonts w:cstheme="minorHAnsi"/>
          <w:lang w:val="es-ES_tradnl"/>
        </w:rPr>
        <w:t>(URCA)</w:t>
      </w:r>
      <w:r w:rsidR="004904C1" w:rsidRPr="00EF198D">
        <w:rPr>
          <w:rFonts w:cstheme="minorHAnsi"/>
          <w:lang w:val="es-ES_tradnl"/>
        </w:rPr>
        <w:t>, respectivamente,</w:t>
      </w:r>
      <w:r w:rsidR="00093E87" w:rsidRPr="00EF198D">
        <w:rPr>
          <w:rFonts w:cstheme="minorHAnsi"/>
          <w:lang w:val="es-ES_tradnl"/>
        </w:rPr>
        <w:t xml:space="preserve"> </w:t>
      </w:r>
      <w:r w:rsidRPr="00EF198D">
        <w:rPr>
          <w:rFonts w:cstheme="minorHAnsi"/>
          <w:lang w:val="es-ES_tradnl"/>
        </w:rPr>
        <w:t xml:space="preserve">se encargan de regular los servicios públicos, la competencia justa y la protección del consumidor. El mandato de reguladores convergentes como la </w:t>
      </w:r>
      <w:r w:rsidR="00093E87" w:rsidRPr="00EF198D">
        <w:rPr>
          <w:rFonts w:cstheme="minorHAnsi"/>
          <w:lang w:val="es-ES_tradnl"/>
        </w:rPr>
        <w:t xml:space="preserve">FCC </w:t>
      </w:r>
      <w:r w:rsidRPr="00EF198D">
        <w:rPr>
          <w:rFonts w:cstheme="minorHAnsi"/>
          <w:lang w:val="es-ES_tradnl"/>
        </w:rPr>
        <w:t xml:space="preserve">en los Estados Unidos de América, la </w:t>
      </w:r>
      <w:r w:rsidR="00093E87" w:rsidRPr="00EF198D">
        <w:rPr>
          <w:rFonts w:cstheme="minorHAnsi"/>
          <w:lang w:val="es-ES_tradnl"/>
        </w:rPr>
        <w:t xml:space="preserve">CRTC </w:t>
      </w:r>
      <w:r w:rsidRPr="00EF198D">
        <w:rPr>
          <w:rFonts w:cstheme="minorHAnsi"/>
          <w:lang w:val="es-ES_tradnl"/>
        </w:rPr>
        <w:t>en el Canadá</w:t>
      </w:r>
      <w:r w:rsidR="00093E87" w:rsidRPr="00EF198D">
        <w:rPr>
          <w:rFonts w:cstheme="minorHAnsi"/>
          <w:lang w:val="es-ES_tradnl"/>
        </w:rPr>
        <w:t xml:space="preserve">, ANATEL </w:t>
      </w:r>
      <w:r w:rsidRPr="00EF198D">
        <w:rPr>
          <w:rFonts w:cstheme="minorHAnsi"/>
          <w:lang w:val="es-ES_tradnl"/>
        </w:rPr>
        <w:t xml:space="preserve">en el Brasil e </w:t>
      </w:r>
      <w:r w:rsidR="00093E87" w:rsidRPr="00EF198D">
        <w:rPr>
          <w:rFonts w:cstheme="minorHAnsi"/>
          <w:lang w:val="es-ES_tradnl"/>
        </w:rPr>
        <w:t xml:space="preserve">INDOTEL </w:t>
      </w:r>
      <w:r w:rsidRPr="00EF198D">
        <w:rPr>
          <w:rFonts w:cstheme="minorHAnsi"/>
          <w:lang w:val="es-ES_tradnl"/>
        </w:rPr>
        <w:t>en la República Dom</w:t>
      </w:r>
      <w:r w:rsidR="0080752A" w:rsidRPr="00EF198D">
        <w:rPr>
          <w:rFonts w:cstheme="minorHAnsi"/>
          <w:lang w:val="es-ES_tradnl"/>
        </w:rPr>
        <w:t>i</w:t>
      </w:r>
      <w:r w:rsidRPr="00EF198D">
        <w:rPr>
          <w:rFonts w:cstheme="minorHAnsi"/>
          <w:lang w:val="es-ES_tradnl"/>
        </w:rPr>
        <w:t xml:space="preserve">nicana puede abarcar las telecomunicaciones, cuestiones relacionadas con el espectro, las tecnologías de la información, la radiodifusión y, en algunos casos, contenidos electrónicos. En la </w:t>
      </w:r>
      <w:r w:rsidR="000B03B6">
        <w:rPr>
          <w:rFonts w:cstheme="minorHAnsi"/>
          <w:lang w:val="es-ES_tradnl"/>
        </w:rPr>
        <w:t>Región</w:t>
      </w:r>
      <w:r w:rsidR="00CD2B42" w:rsidRPr="00EF198D">
        <w:rPr>
          <w:rFonts w:cstheme="minorHAnsi"/>
          <w:lang w:val="es-ES_tradnl"/>
        </w:rPr>
        <w:t xml:space="preserve"> de las Américas</w:t>
      </w:r>
      <w:r w:rsidRPr="00EF198D">
        <w:rPr>
          <w:rFonts w:cstheme="minorHAnsi"/>
          <w:lang w:val="es-ES_tradnl"/>
        </w:rPr>
        <w:t xml:space="preserve">, los contenidos de Internet no </w:t>
      </w:r>
      <w:r w:rsidR="00CD2B42" w:rsidRPr="00EF198D">
        <w:rPr>
          <w:rFonts w:cstheme="minorHAnsi"/>
          <w:lang w:val="es-ES_tradnl"/>
        </w:rPr>
        <w:t xml:space="preserve">suelen estar </w:t>
      </w:r>
      <w:r w:rsidRPr="00EF198D">
        <w:rPr>
          <w:rFonts w:cstheme="minorHAnsi"/>
          <w:lang w:val="es-ES_tradnl"/>
        </w:rPr>
        <w:t xml:space="preserve">sujetos a regulación. Los reguladores de </w:t>
      </w:r>
      <w:r w:rsidR="00093E87" w:rsidRPr="00EF198D">
        <w:rPr>
          <w:rFonts w:cstheme="minorHAnsi"/>
          <w:lang w:val="es-ES_tradnl"/>
        </w:rPr>
        <w:t xml:space="preserve">Colombia, Costa Rica </w:t>
      </w:r>
      <w:r w:rsidRPr="00EF198D">
        <w:rPr>
          <w:rFonts w:cstheme="minorHAnsi"/>
          <w:lang w:val="es-ES_tradnl"/>
        </w:rPr>
        <w:t>y Panamá, sin embargo, han visto ampliado su mandato</w:t>
      </w:r>
      <w:r w:rsidR="0080752A" w:rsidRPr="00EF198D">
        <w:rPr>
          <w:rFonts w:cstheme="minorHAnsi"/>
          <w:lang w:val="es-ES_tradnl"/>
        </w:rPr>
        <w:t xml:space="preserve">, que </w:t>
      </w:r>
      <w:r w:rsidR="004904C1" w:rsidRPr="00EF198D">
        <w:rPr>
          <w:rFonts w:cstheme="minorHAnsi"/>
          <w:lang w:val="es-ES_tradnl"/>
        </w:rPr>
        <w:t>abarca</w:t>
      </w:r>
      <w:r w:rsidR="0080752A" w:rsidRPr="00EF198D">
        <w:rPr>
          <w:rFonts w:cstheme="minorHAnsi"/>
          <w:lang w:val="es-ES_tradnl"/>
        </w:rPr>
        <w:t xml:space="preserve"> ahora </w:t>
      </w:r>
      <w:r w:rsidRPr="00EF198D">
        <w:rPr>
          <w:rFonts w:cstheme="minorHAnsi"/>
          <w:lang w:val="es-ES_tradnl"/>
        </w:rPr>
        <w:t xml:space="preserve">cuestiones relacionadas con la </w:t>
      </w:r>
      <w:proofErr w:type="spellStart"/>
      <w:r w:rsidRPr="00EF198D">
        <w:rPr>
          <w:rFonts w:cstheme="minorHAnsi"/>
          <w:lang w:val="es-ES_tradnl"/>
        </w:rPr>
        <w:t>ciberseguridad</w:t>
      </w:r>
      <w:proofErr w:type="spellEnd"/>
      <w:r w:rsidR="00354D62">
        <w:rPr>
          <w:rFonts w:cstheme="minorHAnsi"/>
          <w:lang w:val="es-ES_tradnl"/>
        </w:rPr>
        <w:t>.</w:t>
      </w:r>
    </w:p>
    <w:p w:rsidR="00093E87" w:rsidRPr="008642EF" w:rsidRDefault="00AE0AC3" w:rsidP="00B7515B">
      <w:pPr>
        <w:spacing w:before="120" w:after="0" w:line="240" w:lineRule="auto"/>
        <w:rPr>
          <w:lang w:val="es-ES_tradnl"/>
        </w:rPr>
      </w:pPr>
      <w:r w:rsidRPr="008642EF">
        <w:rPr>
          <w:lang w:val="es-ES_tradnl"/>
        </w:rPr>
        <w:t>En</w:t>
      </w:r>
      <w:r w:rsidR="0016195D" w:rsidRPr="008642EF">
        <w:rPr>
          <w:lang w:val="es-ES_tradnl"/>
        </w:rPr>
        <w:t xml:space="preserve"> 2000, </w:t>
      </w:r>
      <w:r w:rsidRPr="008642EF">
        <w:rPr>
          <w:lang w:val="es-ES_tradnl"/>
        </w:rPr>
        <w:t xml:space="preserve">la </w:t>
      </w:r>
      <w:r w:rsidR="00273F6A" w:rsidRPr="008642EF">
        <w:rPr>
          <w:lang w:val="es-ES_tradnl"/>
        </w:rPr>
        <w:t xml:space="preserve">Región </w:t>
      </w:r>
      <w:r w:rsidRPr="008642EF">
        <w:rPr>
          <w:lang w:val="es-ES_tradnl"/>
        </w:rPr>
        <w:t xml:space="preserve">también asistió a la creación del primer </w:t>
      </w:r>
      <w:r w:rsidR="00CD2B42" w:rsidRPr="008642EF">
        <w:rPr>
          <w:lang w:val="es-ES_tradnl"/>
        </w:rPr>
        <w:t xml:space="preserve">organismo </w:t>
      </w:r>
      <w:r w:rsidRPr="008642EF">
        <w:rPr>
          <w:lang w:val="es-ES_tradnl"/>
        </w:rPr>
        <w:t>regulador de las telecomunicaciones conjunto, la Autoridad de Telecomunicaciones del Caribe Oriental</w:t>
      </w:r>
      <w:r w:rsidR="00093E87" w:rsidRPr="008642EF">
        <w:rPr>
          <w:lang w:val="es-ES_tradnl"/>
        </w:rPr>
        <w:t xml:space="preserve"> (ECTEL)</w:t>
      </w:r>
      <w:r w:rsidRPr="008642EF">
        <w:rPr>
          <w:lang w:val="es-ES_tradnl"/>
        </w:rPr>
        <w:t>, al servicio de sus cinco Estados Miembros caribeños</w:t>
      </w:r>
      <w:r w:rsidR="00E907A2" w:rsidRPr="008642EF">
        <w:rPr>
          <w:rStyle w:val="FootnoteReference"/>
          <w:lang w:val="es-ES_tradnl"/>
        </w:rPr>
        <w:footnoteReference w:id="16"/>
      </w:r>
      <w:r w:rsidR="00E907A2" w:rsidRPr="008642EF">
        <w:rPr>
          <w:lang w:val="es-ES_tradnl"/>
        </w:rPr>
        <w:t>.</w:t>
      </w:r>
    </w:p>
    <w:p w:rsidR="00093E87" w:rsidRPr="008642EF" w:rsidRDefault="00AE0AC3" w:rsidP="003B484F">
      <w:pPr>
        <w:spacing w:before="120" w:after="0" w:line="240" w:lineRule="auto"/>
        <w:rPr>
          <w:lang w:val="es-ES_tradnl"/>
        </w:rPr>
      </w:pPr>
      <w:r w:rsidRPr="008642EF">
        <w:rPr>
          <w:lang w:val="es-ES_tradnl"/>
        </w:rPr>
        <w:t xml:space="preserve">En un esfuerzo por reducir el coste de instalación de la red y </w:t>
      </w:r>
      <w:r w:rsidR="00CD2B42" w:rsidRPr="008642EF">
        <w:rPr>
          <w:lang w:val="es-ES_tradnl"/>
        </w:rPr>
        <w:t>amortizar</w:t>
      </w:r>
      <w:r w:rsidRPr="008642EF">
        <w:rPr>
          <w:lang w:val="es-ES_tradnl"/>
        </w:rPr>
        <w:t xml:space="preserve"> las inversiones realizadas, el</w:t>
      </w:r>
      <w:r w:rsidR="003B484F">
        <w:rPr>
          <w:lang w:val="es-ES_tradnl"/>
        </w:rPr>
        <w:t> </w:t>
      </w:r>
      <w:r w:rsidRPr="008642EF">
        <w:rPr>
          <w:lang w:val="es-ES_tradnl"/>
        </w:rPr>
        <w:t xml:space="preserve">59% de los países de la </w:t>
      </w:r>
      <w:r w:rsidR="000B03B6">
        <w:rPr>
          <w:lang w:val="es-ES_tradnl"/>
        </w:rPr>
        <w:t>Región</w:t>
      </w:r>
      <w:r w:rsidRPr="008642EF">
        <w:rPr>
          <w:lang w:val="es-ES_tradnl"/>
        </w:rPr>
        <w:t xml:space="preserve"> de las Américas obligan a </w:t>
      </w:r>
      <w:r w:rsidR="00CD2B42" w:rsidRPr="008642EF">
        <w:rPr>
          <w:lang w:val="es-ES_tradnl"/>
        </w:rPr>
        <w:t xml:space="preserve">la compartición de las </w:t>
      </w:r>
      <w:r w:rsidRPr="008642EF">
        <w:rPr>
          <w:lang w:val="es-ES_tradnl"/>
        </w:rPr>
        <w:t xml:space="preserve">infraestructuras pasivas y el 70%, </w:t>
      </w:r>
      <w:r w:rsidR="00CD2B42" w:rsidRPr="008642EF">
        <w:rPr>
          <w:lang w:val="es-ES_tradnl"/>
        </w:rPr>
        <w:t xml:space="preserve">a </w:t>
      </w:r>
      <w:r w:rsidRPr="008642EF">
        <w:rPr>
          <w:lang w:val="es-ES_tradnl"/>
        </w:rPr>
        <w:t>la compartición de sitio, unos porcentajes que están, respectivamente, en consonancia y por encima del nivel de regulación medio en este ámbito. En el 88% de los países, los operadores de red virtual móvil pueden trabajar en la medida en que la compartición de infraestruc</w:t>
      </w:r>
      <w:r w:rsidR="00CD2B42" w:rsidRPr="008642EF">
        <w:rPr>
          <w:lang w:val="es-ES_tradnl"/>
        </w:rPr>
        <w:t>turas para estos operadores</w:t>
      </w:r>
      <w:r w:rsidR="00A07CE9" w:rsidRPr="008642EF">
        <w:rPr>
          <w:lang w:val="es-ES_tradnl"/>
        </w:rPr>
        <w:t xml:space="preserve"> esté permitida</w:t>
      </w:r>
      <w:r w:rsidR="00093E87" w:rsidRPr="008642EF">
        <w:rPr>
          <w:lang w:val="es-ES_tradnl"/>
        </w:rPr>
        <w:t>.</w:t>
      </w:r>
    </w:p>
    <w:p w:rsidR="00093E87" w:rsidRPr="00354D62" w:rsidRDefault="00AE0AC3" w:rsidP="0053288C">
      <w:pPr>
        <w:keepNext/>
        <w:spacing w:before="240" w:after="120" w:line="240" w:lineRule="auto"/>
        <w:rPr>
          <w:b/>
          <w:bCs/>
          <w:lang w:val="es-ES_tradnl"/>
        </w:rPr>
      </w:pPr>
      <w:r w:rsidRPr="00354D62">
        <w:rPr>
          <w:b/>
          <w:bCs/>
          <w:lang w:val="es-ES_tradnl"/>
        </w:rPr>
        <w:t xml:space="preserve">Figura </w:t>
      </w:r>
      <w:r w:rsidR="00093E87" w:rsidRPr="00354D62">
        <w:rPr>
          <w:b/>
          <w:bCs/>
          <w:lang w:val="es-ES_tradnl"/>
        </w:rPr>
        <w:t>1.8</w:t>
      </w:r>
      <w:r w:rsidR="00354D62" w:rsidRPr="00354D62">
        <w:rPr>
          <w:b/>
          <w:bCs/>
          <w:lang w:val="es-ES_tradnl"/>
        </w:rPr>
        <w:t>:</w:t>
      </w:r>
      <w:r w:rsidR="00093E87" w:rsidRPr="00354D62">
        <w:rPr>
          <w:b/>
          <w:bCs/>
          <w:lang w:val="es-ES_tradnl"/>
        </w:rPr>
        <w:t xml:space="preserve"> </w:t>
      </w:r>
      <w:r w:rsidRPr="00354D62">
        <w:rPr>
          <w:b/>
          <w:bCs/>
          <w:lang w:val="es-ES_tradnl"/>
        </w:rPr>
        <w:t>Compartición de infraestructuras, por región</w:t>
      </w:r>
      <w:r w:rsidR="00093E87" w:rsidRPr="00354D62">
        <w:rPr>
          <w:b/>
          <w:bCs/>
          <w:lang w:val="es-ES_tradnl"/>
        </w:rPr>
        <w:t>, 2012</w:t>
      </w:r>
    </w:p>
    <w:p w:rsidR="00093E87" w:rsidRPr="008642EF" w:rsidRDefault="00093E87" w:rsidP="009C3233">
      <w:pPr>
        <w:spacing w:line="240" w:lineRule="auto"/>
        <w:rPr>
          <w:sz w:val="20"/>
          <w:szCs w:val="20"/>
          <w:lang w:val="es-ES_tradnl"/>
        </w:rPr>
      </w:pPr>
      <w:r w:rsidRPr="008642EF">
        <w:rPr>
          <w:noProof/>
          <w:sz w:val="20"/>
          <w:szCs w:val="20"/>
          <w:lang w:eastAsia="en-US"/>
        </w:rPr>
        <w:drawing>
          <wp:inline distT="0" distB="0" distL="0" distR="0" wp14:anchorId="7E6AEEE3" wp14:editId="675B87A1">
            <wp:extent cx="5133975" cy="2779734"/>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6687" cy="2781202"/>
                    </a:xfrm>
                    <a:prstGeom prst="rect">
                      <a:avLst/>
                    </a:prstGeom>
                    <a:noFill/>
                  </pic:spPr>
                </pic:pic>
              </a:graphicData>
            </a:graphic>
          </wp:inline>
        </w:drawing>
      </w:r>
    </w:p>
    <w:p w:rsidR="00093E87" w:rsidRPr="00706543" w:rsidRDefault="00AE0AC3" w:rsidP="00354D62">
      <w:pPr>
        <w:spacing w:after="0" w:line="240" w:lineRule="auto"/>
        <w:rPr>
          <w:i/>
          <w:iCs/>
          <w:sz w:val="18"/>
          <w:szCs w:val="18"/>
          <w:lang w:val="es-ES_tradnl"/>
        </w:rPr>
      </w:pPr>
      <w:r w:rsidRPr="00706543">
        <w:rPr>
          <w:sz w:val="18"/>
          <w:szCs w:val="18"/>
          <w:lang w:val="es-ES_tradnl"/>
        </w:rPr>
        <w:lastRenderedPageBreak/>
        <w:t>Origen: Base de datos de la UIT sobre reglamentación de las telecomunicaciones/TIC</w:t>
      </w:r>
      <w:r w:rsidR="00093E87" w:rsidRPr="00706543">
        <w:rPr>
          <w:sz w:val="18"/>
          <w:szCs w:val="18"/>
          <w:lang w:val="es-ES_tradnl"/>
        </w:rPr>
        <w:t>.</w:t>
      </w:r>
    </w:p>
    <w:p w:rsidR="00093E87" w:rsidRPr="009C3233" w:rsidRDefault="00AE0AC3" w:rsidP="00F60529">
      <w:pPr>
        <w:spacing w:before="120" w:after="0" w:line="240" w:lineRule="auto"/>
        <w:rPr>
          <w:sz w:val="18"/>
          <w:szCs w:val="18"/>
          <w:lang w:val="es-ES_tradnl"/>
        </w:rPr>
      </w:pPr>
      <w:r w:rsidRPr="009C3233">
        <w:rPr>
          <w:sz w:val="18"/>
          <w:szCs w:val="18"/>
          <w:lang w:val="es-ES_tradnl"/>
        </w:rPr>
        <w:t>Leyenda</w:t>
      </w:r>
      <w:r w:rsidR="00706543">
        <w:rPr>
          <w:sz w:val="18"/>
          <w:szCs w:val="18"/>
          <w:lang w:val="es-ES_tradnl"/>
        </w:rPr>
        <w:t>s</w:t>
      </w:r>
      <w:r w:rsidRPr="009C3233">
        <w:rPr>
          <w:sz w:val="18"/>
          <w:szCs w:val="18"/>
          <w:lang w:val="es-ES_tradnl"/>
        </w:rPr>
        <w:t xml:space="preserve"> de la </w:t>
      </w:r>
      <w:r w:rsidR="00A91BB0" w:rsidRPr="009C3233">
        <w:rPr>
          <w:sz w:val="18"/>
          <w:szCs w:val="18"/>
          <w:lang w:val="es-ES_tradnl"/>
        </w:rPr>
        <w:t>F</w:t>
      </w:r>
      <w:r w:rsidRPr="009C3233">
        <w:rPr>
          <w:sz w:val="18"/>
          <w:szCs w:val="18"/>
          <w:lang w:val="es-ES_tradnl"/>
        </w:rPr>
        <w:t>igura:</w:t>
      </w:r>
    </w:p>
    <w:p w:rsidR="00AE0AC3" w:rsidRPr="009C3233" w:rsidRDefault="00AE0AC3" w:rsidP="00B7515B">
      <w:pPr>
        <w:spacing w:after="0" w:line="240" w:lineRule="auto"/>
        <w:rPr>
          <w:sz w:val="18"/>
          <w:szCs w:val="18"/>
          <w:lang w:val="es-ES_tradnl"/>
        </w:rPr>
      </w:pPr>
      <w:r w:rsidRPr="009C3233">
        <w:rPr>
          <w:sz w:val="18"/>
          <w:szCs w:val="18"/>
          <w:lang w:val="es-ES_tradnl"/>
        </w:rPr>
        <w:t>1 - Regulación sobre compartición de infraestructuras, 2012</w:t>
      </w:r>
    </w:p>
    <w:p w:rsidR="00AE0AC3" w:rsidRPr="009C3233" w:rsidRDefault="00AE0AC3" w:rsidP="00B7515B">
      <w:pPr>
        <w:spacing w:after="0" w:line="240" w:lineRule="auto"/>
        <w:rPr>
          <w:sz w:val="18"/>
          <w:szCs w:val="18"/>
          <w:lang w:val="es-ES_tradnl"/>
        </w:rPr>
      </w:pPr>
      <w:r w:rsidRPr="009C3233">
        <w:rPr>
          <w:sz w:val="18"/>
          <w:szCs w:val="18"/>
          <w:lang w:val="es-ES_tradnl"/>
        </w:rPr>
        <w:t>2 - % de países</w:t>
      </w:r>
    </w:p>
    <w:p w:rsidR="00AE0AC3" w:rsidRPr="009C3233" w:rsidRDefault="00AE0AC3" w:rsidP="00B7515B">
      <w:pPr>
        <w:spacing w:after="0" w:line="240" w:lineRule="auto"/>
        <w:rPr>
          <w:sz w:val="18"/>
          <w:szCs w:val="18"/>
          <w:lang w:val="es-ES_tradnl"/>
        </w:rPr>
      </w:pPr>
      <w:r w:rsidRPr="009C3233">
        <w:rPr>
          <w:sz w:val="18"/>
          <w:szCs w:val="18"/>
          <w:lang w:val="es-ES_tradnl"/>
        </w:rPr>
        <w:t>3 - África</w:t>
      </w:r>
    </w:p>
    <w:p w:rsidR="00AE0AC3" w:rsidRPr="009C3233" w:rsidRDefault="00AE0AC3" w:rsidP="00B7515B">
      <w:pPr>
        <w:spacing w:after="0" w:line="240" w:lineRule="auto"/>
        <w:rPr>
          <w:sz w:val="18"/>
          <w:szCs w:val="18"/>
          <w:lang w:val="es-ES_tradnl"/>
        </w:rPr>
      </w:pPr>
      <w:r w:rsidRPr="009C3233">
        <w:rPr>
          <w:sz w:val="18"/>
          <w:szCs w:val="18"/>
          <w:lang w:val="es-ES_tradnl"/>
        </w:rPr>
        <w:t>4 - Estados Árabes</w:t>
      </w:r>
    </w:p>
    <w:p w:rsidR="00AE0AC3" w:rsidRPr="009C3233" w:rsidRDefault="00AE0AC3" w:rsidP="00B7515B">
      <w:pPr>
        <w:spacing w:after="0" w:line="240" w:lineRule="auto"/>
        <w:rPr>
          <w:sz w:val="18"/>
          <w:szCs w:val="18"/>
          <w:lang w:val="es-ES_tradnl"/>
        </w:rPr>
      </w:pPr>
      <w:r w:rsidRPr="009C3233">
        <w:rPr>
          <w:sz w:val="18"/>
          <w:szCs w:val="18"/>
          <w:lang w:val="es-ES_tradnl"/>
        </w:rPr>
        <w:t>5 - CEI</w:t>
      </w:r>
    </w:p>
    <w:p w:rsidR="00AE0AC3" w:rsidRPr="009C3233" w:rsidRDefault="00AE0AC3" w:rsidP="00B7515B">
      <w:pPr>
        <w:spacing w:after="0" w:line="240" w:lineRule="auto"/>
        <w:rPr>
          <w:sz w:val="18"/>
          <w:szCs w:val="18"/>
          <w:lang w:val="es-ES_tradnl"/>
        </w:rPr>
      </w:pPr>
      <w:r w:rsidRPr="009C3233">
        <w:rPr>
          <w:sz w:val="18"/>
          <w:szCs w:val="18"/>
          <w:lang w:val="es-ES_tradnl"/>
        </w:rPr>
        <w:t>6 - Europa</w:t>
      </w:r>
    </w:p>
    <w:p w:rsidR="00AE0AC3" w:rsidRPr="009C3233" w:rsidRDefault="00AE0AC3" w:rsidP="00B7515B">
      <w:pPr>
        <w:spacing w:after="0" w:line="240" w:lineRule="auto"/>
        <w:rPr>
          <w:sz w:val="18"/>
          <w:szCs w:val="18"/>
          <w:lang w:val="es-ES_tradnl"/>
        </w:rPr>
      </w:pPr>
      <w:r w:rsidRPr="009C3233">
        <w:rPr>
          <w:sz w:val="18"/>
          <w:szCs w:val="18"/>
          <w:lang w:val="es-ES_tradnl"/>
        </w:rPr>
        <w:t>7 - Las Américas</w:t>
      </w:r>
    </w:p>
    <w:p w:rsidR="00AE0AC3" w:rsidRPr="009C3233" w:rsidRDefault="00AE0AC3" w:rsidP="00B7515B">
      <w:pPr>
        <w:spacing w:after="0" w:line="240" w:lineRule="auto"/>
        <w:rPr>
          <w:sz w:val="18"/>
          <w:szCs w:val="18"/>
          <w:lang w:val="es-ES_tradnl"/>
        </w:rPr>
      </w:pPr>
      <w:r w:rsidRPr="009C3233">
        <w:rPr>
          <w:sz w:val="18"/>
          <w:szCs w:val="18"/>
          <w:lang w:val="es-ES_tradnl"/>
        </w:rPr>
        <w:t>8 - Compartición de infraestructuras obligatoria (torres, estaciones de base, postes, canalizaciones</w:t>
      </w:r>
      <w:r w:rsidR="002E7E1A" w:rsidRPr="009C3233">
        <w:rPr>
          <w:sz w:val="18"/>
          <w:szCs w:val="18"/>
          <w:lang w:val="es-ES_tradnl"/>
        </w:rPr>
        <w:t>)</w:t>
      </w:r>
    </w:p>
    <w:p w:rsidR="00AE0AC3" w:rsidRPr="009C3233" w:rsidRDefault="00AE0AC3" w:rsidP="00B7515B">
      <w:pPr>
        <w:spacing w:after="0" w:line="240" w:lineRule="auto"/>
        <w:rPr>
          <w:sz w:val="18"/>
          <w:szCs w:val="18"/>
          <w:lang w:val="es-ES_tradnl"/>
        </w:rPr>
      </w:pPr>
      <w:r w:rsidRPr="009C3233">
        <w:rPr>
          <w:sz w:val="18"/>
          <w:szCs w:val="18"/>
          <w:lang w:val="es-ES_tradnl"/>
        </w:rPr>
        <w:t>9 - Compartición de sitio obligatoria</w:t>
      </w:r>
    </w:p>
    <w:p w:rsidR="00AE0AC3" w:rsidRPr="009C3233" w:rsidRDefault="00AE0AC3" w:rsidP="00B7515B">
      <w:pPr>
        <w:spacing w:after="0" w:line="240" w:lineRule="auto"/>
        <w:rPr>
          <w:sz w:val="18"/>
          <w:szCs w:val="18"/>
          <w:lang w:val="es-ES_tradnl"/>
        </w:rPr>
      </w:pPr>
      <w:r w:rsidRPr="009C3233">
        <w:rPr>
          <w:sz w:val="18"/>
          <w:szCs w:val="18"/>
          <w:lang w:val="es-ES_tradnl"/>
        </w:rPr>
        <w:t>10 - Compartición de infraestructuras permitida para los operadores móviles</w:t>
      </w:r>
    </w:p>
    <w:p w:rsidR="00AE0AC3" w:rsidRPr="009C3233" w:rsidRDefault="003B484F" w:rsidP="00B7515B">
      <w:pPr>
        <w:spacing w:after="0" w:line="240" w:lineRule="auto"/>
        <w:rPr>
          <w:sz w:val="18"/>
          <w:szCs w:val="18"/>
          <w:lang w:val="es-ES_tradnl"/>
        </w:rPr>
      </w:pPr>
      <w:r>
        <w:rPr>
          <w:sz w:val="18"/>
          <w:szCs w:val="18"/>
          <w:lang w:val="es-ES_tradnl"/>
        </w:rPr>
        <w:t>11 - Asia y el Pacífico</w:t>
      </w:r>
    </w:p>
    <w:p w:rsidR="00093E87" w:rsidRPr="008642EF" w:rsidRDefault="00AE0AC3" w:rsidP="00CC6B14">
      <w:pPr>
        <w:spacing w:before="120" w:after="0" w:line="240" w:lineRule="auto"/>
        <w:rPr>
          <w:lang w:val="es-ES_tradnl"/>
        </w:rPr>
      </w:pPr>
      <w:r w:rsidRPr="008642EF">
        <w:rPr>
          <w:lang w:val="es-ES_tradnl"/>
        </w:rPr>
        <w:t xml:space="preserve">Para responder a la </w:t>
      </w:r>
      <w:r w:rsidR="007943F3" w:rsidRPr="008642EF">
        <w:rPr>
          <w:lang w:val="es-ES_tradnl"/>
        </w:rPr>
        <w:t xml:space="preserve">demanda </w:t>
      </w:r>
      <w:r w:rsidRPr="008642EF">
        <w:rPr>
          <w:lang w:val="es-ES_tradnl"/>
        </w:rPr>
        <w:t xml:space="preserve">creciente de espectro, el 75% de los países de la </w:t>
      </w:r>
      <w:r w:rsidR="000B03B6">
        <w:rPr>
          <w:lang w:val="es-ES_tradnl"/>
        </w:rPr>
        <w:t>Región</w:t>
      </w:r>
      <w:r w:rsidRPr="008642EF">
        <w:rPr>
          <w:lang w:val="es-ES_tradnl"/>
        </w:rPr>
        <w:t xml:space="preserve"> de las Américas han adoptado algún tipo de mecanismo de mercado al permitir la migración dentro de la banda. De este modo, la </w:t>
      </w:r>
      <w:r w:rsidR="000B03B6">
        <w:rPr>
          <w:lang w:val="es-ES_tradnl"/>
        </w:rPr>
        <w:t>Región</w:t>
      </w:r>
      <w:r w:rsidRPr="008642EF">
        <w:rPr>
          <w:lang w:val="es-ES_tradnl"/>
        </w:rPr>
        <w:t xml:space="preserve"> de las Américas </w:t>
      </w:r>
      <w:r w:rsidR="007943F3" w:rsidRPr="008642EF">
        <w:rPr>
          <w:lang w:val="es-ES_tradnl"/>
        </w:rPr>
        <w:t>se convierte en</w:t>
      </w:r>
      <w:r w:rsidRPr="008642EF">
        <w:rPr>
          <w:lang w:val="es-ES_tradnl"/>
        </w:rPr>
        <w:t xml:space="preserve"> la región con el mayor porcentaje de países que han adoptado mecanismos de mercado, seguida de Europa</w:t>
      </w:r>
      <w:r w:rsidR="00093E87" w:rsidRPr="008642EF">
        <w:rPr>
          <w:lang w:val="es-ES_tradnl"/>
        </w:rPr>
        <w:t xml:space="preserve">. </w:t>
      </w:r>
      <w:r w:rsidRPr="008642EF">
        <w:rPr>
          <w:lang w:val="es-ES_tradnl"/>
        </w:rPr>
        <w:t xml:space="preserve">Al menos el 21% de los países, incluidos </w:t>
      </w:r>
      <w:r w:rsidR="00093E87" w:rsidRPr="008642EF">
        <w:rPr>
          <w:lang w:val="es-ES_tradnl"/>
        </w:rPr>
        <w:t xml:space="preserve">Chile, Guatemala, El Salvador </w:t>
      </w:r>
      <w:r w:rsidRPr="008642EF">
        <w:rPr>
          <w:lang w:val="es-ES_tradnl"/>
        </w:rPr>
        <w:t xml:space="preserve">y </w:t>
      </w:r>
      <w:r w:rsidR="007943F3" w:rsidRPr="008642EF">
        <w:rPr>
          <w:lang w:val="es-ES_tradnl"/>
        </w:rPr>
        <w:t xml:space="preserve">el </w:t>
      </w:r>
      <w:r w:rsidR="00093E87" w:rsidRPr="008642EF">
        <w:rPr>
          <w:lang w:val="es-ES_tradnl"/>
        </w:rPr>
        <w:t>Uruguay</w:t>
      </w:r>
      <w:r w:rsidRPr="008642EF">
        <w:rPr>
          <w:lang w:val="es-ES_tradnl"/>
        </w:rPr>
        <w:t xml:space="preserve">, han ido un paso más allá y han autorizado el comercio del espectro. Mientras que a los operadores se les </w:t>
      </w:r>
      <w:r w:rsidR="007943F3" w:rsidRPr="008642EF">
        <w:rPr>
          <w:lang w:val="es-ES_tradnl"/>
        </w:rPr>
        <w:t xml:space="preserve">asignó </w:t>
      </w:r>
      <w:r w:rsidRPr="008642EF">
        <w:rPr>
          <w:lang w:val="es-ES_tradnl"/>
        </w:rPr>
        <w:t xml:space="preserve">espectro para servicios </w:t>
      </w:r>
      <w:r w:rsidR="00093E87" w:rsidRPr="008642EF">
        <w:rPr>
          <w:lang w:val="es-ES_tradnl"/>
        </w:rPr>
        <w:t xml:space="preserve">WiMax </w:t>
      </w:r>
      <w:r w:rsidRPr="008642EF">
        <w:rPr>
          <w:lang w:val="es-ES_tradnl"/>
        </w:rPr>
        <w:t xml:space="preserve">en el 80% de los países de la </w:t>
      </w:r>
      <w:r w:rsidR="00CC6B14" w:rsidRPr="008642EF">
        <w:rPr>
          <w:lang w:val="es-ES_tradnl"/>
        </w:rPr>
        <w:t>Región</w:t>
      </w:r>
      <w:r w:rsidRPr="008642EF">
        <w:rPr>
          <w:lang w:val="es-ES_tradnl"/>
        </w:rPr>
        <w:t>, s</w:t>
      </w:r>
      <w:r w:rsidR="00CC6B14">
        <w:rPr>
          <w:lang w:val="es-ES_tradnl"/>
        </w:rPr>
        <w:t>ó</w:t>
      </w:r>
      <w:r w:rsidRPr="008642EF">
        <w:rPr>
          <w:lang w:val="es-ES_tradnl"/>
        </w:rPr>
        <w:t>lo en</w:t>
      </w:r>
      <w:r w:rsidR="002E7E1A" w:rsidRPr="008642EF">
        <w:rPr>
          <w:lang w:val="es-ES_tradnl"/>
        </w:rPr>
        <w:t xml:space="preserve"> el</w:t>
      </w:r>
      <w:r w:rsidRPr="008642EF">
        <w:rPr>
          <w:lang w:val="es-ES_tradnl"/>
        </w:rPr>
        <w:t xml:space="preserve"> 66% </w:t>
      </w:r>
      <w:r w:rsidR="007943F3" w:rsidRPr="008642EF">
        <w:rPr>
          <w:lang w:val="es-ES_tradnl"/>
        </w:rPr>
        <w:t>el servicio estaba disponible a efectos comerciales</w:t>
      </w:r>
      <w:r w:rsidR="00093E87" w:rsidRPr="008642EF">
        <w:rPr>
          <w:lang w:val="es-ES_tradnl"/>
        </w:rPr>
        <w:t xml:space="preserve">. </w:t>
      </w:r>
      <w:r w:rsidR="001108EF" w:rsidRPr="008642EF">
        <w:rPr>
          <w:lang w:val="es-ES_tradnl"/>
        </w:rPr>
        <w:t xml:space="preserve">Al menos 8 países habían asignado espectro para </w:t>
      </w:r>
      <w:r w:rsidR="007943F3" w:rsidRPr="008642EF">
        <w:rPr>
          <w:lang w:val="es-ES_tradnl"/>
        </w:rPr>
        <w:t xml:space="preserve">servicios </w:t>
      </w:r>
      <w:r w:rsidR="00093E87" w:rsidRPr="008642EF">
        <w:rPr>
          <w:lang w:val="es-ES_tradnl"/>
        </w:rPr>
        <w:t>LTE</w:t>
      </w:r>
      <w:r w:rsidR="001108EF" w:rsidRPr="008642EF">
        <w:rPr>
          <w:lang w:val="es-ES_tradnl"/>
        </w:rPr>
        <w:t>,</w:t>
      </w:r>
      <w:r w:rsidR="007943F3" w:rsidRPr="008642EF">
        <w:rPr>
          <w:lang w:val="es-ES_tradnl"/>
        </w:rPr>
        <w:t xml:space="preserve"> y en 5 de ellos estaba disponible a efectos comerciales</w:t>
      </w:r>
      <w:r w:rsidR="001108EF" w:rsidRPr="008642EF">
        <w:rPr>
          <w:lang w:val="es-ES_tradnl"/>
        </w:rPr>
        <w:t xml:space="preserve">, incluidos </w:t>
      </w:r>
      <w:r w:rsidR="00093E87" w:rsidRPr="008642EF">
        <w:rPr>
          <w:lang w:val="es-ES_tradnl"/>
        </w:rPr>
        <w:t xml:space="preserve">Antigua </w:t>
      </w:r>
      <w:r w:rsidR="001108EF" w:rsidRPr="008642EF">
        <w:rPr>
          <w:lang w:val="es-ES_tradnl"/>
        </w:rPr>
        <w:t xml:space="preserve">y </w:t>
      </w:r>
      <w:r w:rsidR="00093E87" w:rsidRPr="008642EF">
        <w:rPr>
          <w:lang w:val="es-ES_tradnl"/>
        </w:rPr>
        <w:t xml:space="preserve">Barbuda, Nicaragua </w:t>
      </w:r>
      <w:r w:rsidR="001108EF" w:rsidRPr="008642EF">
        <w:rPr>
          <w:lang w:val="es-ES_tradnl"/>
        </w:rPr>
        <w:t>y Santa Lucía</w:t>
      </w:r>
      <w:r w:rsidR="00093E87" w:rsidRPr="008642EF">
        <w:rPr>
          <w:lang w:val="es-ES_tradnl"/>
        </w:rPr>
        <w:t xml:space="preserve">. </w:t>
      </w:r>
      <w:r w:rsidR="001108EF" w:rsidRPr="008642EF">
        <w:rPr>
          <w:lang w:val="es-ES_tradnl"/>
        </w:rPr>
        <w:t xml:space="preserve">Para garantizar que los consumidores de la </w:t>
      </w:r>
      <w:r w:rsidR="00CC6B14" w:rsidRPr="008642EF">
        <w:rPr>
          <w:lang w:val="es-ES_tradnl"/>
        </w:rPr>
        <w:t xml:space="preserve">Región </w:t>
      </w:r>
      <w:r w:rsidR="001108EF" w:rsidRPr="008642EF">
        <w:rPr>
          <w:lang w:val="es-ES_tradnl"/>
        </w:rPr>
        <w:t xml:space="preserve">se benefician de acceso inalámbrico móvil a servicios de banda ancha, es </w:t>
      </w:r>
      <w:r w:rsidR="007943F3" w:rsidRPr="008642EF">
        <w:rPr>
          <w:lang w:val="es-ES_tradnl"/>
        </w:rPr>
        <w:t xml:space="preserve">preciso </w:t>
      </w:r>
      <w:r w:rsidR="001108EF" w:rsidRPr="008642EF">
        <w:rPr>
          <w:lang w:val="es-ES_tradnl"/>
        </w:rPr>
        <w:t xml:space="preserve">conceder (licitar) más licencias tecnológicamente neutrales </w:t>
      </w:r>
      <w:r w:rsidR="007943F3" w:rsidRPr="008642EF">
        <w:rPr>
          <w:lang w:val="es-ES_tradnl"/>
        </w:rPr>
        <w:t xml:space="preserve">vinculadas al espectro </w:t>
      </w:r>
      <w:r w:rsidR="001108EF" w:rsidRPr="008642EF">
        <w:rPr>
          <w:lang w:val="es-ES_tradnl"/>
        </w:rPr>
        <w:t>y poner a disposición del público más servicios</w:t>
      </w:r>
      <w:r w:rsidR="00093E87" w:rsidRPr="008642EF">
        <w:rPr>
          <w:lang w:val="es-ES_tradnl"/>
        </w:rPr>
        <w:t>.</w:t>
      </w:r>
    </w:p>
    <w:p w:rsidR="00093E87" w:rsidRPr="008642EF" w:rsidRDefault="0027774B" w:rsidP="00B7515B">
      <w:pPr>
        <w:spacing w:before="120" w:after="0" w:line="240" w:lineRule="auto"/>
        <w:rPr>
          <w:lang w:val="es-ES_tradnl"/>
        </w:rPr>
      </w:pPr>
      <w:r w:rsidRPr="008642EF">
        <w:rPr>
          <w:lang w:val="es-ES_tradnl"/>
        </w:rPr>
        <w:t xml:space="preserve">Conscientes del papel crucial de la banda ancha en la economía digital actual, 27 países de la </w:t>
      </w:r>
      <w:r w:rsidR="00CC6B14" w:rsidRPr="008642EF">
        <w:rPr>
          <w:lang w:val="es-ES_tradnl"/>
        </w:rPr>
        <w:t xml:space="preserve">Región </w:t>
      </w:r>
      <w:r w:rsidRPr="008642EF">
        <w:rPr>
          <w:lang w:val="es-ES_tradnl"/>
        </w:rPr>
        <w:t xml:space="preserve">han adoptado </w:t>
      </w:r>
      <w:r w:rsidR="00A07CE9" w:rsidRPr="008642EF">
        <w:rPr>
          <w:lang w:val="es-ES_tradnl"/>
        </w:rPr>
        <w:t xml:space="preserve">o tienen previsto adoptar </w:t>
      </w:r>
      <w:r w:rsidRPr="008642EF">
        <w:rPr>
          <w:lang w:val="es-ES_tradnl"/>
        </w:rPr>
        <w:t>política</w:t>
      </w:r>
      <w:r w:rsidR="00A07CE9" w:rsidRPr="008642EF">
        <w:rPr>
          <w:lang w:val="es-ES_tradnl"/>
        </w:rPr>
        <w:t>s</w:t>
      </w:r>
      <w:r w:rsidRPr="008642EF">
        <w:rPr>
          <w:lang w:val="es-ES_tradnl"/>
        </w:rPr>
        <w:t>, estrategia</w:t>
      </w:r>
      <w:r w:rsidR="00A07CE9" w:rsidRPr="008642EF">
        <w:rPr>
          <w:lang w:val="es-ES_tradnl"/>
        </w:rPr>
        <w:t>s</w:t>
      </w:r>
      <w:r w:rsidRPr="008642EF">
        <w:rPr>
          <w:lang w:val="es-ES_tradnl"/>
        </w:rPr>
        <w:t xml:space="preserve"> o plan</w:t>
      </w:r>
      <w:r w:rsidR="00A07CE9" w:rsidRPr="008642EF">
        <w:rPr>
          <w:lang w:val="es-ES_tradnl"/>
        </w:rPr>
        <w:t>es</w:t>
      </w:r>
      <w:r w:rsidRPr="008642EF">
        <w:rPr>
          <w:lang w:val="es-ES_tradnl"/>
        </w:rPr>
        <w:t xml:space="preserve"> nacional</w:t>
      </w:r>
      <w:r w:rsidR="00A07CE9" w:rsidRPr="008642EF">
        <w:rPr>
          <w:lang w:val="es-ES_tradnl"/>
        </w:rPr>
        <w:t>es</w:t>
      </w:r>
      <w:r w:rsidRPr="008642EF">
        <w:rPr>
          <w:lang w:val="es-ES_tradnl"/>
        </w:rPr>
        <w:t xml:space="preserve"> para promover la banda ancha. Reconociendo la importancia de estimular la demanda, </w:t>
      </w:r>
      <w:r w:rsidR="007943F3" w:rsidRPr="008642EF">
        <w:rPr>
          <w:lang w:val="es-ES_tradnl"/>
        </w:rPr>
        <w:t xml:space="preserve">uno de los objetivos principales de estos planes es </w:t>
      </w:r>
      <w:r w:rsidRPr="008642EF">
        <w:rPr>
          <w:lang w:val="es-ES_tradnl"/>
        </w:rPr>
        <w:t>la adopción de se</w:t>
      </w:r>
      <w:r w:rsidR="007943F3" w:rsidRPr="008642EF">
        <w:rPr>
          <w:lang w:val="es-ES_tradnl"/>
        </w:rPr>
        <w:t xml:space="preserve">rvicios y aplicaciones en línea, así como </w:t>
      </w:r>
      <w:r w:rsidRPr="008642EF">
        <w:rPr>
          <w:lang w:val="es-ES_tradnl"/>
        </w:rPr>
        <w:t>la expansión de las infraestructuras de banda ancha por todo el país</w:t>
      </w:r>
      <w:r w:rsidR="00093E87" w:rsidRPr="008642EF">
        <w:rPr>
          <w:lang w:val="es-ES_tradnl"/>
        </w:rPr>
        <w:t>.</w:t>
      </w:r>
      <w:r w:rsidR="00093E87" w:rsidRPr="008642EF">
        <w:rPr>
          <w:sz w:val="20"/>
          <w:szCs w:val="20"/>
          <w:lang w:val="es-ES_tradnl"/>
        </w:rPr>
        <w:t xml:space="preserve"> </w:t>
      </w:r>
      <w:r w:rsidRPr="008642EF">
        <w:rPr>
          <w:lang w:val="es-ES_tradnl"/>
        </w:rPr>
        <w:t>Cinco países que todavía no disponen de un plan de esta índole</w:t>
      </w:r>
      <w:r w:rsidR="00833151" w:rsidRPr="008642EF">
        <w:rPr>
          <w:lang w:val="es-ES_tradnl"/>
        </w:rPr>
        <w:t>,</w:t>
      </w:r>
      <w:r w:rsidR="0079477D" w:rsidRPr="008642EF">
        <w:rPr>
          <w:lang w:val="es-ES_tradnl"/>
        </w:rPr>
        <w:t xml:space="preserve"> si bien tienen previsto adoptar este tipo de instrumentos</w:t>
      </w:r>
      <w:r w:rsidR="00833151" w:rsidRPr="008642EF">
        <w:rPr>
          <w:lang w:val="es-ES_tradnl"/>
        </w:rPr>
        <w:t>,</w:t>
      </w:r>
      <w:r w:rsidRPr="008642EF">
        <w:rPr>
          <w:lang w:val="es-ES_tradnl"/>
        </w:rPr>
        <w:t xml:space="preserve"> han incluido no obstante la banda ancha en su definición de servicio universal. La </w:t>
      </w:r>
      <w:r w:rsidR="000B03B6">
        <w:rPr>
          <w:lang w:val="es-ES_tradnl"/>
        </w:rPr>
        <w:t>Región</w:t>
      </w:r>
      <w:r w:rsidRPr="008642EF">
        <w:rPr>
          <w:lang w:val="es-ES_tradnl"/>
        </w:rPr>
        <w:t xml:space="preserve"> de las Américas fue la primera en la que se </w:t>
      </w:r>
      <w:r w:rsidR="0079477D" w:rsidRPr="008642EF">
        <w:rPr>
          <w:lang w:val="es-ES_tradnl"/>
        </w:rPr>
        <w:t xml:space="preserve">establecieron </w:t>
      </w:r>
      <w:r w:rsidRPr="008642EF">
        <w:rPr>
          <w:lang w:val="es-ES_tradnl"/>
        </w:rPr>
        <w:t xml:space="preserve">fondos </w:t>
      </w:r>
      <w:r w:rsidR="0079477D" w:rsidRPr="008642EF">
        <w:rPr>
          <w:lang w:val="es-ES_tradnl"/>
        </w:rPr>
        <w:t>de</w:t>
      </w:r>
      <w:r w:rsidRPr="008642EF">
        <w:rPr>
          <w:lang w:val="es-ES_tradnl"/>
        </w:rPr>
        <w:t xml:space="preserve"> servicio universal, centrados a la sazón en el acceso a los servicios de voz y a servicios </w:t>
      </w:r>
      <w:r w:rsidR="0079477D" w:rsidRPr="008642EF">
        <w:rPr>
          <w:lang w:val="es-ES_tradnl"/>
        </w:rPr>
        <w:t xml:space="preserve">concretos </w:t>
      </w:r>
      <w:r w:rsidRPr="008642EF">
        <w:rPr>
          <w:lang w:val="es-ES_tradnl"/>
        </w:rPr>
        <w:t xml:space="preserve">fijos de voz. Algunos países, como el Perú o la República Dominicana, incorporaron los servicios de banda ancha a sus objetivos de servicio universal en una fecha tan temprana como 2007, y han </w:t>
      </w:r>
      <w:r w:rsidR="0079477D" w:rsidRPr="008642EF">
        <w:rPr>
          <w:lang w:val="es-ES_tradnl"/>
        </w:rPr>
        <w:t xml:space="preserve">recurrido </w:t>
      </w:r>
      <w:r w:rsidRPr="008642EF">
        <w:rPr>
          <w:lang w:val="es-ES_tradnl"/>
        </w:rPr>
        <w:t xml:space="preserve">a los fondos del servicio universal para </w:t>
      </w:r>
      <w:r w:rsidR="0079477D" w:rsidRPr="008642EF">
        <w:rPr>
          <w:lang w:val="es-ES_tradnl"/>
        </w:rPr>
        <w:t xml:space="preserve">financiar </w:t>
      </w:r>
      <w:r w:rsidRPr="008642EF">
        <w:rPr>
          <w:lang w:val="es-ES_tradnl"/>
        </w:rPr>
        <w:t>proyectos relacionados con la banda ancha en el marco de su estrategia de banda ancha</w:t>
      </w:r>
      <w:r w:rsidR="00093E87" w:rsidRPr="008642EF">
        <w:rPr>
          <w:rFonts w:cs="Arial"/>
          <w:lang w:val="es-ES_tradnl"/>
        </w:rPr>
        <w:t xml:space="preserve">. </w:t>
      </w:r>
      <w:r w:rsidRPr="008642EF">
        <w:rPr>
          <w:rFonts w:cs="Arial"/>
          <w:lang w:val="es-ES_tradnl"/>
        </w:rPr>
        <w:t>Actualmente, 21 países d</w:t>
      </w:r>
      <w:r w:rsidR="0079477D" w:rsidRPr="008642EF">
        <w:rPr>
          <w:rFonts w:cs="Arial"/>
          <w:lang w:val="es-ES_tradnl"/>
        </w:rPr>
        <w:t>e la zona cuentan con fondos de</w:t>
      </w:r>
      <w:r w:rsidRPr="008642EF">
        <w:rPr>
          <w:rFonts w:cs="Arial"/>
          <w:lang w:val="es-ES_tradnl"/>
        </w:rPr>
        <w:t xml:space="preserve"> servicio universal </w:t>
      </w:r>
      <w:r w:rsidR="0079477D" w:rsidRPr="008642EF">
        <w:rPr>
          <w:rFonts w:cs="Arial"/>
          <w:lang w:val="es-ES_tradnl"/>
        </w:rPr>
        <w:t>activos</w:t>
      </w:r>
      <w:r w:rsidRPr="008642EF">
        <w:rPr>
          <w:rFonts w:cs="Arial"/>
          <w:lang w:val="es-ES_tradnl"/>
        </w:rPr>
        <w:t xml:space="preserve">, </w:t>
      </w:r>
      <w:r w:rsidR="0079477D" w:rsidRPr="008642EF">
        <w:rPr>
          <w:rFonts w:cs="Arial"/>
          <w:lang w:val="es-ES_tradnl"/>
        </w:rPr>
        <w:t xml:space="preserve">pese a que </w:t>
      </w:r>
      <w:r w:rsidRPr="008642EF">
        <w:rPr>
          <w:rFonts w:cs="Arial"/>
          <w:lang w:val="es-ES_tradnl"/>
        </w:rPr>
        <w:t xml:space="preserve">solamente cinco de </w:t>
      </w:r>
      <w:r w:rsidR="00833151" w:rsidRPr="008642EF">
        <w:rPr>
          <w:rFonts w:cs="Arial"/>
          <w:lang w:val="es-ES_tradnl"/>
        </w:rPr>
        <w:t>ellos</w:t>
      </w:r>
      <w:r w:rsidRPr="008642EF">
        <w:rPr>
          <w:rFonts w:cs="Arial"/>
          <w:lang w:val="es-ES_tradnl"/>
        </w:rPr>
        <w:t xml:space="preserve"> se </w:t>
      </w:r>
      <w:r w:rsidR="00833151" w:rsidRPr="008642EF">
        <w:rPr>
          <w:rFonts w:cs="Arial"/>
          <w:lang w:val="es-ES_tradnl"/>
        </w:rPr>
        <w:t>usan</w:t>
      </w:r>
      <w:r w:rsidRPr="008642EF">
        <w:rPr>
          <w:rFonts w:cs="Arial"/>
          <w:lang w:val="es-ES_tradnl"/>
        </w:rPr>
        <w:t xml:space="preserve">, total o parcialmente, para financiar </w:t>
      </w:r>
      <w:r w:rsidR="0079477D" w:rsidRPr="008642EF">
        <w:rPr>
          <w:rFonts w:cs="Arial"/>
          <w:lang w:val="es-ES_tradnl"/>
        </w:rPr>
        <w:t xml:space="preserve">planes </w:t>
      </w:r>
      <w:r w:rsidRPr="008642EF">
        <w:rPr>
          <w:rFonts w:cs="Arial"/>
          <w:lang w:val="es-ES_tradnl"/>
        </w:rPr>
        <w:t>nacional</w:t>
      </w:r>
      <w:r w:rsidR="0079477D" w:rsidRPr="008642EF">
        <w:rPr>
          <w:rFonts w:cs="Arial"/>
          <w:lang w:val="es-ES_tradnl"/>
        </w:rPr>
        <w:t>es</w:t>
      </w:r>
      <w:r w:rsidRPr="008642EF">
        <w:rPr>
          <w:rFonts w:cs="Arial"/>
          <w:lang w:val="es-ES_tradnl"/>
        </w:rPr>
        <w:t xml:space="preserve"> de banda ancha. Además de las alianzas público-privadas, las subvenciones directas de los gobiernos son otro de los mecanismos principales para financiar este tipo de planes. En el Brasil, el Gobierno ha optado por la financiación pública directa para </w:t>
      </w:r>
      <w:r w:rsidR="00833151" w:rsidRPr="008642EF">
        <w:rPr>
          <w:rFonts w:cs="Arial"/>
          <w:lang w:val="es-ES_tradnl"/>
        </w:rPr>
        <w:t xml:space="preserve">construir y poner </w:t>
      </w:r>
      <w:r w:rsidRPr="008642EF">
        <w:rPr>
          <w:rFonts w:cs="Arial"/>
          <w:lang w:val="es-ES_tradnl"/>
        </w:rPr>
        <w:t>en funcionamiento una red basada en el principio del acceso libre</w:t>
      </w:r>
      <w:r w:rsidR="0079477D" w:rsidRPr="008642EF">
        <w:rPr>
          <w:rFonts w:cs="Arial"/>
          <w:lang w:val="es-ES_tradnl"/>
        </w:rPr>
        <w:t xml:space="preserve"> </w:t>
      </w:r>
      <w:r w:rsidR="00833151" w:rsidRPr="008642EF">
        <w:rPr>
          <w:rFonts w:cs="Arial"/>
          <w:lang w:val="es-ES_tradnl"/>
        </w:rPr>
        <w:t xml:space="preserve">que permita </w:t>
      </w:r>
      <w:r w:rsidRPr="008642EF">
        <w:rPr>
          <w:rFonts w:cs="Arial"/>
          <w:lang w:val="es-ES_tradnl"/>
        </w:rPr>
        <w:t>garantizar un acceso competitivo en lo que respecta a la prestación de servicios</w:t>
      </w:r>
      <w:r w:rsidR="00093E87" w:rsidRPr="008642EF">
        <w:rPr>
          <w:lang w:val="es-ES_tradnl"/>
        </w:rPr>
        <w:t>.</w:t>
      </w:r>
    </w:p>
    <w:p w:rsidR="00093E87" w:rsidRPr="008642EF" w:rsidRDefault="00C242F6" w:rsidP="00B7515B">
      <w:pPr>
        <w:spacing w:before="120" w:after="0" w:line="240" w:lineRule="auto"/>
        <w:rPr>
          <w:rFonts w:cs="Arial"/>
          <w:lang w:val="es-ES_tradnl"/>
        </w:rPr>
      </w:pPr>
      <w:r w:rsidRPr="008642EF">
        <w:rPr>
          <w:rFonts w:cs="Arial"/>
          <w:lang w:val="es-ES_tradnl"/>
        </w:rPr>
        <w:t>Tal y como se señala en las seccion</w:t>
      </w:r>
      <w:r w:rsidR="00833151" w:rsidRPr="008642EF">
        <w:rPr>
          <w:rFonts w:cs="Arial"/>
          <w:lang w:val="es-ES_tradnl"/>
        </w:rPr>
        <w:t>e</w:t>
      </w:r>
      <w:r w:rsidRPr="008642EF">
        <w:rPr>
          <w:rFonts w:cs="Arial"/>
          <w:lang w:val="es-ES_tradnl"/>
        </w:rPr>
        <w:t xml:space="preserve">s siguientes, </w:t>
      </w:r>
      <w:r w:rsidR="007943F3" w:rsidRPr="008642EF">
        <w:rPr>
          <w:rFonts w:cs="Arial"/>
          <w:lang w:val="es-ES_tradnl"/>
        </w:rPr>
        <w:t>la introducción de nuevas reformas del sector podría contribuir a</w:t>
      </w:r>
      <w:r w:rsidRPr="008642EF">
        <w:rPr>
          <w:rFonts w:cs="Arial"/>
          <w:lang w:val="es-ES_tradnl"/>
        </w:rPr>
        <w:t xml:space="preserve"> mejorar los niveles de penetración, en particular en términos de banda ancha fija y móvil</w:t>
      </w:r>
      <w:r w:rsidR="00261C0B">
        <w:rPr>
          <w:rFonts w:cs="Arial"/>
          <w:lang w:val="es-ES_tradnl"/>
        </w:rPr>
        <w:t>.</w:t>
      </w:r>
    </w:p>
    <w:p w:rsidR="00093E87" w:rsidRPr="00675AAD" w:rsidRDefault="00C242F6" w:rsidP="0053288C">
      <w:pPr>
        <w:keepNext/>
        <w:spacing w:before="240" w:after="120" w:line="240" w:lineRule="auto"/>
        <w:rPr>
          <w:b/>
          <w:bCs/>
          <w:lang w:val="es-ES_tradnl"/>
        </w:rPr>
      </w:pPr>
      <w:r w:rsidRPr="00675AAD">
        <w:rPr>
          <w:b/>
          <w:bCs/>
          <w:lang w:val="es-ES_tradnl"/>
        </w:rPr>
        <w:lastRenderedPageBreak/>
        <w:t>Figura</w:t>
      </w:r>
      <w:r w:rsidR="00093E87" w:rsidRPr="00675AAD">
        <w:rPr>
          <w:b/>
          <w:bCs/>
          <w:lang w:val="es-ES_tradnl"/>
        </w:rPr>
        <w:t xml:space="preserve"> 1.9: </w:t>
      </w:r>
      <w:r w:rsidRPr="00675AAD">
        <w:rPr>
          <w:b/>
          <w:bCs/>
          <w:lang w:val="es-ES_tradnl"/>
        </w:rPr>
        <w:t xml:space="preserve">Planes de banda ancha, </w:t>
      </w:r>
      <w:r w:rsidR="00A07CE9" w:rsidRPr="00675AAD">
        <w:rPr>
          <w:b/>
          <w:bCs/>
          <w:lang w:val="es-ES_tradnl"/>
        </w:rPr>
        <w:t xml:space="preserve">desglosados </w:t>
      </w:r>
      <w:r w:rsidRPr="00675AAD">
        <w:rPr>
          <w:b/>
          <w:bCs/>
          <w:lang w:val="es-ES_tradnl"/>
        </w:rPr>
        <w:t>por región</w:t>
      </w:r>
      <w:r w:rsidR="00093E87" w:rsidRPr="00675AAD">
        <w:rPr>
          <w:b/>
          <w:bCs/>
          <w:lang w:val="es-ES_tradnl"/>
        </w:rPr>
        <w:t>, 2012</w:t>
      </w:r>
    </w:p>
    <w:p w:rsidR="00093E87" w:rsidRPr="008642EF" w:rsidRDefault="00093E87" w:rsidP="009C3233">
      <w:pPr>
        <w:keepNext/>
        <w:keepLines/>
        <w:spacing w:line="240" w:lineRule="auto"/>
        <w:rPr>
          <w:b/>
          <w:bCs/>
          <w:lang w:val="es-ES_tradnl"/>
        </w:rPr>
      </w:pPr>
      <w:r w:rsidRPr="008642EF">
        <w:rPr>
          <w:b/>
          <w:bCs/>
          <w:noProof/>
          <w:lang w:eastAsia="en-US"/>
        </w:rPr>
        <w:drawing>
          <wp:inline distT="0" distB="0" distL="0" distR="0" wp14:anchorId="3D6F0D6C" wp14:editId="6862AB38">
            <wp:extent cx="4362450" cy="2762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6736" cy="2764964"/>
                    </a:xfrm>
                    <a:prstGeom prst="rect">
                      <a:avLst/>
                    </a:prstGeom>
                    <a:noFill/>
                  </pic:spPr>
                </pic:pic>
              </a:graphicData>
            </a:graphic>
          </wp:inline>
        </w:drawing>
      </w:r>
    </w:p>
    <w:p w:rsidR="00261C0B" w:rsidRPr="00706543" w:rsidRDefault="00C242F6" w:rsidP="00706543">
      <w:pPr>
        <w:keepNext/>
        <w:keepLines/>
        <w:spacing w:after="0" w:line="240" w:lineRule="auto"/>
        <w:rPr>
          <w:rFonts w:ascii="Calibri" w:eastAsia="SimSun" w:hAnsi="Calibri" w:cs="Calibri"/>
          <w:sz w:val="18"/>
          <w:szCs w:val="18"/>
          <w:lang w:val="es-ES_tradnl"/>
        </w:rPr>
      </w:pPr>
      <w:r w:rsidRPr="00706543">
        <w:rPr>
          <w:rFonts w:ascii="Calibri" w:eastAsia="SimSun" w:hAnsi="Calibri" w:cs="Calibri"/>
          <w:sz w:val="18"/>
          <w:szCs w:val="18"/>
          <w:lang w:val="es-ES_tradnl"/>
        </w:rPr>
        <w:t>Origen: Base de datos de la UIT sobre reglamentación de las telecomunicaciones/TIC</w:t>
      </w:r>
      <w:r w:rsidR="00093E87" w:rsidRPr="00706543">
        <w:rPr>
          <w:rFonts w:ascii="Calibri" w:eastAsia="SimSun" w:hAnsi="Calibri" w:cs="Calibri"/>
          <w:sz w:val="18"/>
          <w:szCs w:val="18"/>
          <w:lang w:val="es-ES_tradnl"/>
        </w:rPr>
        <w:t>.</w:t>
      </w:r>
    </w:p>
    <w:p w:rsidR="00093E87" w:rsidRPr="008642EF" w:rsidRDefault="00C242F6" w:rsidP="00F60529">
      <w:pPr>
        <w:keepNext/>
        <w:keepLines/>
        <w:spacing w:before="120" w:after="0" w:line="240" w:lineRule="auto"/>
        <w:rPr>
          <w:rFonts w:cs="Arial"/>
          <w:sz w:val="18"/>
          <w:szCs w:val="18"/>
          <w:lang w:val="es-ES_tradnl"/>
        </w:rPr>
      </w:pPr>
      <w:r w:rsidRPr="008642EF">
        <w:rPr>
          <w:rFonts w:cs="Arial"/>
          <w:sz w:val="18"/>
          <w:szCs w:val="18"/>
          <w:lang w:val="es-ES_tradnl"/>
        </w:rPr>
        <w:t>Leyenda</w:t>
      </w:r>
      <w:r w:rsidR="00706543">
        <w:rPr>
          <w:rFonts w:cs="Arial"/>
          <w:sz w:val="18"/>
          <w:szCs w:val="18"/>
          <w:lang w:val="es-ES_tradnl"/>
        </w:rPr>
        <w:t>s</w:t>
      </w:r>
      <w:r w:rsidRPr="008642EF">
        <w:rPr>
          <w:rFonts w:cs="Arial"/>
          <w:sz w:val="18"/>
          <w:szCs w:val="18"/>
          <w:lang w:val="es-ES_tradnl"/>
        </w:rPr>
        <w:t xml:space="preserve"> de la </w:t>
      </w:r>
      <w:r w:rsidR="00A91BB0" w:rsidRPr="008642EF">
        <w:rPr>
          <w:rFonts w:cs="Arial"/>
          <w:sz w:val="18"/>
          <w:szCs w:val="18"/>
          <w:lang w:val="es-ES_tradnl"/>
        </w:rPr>
        <w:t>F</w:t>
      </w:r>
      <w:r w:rsidRPr="008642EF">
        <w:rPr>
          <w:rFonts w:cs="Arial"/>
          <w:sz w:val="18"/>
          <w:szCs w:val="18"/>
          <w:lang w:val="es-ES_tradnl"/>
        </w:rPr>
        <w:t>igura:</w:t>
      </w:r>
    </w:p>
    <w:p w:rsidR="00C242F6" w:rsidRPr="008642EF" w:rsidRDefault="00C242F6" w:rsidP="00B7515B">
      <w:pPr>
        <w:keepNext/>
        <w:keepLines/>
        <w:spacing w:after="0" w:line="240" w:lineRule="auto"/>
        <w:rPr>
          <w:rFonts w:cs="Arial"/>
          <w:sz w:val="18"/>
          <w:szCs w:val="18"/>
          <w:lang w:val="es-ES_tradnl"/>
        </w:rPr>
      </w:pPr>
      <w:r w:rsidRPr="008642EF">
        <w:rPr>
          <w:rFonts w:cs="Arial"/>
          <w:sz w:val="18"/>
          <w:szCs w:val="18"/>
          <w:lang w:val="es-ES_tradnl"/>
        </w:rPr>
        <w:t>1 - Planes de banda ancha, 2012</w:t>
      </w:r>
    </w:p>
    <w:p w:rsidR="00C242F6" w:rsidRPr="008642EF" w:rsidRDefault="00C242F6" w:rsidP="00B7515B">
      <w:pPr>
        <w:keepNext/>
        <w:keepLines/>
        <w:spacing w:after="0" w:line="240" w:lineRule="auto"/>
        <w:rPr>
          <w:rFonts w:cs="Arial"/>
          <w:sz w:val="18"/>
          <w:szCs w:val="18"/>
          <w:lang w:val="es-ES_tradnl"/>
        </w:rPr>
      </w:pPr>
      <w:r w:rsidRPr="008642EF">
        <w:rPr>
          <w:rFonts w:cs="Arial"/>
          <w:sz w:val="18"/>
          <w:szCs w:val="18"/>
          <w:lang w:val="es-ES_tradnl"/>
        </w:rPr>
        <w:t>2 - África</w:t>
      </w:r>
    </w:p>
    <w:p w:rsidR="00C242F6" w:rsidRPr="008642EF" w:rsidRDefault="00C242F6" w:rsidP="00B7515B">
      <w:pPr>
        <w:keepNext/>
        <w:keepLines/>
        <w:spacing w:after="0" w:line="240" w:lineRule="auto"/>
        <w:rPr>
          <w:rFonts w:cs="Arial"/>
          <w:sz w:val="18"/>
          <w:szCs w:val="18"/>
          <w:lang w:val="es-ES_tradnl"/>
        </w:rPr>
      </w:pPr>
      <w:r w:rsidRPr="008642EF">
        <w:rPr>
          <w:rFonts w:cs="Arial"/>
          <w:sz w:val="18"/>
          <w:szCs w:val="18"/>
          <w:lang w:val="es-ES_tradnl"/>
        </w:rPr>
        <w:t>3 - Estados Árabes</w:t>
      </w:r>
    </w:p>
    <w:p w:rsidR="00C242F6" w:rsidRPr="008642EF" w:rsidRDefault="00C242F6" w:rsidP="00B7515B">
      <w:pPr>
        <w:keepNext/>
        <w:keepLines/>
        <w:spacing w:after="0" w:line="240" w:lineRule="auto"/>
        <w:rPr>
          <w:rFonts w:cs="Arial"/>
          <w:sz w:val="18"/>
          <w:szCs w:val="18"/>
          <w:lang w:val="es-ES_tradnl"/>
        </w:rPr>
      </w:pPr>
      <w:r w:rsidRPr="008642EF">
        <w:rPr>
          <w:rFonts w:cs="Arial"/>
          <w:sz w:val="18"/>
          <w:szCs w:val="18"/>
          <w:lang w:val="es-ES_tradnl"/>
        </w:rPr>
        <w:t>4 - Asia y el Pacífico</w:t>
      </w:r>
    </w:p>
    <w:p w:rsidR="00C242F6" w:rsidRPr="008642EF" w:rsidRDefault="00C242F6" w:rsidP="00B7515B">
      <w:pPr>
        <w:keepNext/>
        <w:keepLines/>
        <w:spacing w:after="0" w:line="240" w:lineRule="auto"/>
        <w:rPr>
          <w:rFonts w:cs="Arial"/>
          <w:sz w:val="18"/>
          <w:szCs w:val="18"/>
          <w:lang w:val="es-ES_tradnl"/>
        </w:rPr>
      </w:pPr>
      <w:r w:rsidRPr="008642EF">
        <w:rPr>
          <w:rFonts w:cs="Arial"/>
          <w:sz w:val="18"/>
          <w:szCs w:val="18"/>
          <w:lang w:val="es-ES_tradnl"/>
        </w:rPr>
        <w:t>5 - CEI</w:t>
      </w:r>
    </w:p>
    <w:p w:rsidR="00C242F6" w:rsidRPr="008642EF" w:rsidRDefault="00C242F6" w:rsidP="00B7515B">
      <w:pPr>
        <w:keepNext/>
        <w:keepLines/>
        <w:spacing w:after="0" w:line="240" w:lineRule="auto"/>
        <w:rPr>
          <w:rFonts w:cs="Arial"/>
          <w:sz w:val="18"/>
          <w:szCs w:val="18"/>
          <w:lang w:val="es-ES_tradnl"/>
        </w:rPr>
      </w:pPr>
      <w:r w:rsidRPr="008642EF">
        <w:rPr>
          <w:rFonts w:cs="Arial"/>
          <w:sz w:val="18"/>
          <w:szCs w:val="18"/>
          <w:lang w:val="es-ES_tradnl"/>
        </w:rPr>
        <w:t>6 - Europa</w:t>
      </w:r>
    </w:p>
    <w:p w:rsidR="00C242F6" w:rsidRPr="008642EF" w:rsidRDefault="00C242F6" w:rsidP="00B7515B">
      <w:pPr>
        <w:keepNext/>
        <w:keepLines/>
        <w:spacing w:after="0" w:line="240" w:lineRule="auto"/>
        <w:rPr>
          <w:rFonts w:cs="Arial"/>
          <w:sz w:val="18"/>
          <w:szCs w:val="18"/>
          <w:lang w:val="es-ES_tradnl"/>
        </w:rPr>
      </w:pPr>
      <w:r w:rsidRPr="008642EF">
        <w:rPr>
          <w:rFonts w:cs="Arial"/>
          <w:sz w:val="18"/>
          <w:szCs w:val="18"/>
          <w:lang w:val="es-ES_tradnl"/>
        </w:rPr>
        <w:t>7 - Las Américas</w:t>
      </w:r>
    </w:p>
    <w:p w:rsidR="00C242F6" w:rsidRPr="008642EF" w:rsidRDefault="00C242F6" w:rsidP="00B7515B">
      <w:pPr>
        <w:keepNext/>
        <w:keepLines/>
        <w:spacing w:after="0" w:line="240" w:lineRule="auto"/>
        <w:rPr>
          <w:rFonts w:cs="Arial"/>
          <w:sz w:val="18"/>
          <w:szCs w:val="18"/>
          <w:lang w:val="es-ES_tradnl"/>
        </w:rPr>
      </w:pPr>
      <w:r w:rsidRPr="008642EF">
        <w:rPr>
          <w:rFonts w:cs="Arial"/>
          <w:sz w:val="18"/>
          <w:szCs w:val="18"/>
          <w:lang w:val="es-ES_tradnl"/>
        </w:rPr>
        <w:t>8 - Sí</w:t>
      </w:r>
    </w:p>
    <w:p w:rsidR="00C242F6" w:rsidRPr="008642EF" w:rsidRDefault="009A7CCA" w:rsidP="00B7515B">
      <w:pPr>
        <w:keepNext/>
        <w:keepLines/>
        <w:spacing w:after="0" w:line="240" w:lineRule="auto"/>
        <w:rPr>
          <w:rFonts w:cs="Arial"/>
          <w:sz w:val="18"/>
          <w:szCs w:val="18"/>
          <w:lang w:val="es-ES_tradnl"/>
        </w:rPr>
      </w:pPr>
      <w:r>
        <w:rPr>
          <w:rFonts w:cs="Arial"/>
          <w:sz w:val="18"/>
          <w:szCs w:val="18"/>
          <w:lang w:val="es-ES_tradnl"/>
        </w:rPr>
        <w:t>9 - No, pero está previsto</w:t>
      </w:r>
    </w:p>
    <w:p w:rsidR="003F497A" w:rsidRPr="008642EF" w:rsidRDefault="00C242F6" w:rsidP="00F60529">
      <w:pPr>
        <w:pStyle w:val="Heading2"/>
        <w:numPr>
          <w:ilvl w:val="0"/>
          <w:numId w:val="3"/>
        </w:numPr>
        <w:spacing w:line="240" w:lineRule="auto"/>
        <w:rPr>
          <w:rFonts w:asciiTheme="minorHAnsi" w:hAnsiTheme="minorHAnsi"/>
          <w:lang w:val="es-ES_tradnl"/>
        </w:rPr>
      </w:pPr>
      <w:bookmarkStart w:id="6" w:name="_Toc359935894"/>
      <w:r w:rsidRPr="008642EF">
        <w:rPr>
          <w:rFonts w:asciiTheme="minorHAnsi" w:hAnsiTheme="minorHAnsi"/>
          <w:lang w:val="es-ES_tradnl"/>
        </w:rPr>
        <w:t>Panorámica general de los avances en materia de TIC en</w:t>
      </w:r>
      <w:r w:rsidR="00833151" w:rsidRPr="008642EF">
        <w:rPr>
          <w:rFonts w:asciiTheme="minorHAnsi" w:hAnsiTheme="minorHAnsi"/>
          <w:lang w:val="es-ES_tradnl"/>
        </w:rPr>
        <w:t xml:space="preserve"> la </w:t>
      </w:r>
      <w:r w:rsidR="000B03B6">
        <w:rPr>
          <w:rFonts w:asciiTheme="minorHAnsi" w:hAnsiTheme="minorHAnsi"/>
          <w:lang w:val="es-ES_tradnl"/>
        </w:rPr>
        <w:t>Región</w:t>
      </w:r>
      <w:r w:rsidR="00833151" w:rsidRPr="008642EF">
        <w:rPr>
          <w:rFonts w:asciiTheme="minorHAnsi" w:hAnsiTheme="minorHAnsi"/>
          <w:lang w:val="es-ES_tradnl"/>
        </w:rPr>
        <w:t xml:space="preserve"> de</w:t>
      </w:r>
      <w:r w:rsidRPr="008642EF">
        <w:rPr>
          <w:rFonts w:asciiTheme="minorHAnsi" w:hAnsiTheme="minorHAnsi"/>
          <w:lang w:val="es-ES_tradnl"/>
        </w:rPr>
        <w:t xml:space="preserve"> las Américas</w:t>
      </w:r>
      <w:bookmarkEnd w:id="1"/>
      <w:bookmarkEnd w:id="6"/>
    </w:p>
    <w:p w:rsidR="007B357E" w:rsidRPr="008642EF" w:rsidRDefault="00C242F6" w:rsidP="00804DF3">
      <w:pPr>
        <w:spacing w:before="120" w:after="0" w:line="240" w:lineRule="auto"/>
        <w:rPr>
          <w:lang w:val="es-ES_tradnl"/>
        </w:rPr>
      </w:pPr>
      <w:r w:rsidRPr="008642EF">
        <w:rPr>
          <w:lang w:val="es-ES_tradnl"/>
        </w:rPr>
        <w:t xml:space="preserve">En consonancia con las tendencias mundiales, la </w:t>
      </w:r>
      <w:r w:rsidR="000B03B6">
        <w:rPr>
          <w:lang w:val="es-ES_tradnl"/>
        </w:rPr>
        <w:t>Región</w:t>
      </w:r>
      <w:r w:rsidRPr="008642EF">
        <w:rPr>
          <w:lang w:val="es-ES_tradnl"/>
        </w:rPr>
        <w:t xml:space="preserve"> de las Américas</w:t>
      </w:r>
      <w:r w:rsidR="00B7701A" w:rsidRPr="008642EF">
        <w:rPr>
          <w:rStyle w:val="FootnoteReference"/>
          <w:lang w:val="es-ES_tradnl"/>
        </w:rPr>
        <w:footnoteReference w:id="17"/>
      </w:r>
      <w:r w:rsidR="00B7701A" w:rsidRPr="008642EF">
        <w:rPr>
          <w:lang w:val="es-ES_tradnl"/>
        </w:rPr>
        <w:t xml:space="preserve"> </w:t>
      </w:r>
      <w:r w:rsidR="0079477D" w:rsidRPr="008642EF">
        <w:rPr>
          <w:lang w:val="es-ES_tradnl"/>
        </w:rPr>
        <w:t xml:space="preserve">ha experimentado un aumento constante desde 2008 de </w:t>
      </w:r>
      <w:r w:rsidRPr="008642EF">
        <w:rPr>
          <w:lang w:val="es-ES_tradnl"/>
        </w:rPr>
        <w:t xml:space="preserve">las infraestructuras de TIC y </w:t>
      </w:r>
      <w:r w:rsidR="0079477D" w:rsidRPr="008642EF">
        <w:rPr>
          <w:lang w:val="es-ES_tradnl"/>
        </w:rPr>
        <w:t xml:space="preserve">de </w:t>
      </w:r>
      <w:r w:rsidRPr="008642EF">
        <w:rPr>
          <w:lang w:val="es-ES_tradnl"/>
        </w:rPr>
        <w:t xml:space="preserve">la </w:t>
      </w:r>
      <w:r w:rsidR="0079477D" w:rsidRPr="008642EF">
        <w:rPr>
          <w:lang w:val="es-ES_tradnl"/>
        </w:rPr>
        <w:t xml:space="preserve">asimilación de </w:t>
      </w:r>
      <w:r w:rsidR="00FF1488" w:rsidRPr="008642EF">
        <w:rPr>
          <w:lang w:val="es-ES_tradnl"/>
        </w:rPr>
        <w:t xml:space="preserve">este tipo </w:t>
      </w:r>
      <w:r w:rsidRPr="008642EF">
        <w:rPr>
          <w:lang w:val="es-ES_tradnl"/>
        </w:rPr>
        <w:t>de servicios</w:t>
      </w:r>
      <w:r w:rsidR="00B7701A" w:rsidRPr="008642EF">
        <w:rPr>
          <w:lang w:val="es-ES_tradnl"/>
        </w:rPr>
        <w:t xml:space="preserve">. </w:t>
      </w:r>
      <w:r w:rsidR="001E187D" w:rsidRPr="008642EF">
        <w:rPr>
          <w:lang w:val="es-ES_tradnl"/>
        </w:rPr>
        <w:t>De</w:t>
      </w:r>
      <w:r w:rsidRPr="008642EF">
        <w:rPr>
          <w:lang w:val="es-ES_tradnl"/>
        </w:rPr>
        <w:t xml:space="preserve"> los casi 950 millones de habitantes de la </w:t>
      </w:r>
      <w:r w:rsidR="009A7CCA" w:rsidRPr="008642EF">
        <w:rPr>
          <w:lang w:val="es-ES_tradnl"/>
        </w:rPr>
        <w:t>Región</w:t>
      </w:r>
      <w:r w:rsidR="001E187D" w:rsidRPr="008642EF">
        <w:rPr>
          <w:lang w:val="es-ES_tradnl"/>
        </w:rPr>
        <w:t>, cada vez son más los que</w:t>
      </w:r>
      <w:r w:rsidRPr="008642EF">
        <w:rPr>
          <w:lang w:val="es-ES_tradnl"/>
        </w:rPr>
        <w:t xml:space="preserve"> están conectándose </w:t>
      </w:r>
      <w:r w:rsidR="00FF1488" w:rsidRPr="008642EF">
        <w:rPr>
          <w:lang w:val="es-ES_tradnl"/>
        </w:rPr>
        <w:t xml:space="preserve">e ingresando en </w:t>
      </w:r>
      <w:r w:rsidRPr="008642EF">
        <w:rPr>
          <w:lang w:val="es-ES_tradnl"/>
        </w:rPr>
        <w:t>la sociedad de la información</w:t>
      </w:r>
      <w:r w:rsidR="00837DD6" w:rsidRPr="008642EF">
        <w:rPr>
          <w:lang w:val="es-ES_tradnl"/>
        </w:rPr>
        <w:t xml:space="preserve">. </w:t>
      </w:r>
    </w:p>
    <w:p w:rsidR="00FC6357" w:rsidRPr="008642EF" w:rsidRDefault="00FF1488" w:rsidP="00E83BD6">
      <w:pPr>
        <w:spacing w:before="120" w:after="0" w:line="240" w:lineRule="auto"/>
        <w:rPr>
          <w:lang w:val="es-ES_tradnl"/>
        </w:rPr>
      </w:pPr>
      <w:r w:rsidRPr="008642EF">
        <w:rPr>
          <w:lang w:val="es-ES_tradnl"/>
        </w:rPr>
        <w:t xml:space="preserve">A excepción del </w:t>
      </w:r>
      <w:r w:rsidR="008D35FB" w:rsidRPr="008642EF">
        <w:rPr>
          <w:lang w:val="es-ES_tradnl"/>
        </w:rPr>
        <w:t xml:space="preserve">número de abonos a </w:t>
      </w:r>
      <w:r w:rsidRPr="008642EF">
        <w:rPr>
          <w:lang w:val="es-ES_tradnl"/>
        </w:rPr>
        <w:t xml:space="preserve">servicios de </w:t>
      </w:r>
      <w:r w:rsidR="008D35FB" w:rsidRPr="008642EF">
        <w:rPr>
          <w:lang w:val="es-ES_tradnl"/>
        </w:rPr>
        <w:t>telefonía fija, en retroceso desde 2008,</w:t>
      </w:r>
      <w:r w:rsidR="00833151" w:rsidRPr="008642EF">
        <w:rPr>
          <w:lang w:val="es-ES_tradnl"/>
        </w:rPr>
        <w:t xml:space="preserve"> en</w:t>
      </w:r>
      <w:r w:rsidR="008D35FB" w:rsidRPr="008642EF">
        <w:rPr>
          <w:lang w:val="es-ES_tradnl"/>
        </w:rPr>
        <w:t xml:space="preserve"> la </w:t>
      </w:r>
      <w:r w:rsidR="000B03B6">
        <w:rPr>
          <w:lang w:val="es-ES_tradnl"/>
        </w:rPr>
        <w:t>Región</w:t>
      </w:r>
      <w:r w:rsidR="008D35FB" w:rsidRPr="008642EF">
        <w:rPr>
          <w:lang w:val="es-ES_tradnl"/>
        </w:rPr>
        <w:t xml:space="preserve"> de las Américas </w:t>
      </w:r>
      <w:r w:rsidR="00833151" w:rsidRPr="008642EF">
        <w:rPr>
          <w:lang w:val="es-ES_tradnl"/>
        </w:rPr>
        <w:t xml:space="preserve">se observa </w:t>
      </w:r>
      <w:r w:rsidR="008D35FB" w:rsidRPr="008642EF">
        <w:rPr>
          <w:lang w:val="es-ES_tradnl"/>
        </w:rPr>
        <w:t xml:space="preserve">un aumento continuado en todos los </w:t>
      </w:r>
      <w:r w:rsidRPr="008642EF">
        <w:rPr>
          <w:lang w:val="es-ES_tradnl"/>
        </w:rPr>
        <w:t xml:space="preserve">principales </w:t>
      </w:r>
      <w:r w:rsidR="008D35FB" w:rsidRPr="008642EF">
        <w:rPr>
          <w:lang w:val="es-ES_tradnl"/>
        </w:rPr>
        <w:t xml:space="preserve">servicios de TIC, y </w:t>
      </w:r>
      <w:r w:rsidRPr="008642EF">
        <w:rPr>
          <w:lang w:val="es-ES_tradnl"/>
        </w:rPr>
        <w:t xml:space="preserve">las tasas </w:t>
      </w:r>
      <w:r w:rsidR="008D35FB" w:rsidRPr="008642EF">
        <w:rPr>
          <w:lang w:val="es-ES_tradnl"/>
        </w:rPr>
        <w:t>de penetración están por encima de la media</w:t>
      </w:r>
      <w:r w:rsidRPr="008642EF">
        <w:rPr>
          <w:lang w:val="es-ES_tradnl"/>
        </w:rPr>
        <w:t xml:space="preserve"> mundial</w:t>
      </w:r>
      <w:r w:rsidR="008D35FB" w:rsidRPr="008642EF">
        <w:rPr>
          <w:lang w:val="es-ES_tradnl"/>
        </w:rPr>
        <w:t xml:space="preserve">. En </w:t>
      </w:r>
      <w:r w:rsidR="00154160" w:rsidRPr="008642EF">
        <w:rPr>
          <w:lang w:val="es-ES_tradnl"/>
        </w:rPr>
        <w:t xml:space="preserve">particular, </w:t>
      </w:r>
      <w:r w:rsidR="008D35FB" w:rsidRPr="008642EF">
        <w:rPr>
          <w:lang w:val="es-ES_tradnl"/>
        </w:rPr>
        <w:t xml:space="preserve">la tasa de penetración de la banda ancha (cableada) fija, que es del 17,1%, prácticamente duplica la media mundial, que es del </w:t>
      </w:r>
      <w:r w:rsidR="007F4DDB" w:rsidRPr="008642EF">
        <w:rPr>
          <w:lang w:val="es-ES_tradnl"/>
        </w:rPr>
        <w:t>9</w:t>
      </w:r>
      <w:r w:rsidR="008D35FB" w:rsidRPr="008642EF">
        <w:rPr>
          <w:lang w:val="es-ES_tradnl"/>
        </w:rPr>
        <w:t>,</w:t>
      </w:r>
      <w:r w:rsidR="007F4DDB" w:rsidRPr="008642EF">
        <w:rPr>
          <w:lang w:val="es-ES_tradnl"/>
        </w:rPr>
        <w:t>8</w:t>
      </w:r>
      <w:r w:rsidR="008D35FB" w:rsidRPr="008642EF">
        <w:rPr>
          <w:lang w:val="es-ES_tradnl"/>
        </w:rPr>
        <w:t xml:space="preserve">%, y el porcentaje de usuarios de Internet, del </w:t>
      </w:r>
      <w:r w:rsidR="00156D36" w:rsidRPr="008642EF">
        <w:rPr>
          <w:lang w:val="es-ES_tradnl"/>
        </w:rPr>
        <w:t>60</w:t>
      </w:r>
      <w:r w:rsidR="008D35FB" w:rsidRPr="008642EF">
        <w:rPr>
          <w:lang w:val="es-ES_tradnl"/>
        </w:rPr>
        <w:t>,</w:t>
      </w:r>
      <w:r w:rsidR="00156D36" w:rsidRPr="008642EF">
        <w:rPr>
          <w:lang w:val="es-ES_tradnl"/>
        </w:rPr>
        <w:t>8</w:t>
      </w:r>
      <w:r w:rsidR="008D35FB" w:rsidRPr="008642EF">
        <w:rPr>
          <w:lang w:val="es-ES_tradnl"/>
        </w:rPr>
        <w:t xml:space="preserve">%, prácticamente duplica la media en los países en desarrollo a finales de </w:t>
      </w:r>
      <w:r w:rsidR="007F4DDB" w:rsidRPr="008642EF">
        <w:rPr>
          <w:lang w:val="es-ES_tradnl"/>
        </w:rPr>
        <w:t>2013</w:t>
      </w:r>
      <w:r w:rsidRPr="008642EF">
        <w:rPr>
          <w:lang w:val="es-ES_tradnl"/>
        </w:rPr>
        <w:t xml:space="preserve">, que </w:t>
      </w:r>
      <w:r w:rsidR="00EE762B" w:rsidRPr="008642EF">
        <w:rPr>
          <w:lang w:val="es-ES_tradnl"/>
        </w:rPr>
        <w:t>es</w:t>
      </w:r>
      <w:r w:rsidRPr="008642EF">
        <w:rPr>
          <w:lang w:val="es-ES_tradnl"/>
        </w:rPr>
        <w:t xml:space="preserve"> del 30,7%</w:t>
      </w:r>
      <w:r w:rsidR="00154160" w:rsidRPr="008642EF">
        <w:rPr>
          <w:lang w:val="es-ES_tradnl"/>
        </w:rPr>
        <w:t xml:space="preserve">. </w:t>
      </w:r>
      <w:r w:rsidR="008D35FB" w:rsidRPr="008642EF">
        <w:rPr>
          <w:lang w:val="es-ES_tradnl"/>
        </w:rPr>
        <w:t xml:space="preserve">La penetración de la telefonía móvil celular superó al número de habitantes en </w:t>
      </w:r>
      <w:r w:rsidR="00154160" w:rsidRPr="008642EF">
        <w:rPr>
          <w:lang w:val="es-ES_tradnl"/>
        </w:rPr>
        <w:t>2011</w:t>
      </w:r>
      <w:r w:rsidR="008D35FB" w:rsidRPr="008642EF">
        <w:rPr>
          <w:lang w:val="es-ES_tradnl"/>
        </w:rPr>
        <w:t xml:space="preserve"> y la UIT estima que, a finales de</w:t>
      </w:r>
      <w:r w:rsidR="00E83BD6">
        <w:rPr>
          <w:lang w:val="es-ES_tradnl"/>
        </w:rPr>
        <w:t> </w:t>
      </w:r>
      <w:r w:rsidR="008D35FB" w:rsidRPr="008642EF">
        <w:rPr>
          <w:lang w:val="es-ES_tradnl"/>
        </w:rPr>
        <w:t xml:space="preserve">2013, la penetración regional habrá alcanzado el </w:t>
      </w:r>
      <w:r w:rsidR="00154160" w:rsidRPr="008642EF">
        <w:rPr>
          <w:lang w:val="es-ES_tradnl"/>
        </w:rPr>
        <w:t>109</w:t>
      </w:r>
      <w:r w:rsidR="008D35FB" w:rsidRPr="008642EF">
        <w:rPr>
          <w:lang w:val="es-ES_tradnl"/>
        </w:rPr>
        <w:t>,</w:t>
      </w:r>
      <w:r w:rsidR="00154160" w:rsidRPr="008642EF">
        <w:rPr>
          <w:lang w:val="es-ES_tradnl"/>
        </w:rPr>
        <w:t>4</w:t>
      </w:r>
      <w:r w:rsidR="008D35FB" w:rsidRPr="008642EF">
        <w:rPr>
          <w:lang w:val="es-ES_tradnl"/>
        </w:rPr>
        <w:t>%</w:t>
      </w:r>
      <w:r w:rsidR="00154160" w:rsidRPr="008642EF">
        <w:rPr>
          <w:lang w:val="es-ES_tradnl"/>
        </w:rPr>
        <w:t>.</w:t>
      </w:r>
      <w:r w:rsidR="00156D36" w:rsidRPr="008642EF">
        <w:rPr>
          <w:lang w:val="es-ES_tradnl"/>
        </w:rPr>
        <w:t xml:space="preserve"> </w:t>
      </w:r>
      <w:r w:rsidR="008D35FB" w:rsidRPr="008642EF">
        <w:rPr>
          <w:lang w:val="es-ES_tradnl"/>
        </w:rPr>
        <w:t xml:space="preserve">También es digno de mención el porcentaje de hogares con acceso a Internet, </w:t>
      </w:r>
      <w:r w:rsidR="00EE762B" w:rsidRPr="008642EF">
        <w:rPr>
          <w:lang w:val="es-ES_tradnl"/>
        </w:rPr>
        <w:t>que se estima</w:t>
      </w:r>
      <w:r w:rsidR="001E187D" w:rsidRPr="008642EF">
        <w:rPr>
          <w:lang w:val="es-ES_tradnl"/>
        </w:rPr>
        <w:t xml:space="preserve"> en un</w:t>
      </w:r>
      <w:r w:rsidR="00156D36" w:rsidRPr="008642EF">
        <w:rPr>
          <w:lang w:val="es-ES_tradnl"/>
        </w:rPr>
        <w:t xml:space="preserve"> 60</w:t>
      </w:r>
      <w:r w:rsidR="008D35FB" w:rsidRPr="008642EF">
        <w:rPr>
          <w:lang w:val="es-ES_tradnl"/>
        </w:rPr>
        <w:t>,</w:t>
      </w:r>
      <w:r w:rsidR="00156D36" w:rsidRPr="008642EF">
        <w:rPr>
          <w:lang w:val="es-ES_tradnl"/>
        </w:rPr>
        <w:t>8</w:t>
      </w:r>
      <w:r w:rsidR="008D35FB" w:rsidRPr="008642EF">
        <w:rPr>
          <w:lang w:val="es-ES_tradnl"/>
        </w:rPr>
        <w:t>%</w:t>
      </w:r>
      <w:r w:rsidR="00156D36" w:rsidRPr="008642EF">
        <w:rPr>
          <w:lang w:val="es-ES_tradnl"/>
        </w:rPr>
        <w:t xml:space="preserve"> </w:t>
      </w:r>
      <w:r w:rsidR="008D35FB" w:rsidRPr="008642EF">
        <w:rPr>
          <w:lang w:val="es-ES_tradnl"/>
        </w:rPr>
        <w:t>a finales de</w:t>
      </w:r>
      <w:r w:rsidR="00503175" w:rsidRPr="008642EF">
        <w:rPr>
          <w:lang w:val="es-ES_tradnl"/>
        </w:rPr>
        <w:t xml:space="preserve"> 2013</w:t>
      </w:r>
      <w:r w:rsidR="008D35FB" w:rsidRPr="008642EF">
        <w:rPr>
          <w:lang w:val="es-ES_tradnl"/>
        </w:rPr>
        <w:t xml:space="preserve"> y solamente superado por la </w:t>
      </w:r>
      <w:r w:rsidR="000B03B6">
        <w:rPr>
          <w:lang w:val="es-ES_tradnl"/>
        </w:rPr>
        <w:t>Región</w:t>
      </w:r>
      <w:r w:rsidR="008D35FB" w:rsidRPr="008642EF">
        <w:rPr>
          <w:lang w:val="es-ES_tradnl"/>
        </w:rPr>
        <w:t xml:space="preserve"> europea. </w:t>
      </w:r>
      <w:r w:rsidRPr="008642EF">
        <w:rPr>
          <w:lang w:val="es-ES_tradnl"/>
        </w:rPr>
        <w:t xml:space="preserve">Según </w:t>
      </w:r>
      <w:r w:rsidR="008D35FB" w:rsidRPr="008642EF">
        <w:rPr>
          <w:lang w:val="es-ES_tradnl"/>
        </w:rPr>
        <w:t xml:space="preserve">las estimaciones de la UIT, a finales de 2013 la penetración de la banda ancha móvil habrá alcanzado el 48% (véase la Figura </w:t>
      </w:r>
      <w:r w:rsidR="00FC6357" w:rsidRPr="008642EF">
        <w:rPr>
          <w:lang w:val="es-ES_tradnl"/>
        </w:rPr>
        <w:t>2.1).</w:t>
      </w:r>
    </w:p>
    <w:p w:rsidR="007B357E" w:rsidRPr="008642EF" w:rsidRDefault="00036373" w:rsidP="00804DF3">
      <w:pPr>
        <w:spacing w:before="120" w:after="0" w:line="240" w:lineRule="auto"/>
        <w:rPr>
          <w:lang w:val="es-ES_tradnl"/>
        </w:rPr>
      </w:pPr>
      <w:r w:rsidRPr="008642EF">
        <w:rPr>
          <w:lang w:val="es-ES_tradnl"/>
        </w:rPr>
        <w:t xml:space="preserve">Los Estados Unidos de América y el Canadá, los únicos dos países desarrollados de la </w:t>
      </w:r>
      <w:r w:rsidR="00273F6A" w:rsidRPr="008642EF">
        <w:rPr>
          <w:lang w:val="es-ES_tradnl"/>
        </w:rPr>
        <w:t>Región</w:t>
      </w:r>
      <w:r w:rsidR="00494C80" w:rsidRPr="008642EF">
        <w:rPr>
          <w:lang w:val="es-ES_tradnl"/>
        </w:rPr>
        <w:t>, concentran a</w:t>
      </w:r>
      <w:r w:rsidRPr="008642EF">
        <w:rPr>
          <w:lang w:val="es-ES_tradnl"/>
        </w:rPr>
        <w:t>l</w:t>
      </w:r>
      <w:r w:rsidR="00FF1488" w:rsidRPr="008642EF">
        <w:rPr>
          <w:lang w:val="es-ES_tradnl"/>
        </w:rPr>
        <w:t xml:space="preserve"> </w:t>
      </w:r>
      <w:r w:rsidRPr="008642EF">
        <w:rPr>
          <w:lang w:val="es-ES_tradnl"/>
        </w:rPr>
        <w:t xml:space="preserve">37% de la población total de la </w:t>
      </w:r>
      <w:r w:rsidR="009A7CCA" w:rsidRPr="008642EF">
        <w:rPr>
          <w:lang w:val="es-ES_tradnl"/>
        </w:rPr>
        <w:t>Región</w:t>
      </w:r>
      <w:r w:rsidRPr="008642EF">
        <w:rPr>
          <w:lang w:val="es-ES_tradnl"/>
        </w:rPr>
        <w:t xml:space="preserve">. Los elevados niveles de TIC en ambos países inciden poderosamente en las medias regionales y no siempre están en consonancia con los avances </w:t>
      </w:r>
      <w:r w:rsidRPr="008642EF">
        <w:rPr>
          <w:lang w:val="es-ES_tradnl"/>
        </w:rPr>
        <w:lastRenderedPageBreak/>
        <w:t xml:space="preserve">en materia de TIC en muchos de los países en desarrollo de la </w:t>
      </w:r>
      <w:r w:rsidR="009A7CCA" w:rsidRPr="008642EF">
        <w:rPr>
          <w:lang w:val="es-ES_tradnl"/>
        </w:rPr>
        <w:t>Región</w:t>
      </w:r>
      <w:r w:rsidR="007B357E" w:rsidRPr="008642EF">
        <w:rPr>
          <w:lang w:val="es-ES_tradnl"/>
        </w:rPr>
        <w:t xml:space="preserve">. </w:t>
      </w:r>
      <w:r w:rsidR="009F7AF9" w:rsidRPr="008642EF">
        <w:rPr>
          <w:lang w:val="es-ES_tradnl"/>
        </w:rPr>
        <w:t xml:space="preserve">La </w:t>
      </w:r>
      <w:r w:rsidR="00494C80" w:rsidRPr="008642EF">
        <w:rPr>
          <w:lang w:val="es-ES_tradnl"/>
        </w:rPr>
        <w:t xml:space="preserve">tasa de penetración de la telefonía móvil celular en la </w:t>
      </w:r>
      <w:r w:rsidR="009A7CCA" w:rsidRPr="008642EF">
        <w:rPr>
          <w:lang w:val="es-ES_tradnl"/>
        </w:rPr>
        <w:t xml:space="preserve">Subregión </w:t>
      </w:r>
      <w:r w:rsidR="009F7AF9" w:rsidRPr="008642EF">
        <w:rPr>
          <w:lang w:val="es-ES_tradnl"/>
        </w:rPr>
        <w:t>de América Latina y el Caribe —</w:t>
      </w:r>
      <w:r w:rsidR="00494C80" w:rsidRPr="008642EF">
        <w:rPr>
          <w:lang w:val="es-ES_tradnl"/>
        </w:rPr>
        <w:t xml:space="preserve">de la que no forman parte </w:t>
      </w:r>
      <w:r w:rsidR="009F7AF9" w:rsidRPr="008642EF">
        <w:rPr>
          <w:lang w:val="es-ES_tradnl"/>
        </w:rPr>
        <w:t xml:space="preserve">los Estados Unidos de América, el Canadá y </w:t>
      </w:r>
      <w:r w:rsidR="0025734B" w:rsidRPr="008642EF">
        <w:rPr>
          <w:lang w:val="es-ES_tradnl"/>
        </w:rPr>
        <w:t>Bermuda</w:t>
      </w:r>
      <w:r w:rsidR="009F7AF9" w:rsidRPr="008642EF">
        <w:rPr>
          <w:lang w:val="es-ES_tradnl"/>
        </w:rPr>
        <w:t xml:space="preserve">— </w:t>
      </w:r>
      <w:r w:rsidR="00494C80" w:rsidRPr="008642EF">
        <w:rPr>
          <w:lang w:val="es-ES_tradnl"/>
        </w:rPr>
        <w:t xml:space="preserve">es </w:t>
      </w:r>
      <w:r w:rsidR="00FF1488" w:rsidRPr="008642EF">
        <w:rPr>
          <w:lang w:val="es-ES_tradnl"/>
        </w:rPr>
        <w:t>mucho más elevada</w:t>
      </w:r>
      <w:r w:rsidR="009F7AF9" w:rsidRPr="008642EF">
        <w:rPr>
          <w:lang w:val="es-ES_tradnl"/>
        </w:rPr>
        <w:t xml:space="preserve"> que </w:t>
      </w:r>
      <w:r w:rsidR="00494C80" w:rsidRPr="008642EF">
        <w:rPr>
          <w:lang w:val="es-ES_tradnl"/>
        </w:rPr>
        <w:t xml:space="preserve">en </w:t>
      </w:r>
      <w:r w:rsidR="00FF1488" w:rsidRPr="008642EF">
        <w:rPr>
          <w:lang w:val="es-ES_tradnl"/>
        </w:rPr>
        <w:t xml:space="preserve">la </w:t>
      </w:r>
      <w:r w:rsidR="000B03B6">
        <w:rPr>
          <w:lang w:val="es-ES_tradnl"/>
        </w:rPr>
        <w:t>Región</w:t>
      </w:r>
      <w:r w:rsidR="009F7AF9" w:rsidRPr="008642EF">
        <w:rPr>
          <w:lang w:val="es-ES_tradnl"/>
        </w:rPr>
        <w:t xml:space="preserve"> de las Américas (mayor). En </w:t>
      </w:r>
      <w:r w:rsidR="00FF1488" w:rsidRPr="008642EF">
        <w:rPr>
          <w:lang w:val="es-ES_tradnl"/>
        </w:rPr>
        <w:t>otras esferas</w:t>
      </w:r>
      <w:r w:rsidR="009F7AF9" w:rsidRPr="008642EF">
        <w:rPr>
          <w:lang w:val="es-ES_tradnl"/>
        </w:rPr>
        <w:t xml:space="preserve">, como la banda ancha fija y móvil y la adopción de Internet, la </w:t>
      </w:r>
      <w:r w:rsidR="009A7CCA" w:rsidRPr="008642EF">
        <w:rPr>
          <w:lang w:val="es-ES_tradnl"/>
        </w:rPr>
        <w:t xml:space="preserve">Subregión </w:t>
      </w:r>
      <w:r w:rsidR="009F7AF9" w:rsidRPr="008642EF">
        <w:rPr>
          <w:lang w:val="es-ES_tradnl"/>
        </w:rPr>
        <w:t>de América Latina y el Caribe está por detrás de la de las Américas</w:t>
      </w:r>
      <w:r w:rsidR="007B357E" w:rsidRPr="008642EF">
        <w:rPr>
          <w:lang w:val="es-ES_tradnl"/>
        </w:rPr>
        <w:t xml:space="preserve">. </w:t>
      </w:r>
    </w:p>
    <w:p w:rsidR="00FC6357" w:rsidRPr="00675AAD" w:rsidRDefault="009F7AF9" w:rsidP="0053288C">
      <w:pPr>
        <w:keepNext/>
        <w:spacing w:before="240" w:after="120" w:line="240" w:lineRule="auto"/>
        <w:rPr>
          <w:b/>
          <w:bCs/>
          <w:lang w:val="es-ES_tradnl"/>
        </w:rPr>
      </w:pPr>
      <w:r w:rsidRPr="00675AAD">
        <w:rPr>
          <w:b/>
          <w:bCs/>
          <w:lang w:val="es-ES_tradnl"/>
        </w:rPr>
        <w:t>Figura</w:t>
      </w:r>
      <w:r w:rsidR="00FC6357" w:rsidRPr="00675AAD">
        <w:rPr>
          <w:b/>
          <w:bCs/>
          <w:lang w:val="es-ES_tradnl"/>
        </w:rPr>
        <w:t xml:space="preserve"> 2.1: </w:t>
      </w:r>
      <w:r w:rsidRPr="00675AAD">
        <w:rPr>
          <w:b/>
          <w:bCs/>
          <w:lang w:val="es-ES_tradnl"/>
        </w:rPr>
        <w:t xml:space="preserve">Avances en materia de TIC en </w:t>
      </w:r>
      <w:r w:rsidR="00FF1488" w:rsidRPr="00675AAD">
        <w:rPr>
          <w:b/>
          <w:bCs/>
          <w:lang w:val="es-ES_tradnl"/>
        </w:rPr>
        <w:t xml:space="preserve">la </w:t>
      </w:r>
      <w:r w:rsidR="000B03B6" w:rsidRPr="00675AAD">
        <w:rPr>
          <w:b/>
          <w:bCs/>
          <w:lang w:val="es-ES_tradnl"/>
        </w:rPr>
        <w:t>Región</w:t>
      </w:r>
      <w:r w:rsidR="00FF1488" w:rsidRPr="00675AAD">
        <w:rPr>
          <w:b/>
          <w:bCs/>
          <w:lang w:val="es-ES_tradnl"/>
        </w:rPr>
        <w:t xml:space="preserve"> de </w:t>
      </w:r>
      <w:r w:rsidRPr="00675AAD">
        <w:rPr>
          <w:b/>
          <w:bCs/>
          <w:lang w:val="es-ES_tradnl"/>
        </w:rPr>
        <w:t>las Américas</w:t>
      </w:r>
      <w:r w:rsidR="00FC6357" w:rsidRPr="00675AAD">
        <w:rPr>
          <w:b/>
          <w:bCs/>
          <w:lang w:val="es-ES_tradnl"/>
        </w:rPr>
        <w:t>, 2008-2013*</w:t>
      </w:r>
    </w:p>
    <w:p w:rsidR="00154160" w:rsidRPr="008642EF" w:rsidRDefault="0068074A" w:rsidP="009C3233">
      <w:pPr>
        <w:keepNext/>
        <w:keepLines/>
        <w:spacing w:line="240" w:lineRule="auto"/>
        <w:jc w:val="center"/>
        <w:rPr>
          <w:b/>
          <w:bCs/>
          <w:lang w:val="es-ES_tradnl"/>
        </w:rPr>
      </w:pPr>
      <w:r w:rsidRPr="008642EF">
        <w:rPr>
          <w:b/>
          <w:bCs/>
          <w:noProof/>
          <w:lang w:eastAsia="en-US"/>
        </w:rPr>
        <w:drawing>
          <wp:inline distT="0" distB="0" distL="0" distR="0" wp14:anchorId="4B6B6F26" wp14:editId="7393F2B9">
            <wp:extent cx="4024800" cy="2502000"/>
            <wp:effectExtent l="19050" t="19050" r="1397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4800" cy="2502000"/>
                    </a:xfrm>
                    <a:prstGeom prst="rect">
                      <a:avLst/>
                    </a:prstGeom>
                    <a:noFill/>
                    <a:ln w="3175">
                      <a:solidFill>
                        <a:schemeClr val="tx1"/>
                      </a:solidFill>
                    </a:ln>
                  </pic:spPr>
                </pic:pic>
              </a:graphicData>
            </a:graphic>
          </wp:inline>
        </w:drawing>
      </w:r>
    </w:p>
    <w:p w:rsidR="00C665AA" w:rsidRPr="00706543" w:rsidRDefault="009F7AF9" w:rsidP="00706543">
      <w:pPr>
        <w:spacing w:after="0" w:line="240" w:lineRule="auto"/>
        <w:rPr>
          <w:rFonts w:cs="Calibri"/>
          <w:sz w:val="18"/>
          <w:szCs w:val="18"/>
          <w:lang w:val="es-ES_tradnl"/>
        </w:rPr>
      </w:pPr>
      <w:r w:rsidRPr="00706543">
        <w:rPr>
          <w:rFonts w:cs="Calibri"/>
          <w:sz w:val="18"/>
          <w:szCs w:val="18"/>
          <w:lang w:val="es-ES_tradnl"/>
        </w:rPr>
        <w:t>Origen</w:t>
      </w:r>
      <w:r w:rsidR="00EA3518" w:rsidRPr="00706543">
        <w:rPr>
          <w:rFonts w:cs="Calibri"/>
          <w:sz w:val="18"/>
          <w:szCs w:val="18"/>
          <w:lang w:val="es-ES_tradnl"/>
        </w:rPr>
        <w:t xml:space="preserve">: </w:t>
      </w:r>
      <w:r w:rsidRPr="00706543">
        <w:rPr>
          <w:rFonts w:cs="Calibri"/>
          <w:sz w:val="18"/>
          <w:szCs w:val="18"/>
          <w:lang w:val="es-ES_tradnl"/>
        </w:rPr>
        <w:t>Base de datos de la UIT de indicadores mundiales de telecomunicaciones/TIC</w:t>
      </w:r>
      <w:r w:rsidR="00FC6357" w:rsidRPr="00706543">
        <w:rPr>
          <w:rFonts w:cs="Calibri"/>
          <w:sz w:val="18"/>
          <w:szCs w:val="18"/>
          <w:lang w:val="es-ES_tradnl"/>
        </w:rPr>
        <w:t>.</w:t>
      </w:r>
    </w:p>
    <w:p w:rsidR="00CA42D8" w:rsidRPr="00706543" w:rsidRDefault="00CA42D8" w:rsidP="00354D62">
      <w:pPr>
        <w:spacing w:after="0" w:line="240" w:lineRule="auto"/>
        <w:rPr>
          <w:rFonts w:cs="Calibri"/>
          <w:sz w:val="18"/>
          <w:szCs w:val="18"/>
          <w:lang w:val="es-ES_tradnl"/>
        </w:rPr>
      </w:pPr>
      <w:r w:rsidRPr="00706543">
        <w:rPr>
          <w:rFonts w:cs="Calibri"/>
          <w:sz w:val="18"/>
          <w:szCs w:val="18"/>
          <w:lang w:val="es-ES_tradnl"/>
        </w:rPr>
        <w:t>Not</w:t>
      </w:r>
      <w:r w:rsidR="009F7AF9" w:rsidRPr="00706543">
        <w:rPr>
          <w:rFonts w:cs="Calibri"/>
          <w:sz w:val="18"/>
          <w:szCs w:val="18"/>
          <w:lang w:val="es-ES_tradnl"/>
        </w:rPr>
        <w:t>a</w:t>
      </w:r>
      <w:r w:rsidRPr="00706543">
        <w:rPr>
          <w:rFonts w:cs="Calibri"/>
          <w:sz w:val="18"/>
          <w:szCs w:val="18"/>
          <w:lang w:val="es-ES_tradnl"/>
        </w:rPr>
        <w:t>: *</w:t>
      </w:r>
      <w:r w:rsidR="00354D62">
        <w:rPr>
          <w:rFonts w:cs="Calibri"/>
          <w:sz w:val="18"/>
          <w:szCs w:val="18"/>
          <w:lang w:val="es-ES_tradnl"/>
        </w:rPr>
        <w:t>E</w:t>
      </w:r>
      <w:r w:rsidR="009F7AF9" w:rsidRPr="00706543">
        <w:rPr>
          <w:rFonts w:cs="Calibri"/>
          <w:sz w:val="18"/>
          <w:szCs w:val="18"/>
          <w:lang w:val="es-ES_tradnl"/>
        </w:rPr>
        <w:t>stimaciones</w:t>
      </w:r>
      <w:r w:rsidRPr="00706543">
        <w:rPr>
          <w:rFonts w:cs="Calibri"/>
          <w:sz w:val="18"/>
          <w:szCs w:val="18"/>
          <w:lang w:val="es-ES_tradnl"/>
        </w:rPr>
        <w:t>.</w:t>
      </w:r>
    </w:p>
    <w:p w:rsidR="0068074A" w:rsidRPr="00261C0B" w:rsidRDefault="009F7AF9" w:rsidP="00F60529">
      <w:pPr>
        <w:spacing w:before="120" w:after="0" w:line="240" w:lineRule="auto"/>
        <w:jc w:val="both"/>
        <w:rPr>
          <w:sz w:val="18"/>
          <w:szCs w:val="18"/>
          <w:lang w:val="es-ES_tradnl"/>
        </w:rPr>
      </w:pPr>
      <w:r w:rsidRPr="00261C0B">
        <w:rPr>
          <w:sz w:val="18"/>
          <w:szCs w:val="18"/>
          <w:lang w:val="es-ES_tradnl"/>
        </w:rPr>
        <w:t>Leyenda</w:t>
      </w:r>
      <w:r w:rsidR="00706543">
        <w:rPr>
          <w:sz w:val="18"/>
          <w:szCs w:val="18"/>
          <w:lang w:val="es-ES_tradnl"/>
        </w:rPr>
        <w:t>s</w:t>
      </w:r>
      <w:r w:rsidRPr="00261C0B">
        <w:rPr>
          <w:sz w:val="18"/>
          <w:szCs w:val="18"/>
          <w:lang w:val="es-ES_tradnl"/>
        </w:rPr>
        <w:t xml:space="preserve"> de la </w:t>
      </w:r>
      <w:r w:rsidR="00A91BB0">
        <w:rPr>
          <w:sz w:val="18"/>
          <w:szCs w:val="18"/>
          <w:lang w:val="es-ES_tradnl"/>
        </w:rPr>
        <w:t>F</w:t>
      </w:r>
      <w:r w:rsidRPr="00261C0B">
        <w:rPr>
          <w:sz w:val="18"/>
          <w:szCs w:val="18"/>
          <w:lang w:val="es-ES_tradnl"/>
        </w:rPr>
        <w:t>igura:</w:t>
      </w:r>
    </w:p>
    <w:p w:rsidR="009F7AF9" w:rsidRPr="00261C0B" w:rsidRDefault="009F7AF9" w:rsidP="00261C0B">
      <w:pPr>
        <w:spacing w:after="0" w:line="240" w:lineRule="auto"/>
        <w:jc w:val="both"/>
        <w:rPr>
          <w:sz w:val="18"/>
          <w:szCs w:val="18"/>
          <w:lang w:val="es-ES_tradnl"/>
        </w:rPr>
      </w:pPr>
      <w:r w:rsidRPr="00261C0B">
        <w:rPr>
          <w:sz w:val="18"/>
          <w:szCs w:val="18"/>
          <w:lang w:val="es-ES_tradnl"/>
        </w:rPr>
        <w:t>1 - Por 100 habitantes/hogares</w:t>
      </w:r>
    </w:p>
    <w:p w:rsidR="009F7AF9" w:rsidRPr="00261C0B" w:rsidRDefault="009F7AF9" w:rsidP="00261C0B">
      <w:pPr>
        <w:spacing w:after="0" w:line="240" w:lineRule="auto"/>
        <w:jc w:val="both"/>
        <w:rPr>
          <w:sz w:val="18"/>
          <w:szCs w:val="18"/>
          <w:lang w:val="es-ES_tradnl"/>
        </w:rPr>
      </w:pPr>
      <w:r w:rsidRPr="00261C0B">
        <w:rPr>
          <w:sz w:val="18"/>
          <w:szCs w:val="18"/>
          <w:lang w:val="es-ES_tradnl"/>
        </w:rPr>
        <w:t>2 - Abonos a banda ancha fija (cableada)</w:t>
      </w:r>
    </w:p>
    <w:p w:rsidR="009F7AF9" w:rsidRPr="00261C0B" w:rsidRDefault="009F7AF9" w:rsidP="00261C0B">
      <w:pPr>
        <w:spacing w:after="0" w:line="240" w:lineRule="auto"/>
        <w:jc w:val="both"/>
        <w:rPr>
          <w:sz w:val="18"/>
          <w:szCs w:val="18"/>
          <w:lang w:val="es-ES_tradnl"/>
        </w:rPr>
      </w:pPr>
      <w:r w:rsidRPr="00261C0B">
        <w:rPr>
          <w:sz w:val="18"/>
          <w:szCs w:val="18"/>
          <w:lang w:val="es-ES_tradnl"/>
        </w:rPr>
        <w:t>3 - Abonos a telefonía fija</w:t>
      </w:r>
    </w:p>
    <w:p w:rsidR="009F7AF9" w:rsidRPr="00261C0B" w:rsidRDefault="009F7AF9" w:rsidP="00261C0B">
      <w:pPr>
        <w:spacing w:after="0" w:line="240" w:lineRule="auto"/>
        <w:jc w:val="both"/>
        <w:rPr>
          <w:sz w:val="18"/>
          <w:szCs w:val="18"/>
          <w:lang w:val="es-ES_tradnl"/>
        </w:rPr>
      </w:pPr>
      <w:r w:rsidRPr="00261C0B">
        <w:rPr>
          <w:sz w:val="18"/>
          <w:szCs w:val="18"/>
          <w:lang w:val="es-ES_tradnl"/>
        </w:rPr>
        <w:t>4 - Abonos activos a banda ancha móvil</w:t>
      </w:r>
    </w:p>
    <w:p w:rsidR="009F7AF9" w:rsidRPr="00261C0B" w:rsidRDefault="009F7AF9" w:rsidP="00261C0B">
      <w:pPr>
        <w:spacing w:after="0" w:line="240" w:lineRule="auto"/>
        <w:jc w:val="both"/>
        <w:rPr>
          <w:sz w:val="18"/>
          <w:szCs w:val="18"/>
          <w:lang w:val="es-ES_tradnl"/>
        </w:rPr>
      </w:pPr>
      <w:r w:rsidRPr="00261C0B">
        <w:rPr>
          <w:sz w:val="18"/>
          <w:szCs w:val="18"/>
          <w:lang w:val="es-ES_tradnl"/>
        </w:rPr>
        <w:t xml:space="preserve">5 - </w:t>
      </w:r>
      <w:r w:rsidR="00FF1488" w:rsidRPr="00261C0B">
        <w:rPr>
          <w:sz w:val="18"/>
          <w:szCs w:val="18"/>
          <w:lang w:val="es-ES_tradnl"/>
        </w:rPr>
        <w:t xml:space="preserve">Usuarios de </w:t>
      </w:r>
      <w:r w:rsidRPr="00261C0B">
        <w:rPr>
          <w:sz w:val="18"/>
          <w:szCs w:val="18"/>
          <w:lang w:val="es-ES_tradnl"/>
        </w:rPr>
        <w:t>Internet</w:t>
      </w:r>
    </w:p>
    <w:p w:rsidR="009F7AF9" w:rsidRPr="00261C0B" w:rsidRDefault="009F7AF9" w:rsidP="00261C0B">
      <w:pPr>
        <w:spacing w:after="0" w:line="240" w:lineRule="auto"/>
        <w:jc w:val="both"/>
        <w:rPr>
          <w:sz w:val="18"/>
          <w:szCs w:val="18"/>
          <w:lang w:val="es-ES_tradnl"/>
        </w:rPr>
      </w:pPr>
      <w:r w:rsidRPr="00261C0B">
        <w:rPr>
          <w:sz w:val="18"/>
          <w:szCs w:val="18"/>
          <w:lang w:val="es-ES_tradnl"/>
        </w:rPr>
        <w:t>6 - Hogares con acceso a Internet</w:t>
      </w:r>
    </w:p>
    <w:p w:rsidR="009F7AF9" w:rsidRPr="00261C0B" w:rsidRDefault="009F7AF9" w:rsidP="00261C0B">
      <w:pPr>
        <w:spacing w:after="0" w:line="240" w:lineRule="auto"/>
        <w:jc w:val="both"/>
        <w:rPr>
          <w:sz w:val="18"/>
          <w:szCs w:val="18"/>
          <w:lang w:val="es-ES_tradnl"/>
        </w:rPr>
      </w:pPr>
      <w:r w:rsidRPr="00261C0B">
        <w:rPr>
          <w:sz w:val="18"/>
          <w:szCs w:val="18"/>
          <w:lang w:val="es-ES_tradnl"/>
        </w:rPr>
        <w:t>7 - A</w:t>
      </w:r>
      <w:r w:rsidR="009A7CCA">
        <w:rPr>
          <w:sz w:val="18"/>
          <w:szCs w:val="18"/>
          <w:lang w:val="es-ES_tradnl"/>
        </w:rPr>
        <w:t>bonos a telefonía móvil celular</w:t>
      </w:r>
    </w:p>
    <w:p w:rsidR="00F60529" w:rsidRDefault="00F60529">
      <w:pPr>
        <w:rPr>
          <w:lang w:val="es-ES_tradnl"/>
        </w:rPr>
      </w:pPr>
      <w:r>
        <w:rPr>
          <w:lang w:val="es-ES_tradnl"/>
        </w:rPr>
        <w:br w:type="page"/>
      </w:r>
    </w:p>
    <w:p w:rsidR="00675AAD" w:rsidRDefault="00675AAD" w:rsidP="00B4194C">
      <w:pPr>
        <w:spacing w:before="120" w:after="0" w:line="240" w:lineRule="auto"/>
        <w:rPr>
          <w:lang w:val="es-ES_tradnl"/>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243"/>
      </w:tblGrid>
      <w:tr w:rsidR="00675AAD" w:rsidRPr="00BB148D" w:rsidTr="00F60529">
        <w:trPr>
          <w:trHeight w:val="5161"/>
        </w:trPr>
        <w:tc>
          <w:tcPr>
            <w:tcW w:w="9243" w:type="dxa"/>
          </w:tcPr>
          <w:p w:rsidR="00675AAD" w:rsidRPr="00675AAD" w:rsidRDefault="00675AAD" w:rsidP="00675AAD">
            <w:pPr>
              <w:spacing w:before="120"/>
              <w:rPr>
                <w:b/>
                <w:bCs/>
                <w:lang w:val="es-ES_tradnl"/>
              </w:rPr>
            </w:pPr>
            <w:r w:rsidRPr="00675AAD">
              <w:rPr>
                <w:b/>
                <w:bCs/>
                <w:lang w:val="es-ES_tradnl"/>
              </w:rPr>
              <w:t>Recuadro 1: labor de la UIT en materia de estadísticas</w:t>
            </w:r>
          </w:p>
          <w:p w:rsidR="00675AAD" w:rsidRPr="00675AAD" w:rsidRDefault="00675AAD" w:rsidP="00A91BB0">
            <w:pPr>
              <w:spacing w:before="120"/>
              <w:rPr>
                <w:lang w:val="es-ES_tradnl"/>
              </w:rPr>
            </w:pPr>
            <w:r w:rsidRPr="00675AAD">
              <w:rPr>
                <w:lang w:val="es-ES_tradnl"/>
              </w:rPr>
              <w:t xml:space="preserve">Los datos que se presentan en este informe se basan principalmente en la Base de datos de la UIT de indicadores mundiales de telecomunicaciones/TIC, que incluye más de 100 indicadores estadísticos de 200 economías de todo el mundo y abarca 50 años. Estos indicadores incluyen tres conjuntos de datos: i) datos sobre el acceso y la infraestructura de las telecomunicaciones/TIC; (ii) datos sobre los precios de servicios clave de TIC; y iii) datos sobre el acceso y la utilización de las TIC por parte de hogares y personas. En cuanto que organización de las Naciones Unidas, la UIT es la fuente oficial para las estadísticas mundiales en materia de TIC. Los datos se recopilan anualmente y proceden de los ministerios nacionales encargados de las TIC, autoridades reguladoras de las telecomunicaciones y oficinas nacionales de estadística (véase </w:t>
            </w:r>
            <w:hyperlink r:id="rId22" w:history="1">
              <w:r w:rsidRPr="00675AAD">
                <w:rPr>
                  <w:rStyle w:val="Hyperlink"/>
                  <w:lang w:val="es-ES_tradnl"/>
                </w:rPr>
                <w:t>http://www.itu.int/ITU-D/ict/datacollection/</w:t>
              </w:r>
            </w:hyperlink>
            <w:r>
              <w:rPr>
                <w:lang w:val="es-ES_tradnl"/>
              </w:rPr>
              <w:t>).</w:t>
            </w:r>
          </w:p>
          <w:p w:rsidR="00675AAD" w:rsidRPr="00675AAD" w:rsidRDefault="00675AAD" w:rsidP="00675AAD">
            <w:pPr>
              <w:spacing w:before="120"/>
              <w:rPr>
                <w:lang w:val="es-ES_tradnl"/>
              </w:rPr>
            </w:pPr>
            <w:r w:rsidRPr="00675AAD">
              <w:rPr>
                <w:lang w:val="es-ES_tradnl"/>
              </w:rPr>
              <w:t>La UIT examina y define nuevos indicadores a través de sus distintos Grupos de Expertos, abiertos a todos los miembros de la UIT y a expertos del ámbito de las estadísticas en materia de TIC. El Grupo de Expertos sobre indicadores de las telecomunicaciones/TIC (EGTI) y el Grupo de Expertos sobre indicadores de las TIC en el hogar (EGH) trabajan a través de foros de debate en línea y presentan sus informes al Simposio Mundial sobre Indicadores de Telecomunicaciones (SMIT), el principal foro mundial de debate de las cuestiones relacionadas con la medición de las TIC. El Simposio se celebra cada año y se dirige a encargados de elaborar las estadísticas sobre las TIC de los ministerios pertinentes, organismos reguladores, oficinas nacionales de estadística, operadores de telecomunicaciones y expertos en el ámbito de las mediciones de la sociedad de la información. El SMIT 2013 se celebrará en México DF, del 4 al 6 de diciembre de 2013</w:t>
            </w:r>
            <w:r>
              <w:rPr>
                <w:lang w:val="es-ES_tradnl"/>
              </w:rPr>
              <w:t>.</w:t>
            </w:r>
          </w:p>
          <w:p w:rsidR="00675AAD" w:rsidRPr="00675AAD" w:rsidRDefault="00675AAD" w:rsidP="00675AAD">
            <w:pPr>
              <w:spacing w:before="120" w:after="120"/>
              <w:rPr>
                <w:b/>
                <w:bCs/>
                <w:lang w:val="es-ES_tradnl"/>
              </w:rPr>
            </w:pPr>
            <w:r w:rsidRPr="00675AAD">
              <w:rPr>
                <w:lang w:val="es-ES_tradnl"/>
              </w:rPr>
              <w:t xml:space="preserve">Si desea más información y unirse a unos de los Grupos de Expertos, véase: </w:t>
            </w:r>
            <w:hyperlink r:id="rId23" w:history="1">
              <w:r w:rsidRPr="00675AAD">
                <w:rPr>
                  <w:rStyle w:val="Hyperlink"/>
                  <w:lang w:val="es-ES_tradnl"/>
                </w:rPr>
                <w:t>http://www.itu.int/en/ITU-D/Statistics/Pages/default.aspx</w:t>
              </w:r>
            </w:hyperlink>
            <w:r w:rsidRPr="00675AAD">
              <w:rPr>
                <w:lang w:val="es-ES_tradnl"/>
              </w:rPr>
              <w:t>.</w:t>
            </w:r>
          </w:p>
        </w:tc>
      </w:tr>
    </w:tbl>
    <w:p w:rsidR="0090238F" w:rsidRPr="008642EF" w:rsidRDefault="009F7AF9" w:rsidP="00675AAD">
      <w:pPr>
        <w:spacing w:before="240" w:after="0" w:line="240" w:lineRule="auto"/>
        <w:rPr>
          <w:lang w:val="es-ES_tradnl"/>
        </w:rPr>
      </w:pPr>
      <w:r w:rsidRPr="008642EF">
        <w:rPr>
          <w:lang w:val="es-ES_tradnl"/>
        </w:rPr>
        <w:t xml:space="preserve">La </w:t>
      </w:r>
      <w:r w:rsidR="00B4194C" w:rsidRPr="008642EF">
        <w:rPr>
          <w:lang w:val="es-ES_tradnl"/>
        </w:rPr>
        <w:t xml:space="preserve">Región </w:t>
      </w:r>
      <w:r w:rsidRPr="008642EF">
        <w:rPr>
          <w:lang w:val="es-ES_tradnl"/>
        </w:rPr>
        <w:t xml:space="preserve">de las Américas ha </w:t>
      </w:r>
      <w:r w:rsidR="00022704" w:rsidRPr="008642EF">
        <w:rPr>
          <w:lang w:val="es-ES_tradnl"/>
        </w:rPr>
        <w:t>asistido a</w:t>
      </w:r>
      <w:r w:rsidRPr="008642EF">
        <w:rPr>
          <w:lang w:val="es-ES_tradnl"/>
        </w:rPr>
        <w:t xml:space="preserve"> un aumento continuo en términos de penetración de las TIC entre </w:t>
      </w:r>
      <w:r w:rsidR="00E56628" w:rsidRPr="008642EF">
        <w:rPr>
          <w:lang w:val="es-ES_tradnl"/>
        </w:rPr>
        <w:t xml:space="preserve">2008 </w:t>
      </w:r>
      <w:r w:rsidRPr="008642EF">
        <w:rPr>
          <w:lang w:val="es-ES_tradnl"/>
        </w:rPr>
        <w:t xml:space="preserve">y </w:t>
      </w:r>
      <w:r w:rsidR="00E56628" w:rsidRPr="008642EF">
        <w:rPr>
          <w:lang w:val="es-ES_tradnl"/>
        </w:rPr>
        <w:t xml:space="preserve">2013, </w:t>
      </w:r>
      <w:r w:rsidRPr="008642EF">
        <w:rPr>
          <w:lang w:val="es-ES_tradnl"/>
        </w:rPr>
        <w:t>pese a que la tasa de crecimiento regional para ese per</w:t>
      </w:r>
      <w:r w:rsidR="00B4194C">
        <w:rPr>
          <w:lang w:val="es-ES_tradnl"/>
        </w:rPr>
        <w:t>i</w:t>
      </w:r>
      <w:r w:rsidRPr="008642EF">
        <w:rPr>
          <w:lang w:val="es-ES_tradnl"/>
        </w:rPr>
        <w:t xml:space="preserve">odo </w:t>
      </w:r>
      <w:r w:rsidR="00330667" w:rsidRPr="008642EF">
        <w:rPr>
          <w:lang w:val="es-ES_tradnl"/>
        </w:rPr>
        <w:t xml:space="preserve">en lo </w:t>
      </w:r>
      <w:r w:rsidR="00022704" w:rsidRPr="008642EF">
        <w:rPr>
          <w:lang w:val="es-ES_tradnl"/>
        </w:rPr>
        <w:t xml:space="preserve">que respecta </w:t>
      </w:r>
      <w:r w:rsidR="00330667" w:rsidRPr="008642EF">
        <w:rPr>
          <w:lang w:val="es-ES_tradnl"/>
        </w:rPr>
        <w:t xml:space="preserve">a </w:t>
      </w:r>
      <w:r w:rsidRPr="008642EF">
        <w:rPr>
          <w:lang w:val="es-ES_tradnl"/>
        </w:rPr>
        <w:t xml:space="preserve">servicios de TIC claves </w:t>
      </w:r>
      <w:r w:rsidR="00330667" w:rsidRPr="008642EF">
        <w:rPr>
          <w:lang w:val="es-ES_tradnl"/>
        </w:rPr>
        <w:t xml:space="preserve">se sitúa por detrás </w:t>
      </w:r>
      <w:r w:rsidRPr="008642EF">
        <w:rPr>
          <w:lang w:val="es-ES_tradnl"/>
        </w:rPr>
        <w:t xml:space="preserve">de la media mundial, hecho que </w:t>
      </w:r>
      <w:r w:rsidR="00FF1363" w:rsidRPr="008642EF">
        <w:rPr>
          <w:lang w:val="es-ES_tradnl"/>
        </w:rPr>
        <w:t xml:space="preserve">puede explicarse </w:t>
      </w:r>
      <w:r w:rsidR="008642EF" w:rsidRPr="008642EF">
        <w:rPr>
          <w:lang w:val="es-ES_tradnl"/>
        </w:rPr>
        <w:t>por qué</w:t>
      </w:r>
      <w:r w:rsidRPr="008642EF">
        <w:rPr>
          <w:lang w:val="es-ES_tradnl"/>
        </w:rPr>
        <w:t xml:space="preserve">, en 2008, la tasa de penetración de los principales servicios de TIC </w:t>
      </w:r>
      <w:r w:rsidR="00EC39AB" w:rsidRPr="008642EF">
        <w:rPr>
          <w:lang w:val="es-ES_tradnl"/>
        </w:rPr>
        <w:t xml:space="preserve">estaba considerablemente por encima de la media mundial. El mayor crecimiento se produjo en los servicios de banda ancha móvil, en el que la tasa anual de crecimiento combinada </w:t>
      </w:r>
      <w:r w:rsidR="00FF1363" w:rsidRPr="008642EF">
        <w:rPr>
          <w:lang w:val="es-ES_tradnl"/>
        </w:rPr>
        <w:t xml:space="preserve">entre 2010 y 2013 </w:t>
      </w:r>
      <w:r w:rsidR="00EC39AB" w:rsidRPr="008642EF">
        <w:rPr>
          <w:lang w:val="es-ES_tradnl"/>
        </w:rPr>
        <w:t>fue del 30%</w:t>
      </w:r>
      <w:r w:rsidR="002D6E7C" w:rsidRPr="008642EF">
        <w:rPr>
          <w:lang w:val="es-ES_tradnl"/>
        </w:rPr>
        <w:t>.</w:t>
      </w:r>
      <w:r w:rsidR="00615233" w:rsidRPr="008642EF">
        <w:rPr>
          <w:lang w:val="es-ES_tradnl"/>
        </w:rPr>
        <w:t xml:space="preserve"> </w:t>
      </w:r>
      <w:r w:rsidR="00BA68D3" w:rsidRPr="008642EF">
        <w:rPr>
          <w:lang w:val="es-ES_tradnl"/>
        </w:rPr>
        <w:t xml:space="preserve">También aumentó de manera notable el número de hogares con acceso a Internet. Entre </w:t>
      </w:r>
      <w:r w:rsidR="00A6299F" w:rsidRPr="008642EF">
        <w:rPr>
          <w:lang w:val="es-ES_tradnl"/>
        </w:rPr>
        <w:t xml:space="preserve">2010 </w:t>
      </w:r>
      <w:r w:rsidR="00BA68D3" w:rsidRPr="008642EF">
        <w:rPr>
          <w:lang w:val="es-ES_tradnl"/>
        </w:rPr>
        <w:t xml:space="preserve">y 2012, la tasa anual de crecimiento alcanzó las dos cifras, </w:t>
      </w:r>
      <w:r w:rsidR="00022704" w:rsidRPr="008642EF">
        <w:rPr>
          <w:lang w:val="es-ES_tradnl"/>
        </w:rPr>
        <w:t>pese a que</w:t>
      </w:r>
      <w:r w:rsidR="00BA68D3" w:rsidRPr="008642EF">
        <w:rPr>
          <w:lang w:val="es-ES_tradnl"/>
        </w:rPr>
        <w:t>, de acuerdo con las estimaciones de la UIT</w:t>
      </w:r>
      <w:r w:rsidR="00022704" w:rsidRPr="008642EF">
        <w:rPr>
          <w:lang w:val="es-ES_tradnl"/>
        </w:rPr>
        <w:t>, este crecimiento se está ralentizando en 2013</w:t>
      </w:r>
      <w:r w:rsidR="00BA68D3" w:rsidRPr="008642EF">
        <w:rPr>
          <w:lang w:val="es-ES_tradnl"/>
        </w:rPr>
        <w:t xml:space="preserve">. En consonancia con la tendencia mundial, el número de abonos a telefonía móvil celular </w:t>
      </w:r>
      <w:r w:rsidR="00FF1363" w:rsidRPr="008642EF">
        <w:rPr>
          <w:lang w:val="es-ES_tradnl"/>
        </w:rPr>
        <w:t xml:space="preserve">se </w:t>
      </w:r>
      <w:r w:rsidR="00BA68D3" w:rsidRPr="008642EF">
        <w:rPr>
          <w:lang w:val="es-ES_tradnl"/>
        </w:rPr>
        <w:t xml:space="preserve">ha ralentizado desde 2011, ya que en la mayoría de países se han alcanzado los niveles de saturación (Figura </w:t>
      </w:r>
      <w:r w:rsidR="00C665AA" w:rsidRPr="008642EF">
        <w:rPr>
          <w:lang w:val="es-ES_tradnl"/>
        </w:rPr>
        <w:t>2.2)</w:t>
      </w:r>
      <w:r w:rsidR="00A6299F" w:rsidRPr="008642EF">
        <w:rPr>
          <w:lang w:val="es-ES_tradnl"/>
        </w:rPr>
        <w:t>.</w:t>
      </w:r>
    </w:p>
    <w:p w:rsidR="00E2367D" w:rsidRPr="00675AAD" w:rsidRDefault="00BA68D3" w:rsidP="0053288C">
      <w:pPr>
        <w:keepNext/>
        <w:spacing w:before="240" w:after="120" w:line="240" w:lineRule="auto"/>
        <w:rPr>
          <w:b/>
          <w:bCs/>
          <w:lang w:val="es-ES_tradnl"/>
        </w:rPr>
      </w:pPr>
      <w:r w:rsidRPr="00675AAD">
        <w:rPr>
          <w:b/>
          <w:bCs/>
          <w:lang w:val="es-ES_tradnl"/>
        </w:rPr>
        <w:lastRenderedPageBreak/>
        <w:t>Figura</w:t>
      </w:r>
      <w:r w:rsidR="00B7701A" w:rsidRPr="00675AAD">
        <w:rPr>
          <w:b/>
          <w:bCs/>
          <w:lang w:val="es-ES_tradnl"/>
        </w:rPr>
        <w:t xml:space="preserve"> </w:t>
      </w:r>
      <w:r w:rsidR="00DA2590" w:rsidRPr="00675AAD">
        <w:rPr>
          <w:b/>
          <w:bCs/>
          <w:lang w:val="es-ES_tradnl"/>
        </w:rPr>
        <w:t>2</w:t>
      </w:r>
      <w:r w:rsidR="00153D99" w:rsidRPr="00675AAD">
        <w:rPr>
          <w:b/>
          <w:bCs/>
          <w:lang w:val="es-ES_tradnl"/>
        </w:rPr>
        <w:t xml:space="preserve">.2: </w:t>
      </w:r>
      <w:r w:rsidRPr="00675AAD">
        <w:rPr>
          <w:b/>
          <w:bCs/>
          <w:lang w:val="es-ES_tradnl"/>
        </w:rPr>
        <w:t xml:space="preserve">Avances en materia de TIC en </w:t>
      </w:r>
      <w:r w:rsidR="00FF1363" w:rsidRPr="00675AAD">
        <w:rPr>
          <w:b/>
          <w:bCs/>
          <w:lang w:val="es-ES_tradnl"/>
        </w:rPr>
        <w:t xml:space="preserve">la </w:t>
      </w:r>
      <w:r w:rsidR="00273F6A" w:rsidRPr="00675AAD">
        <w:rPr>
          <w:b/>
          <w:bCs/>
          <w:lang w:val="es-ES_tradnl"/>
        </w:rPr>
        <w:t xml:space="preserve">Región </w:t>
      </w:r>
      <w:r w:rsidR="00FF1363" w:rsidRPr="00675AAD">
        <w:rPr>
          <w:b/>
          <w:bCs/>
          <w:lang w:val="es-ES_tradnl"/>
        </w:rPr>
        <w:t xml:space="preserve">de </w:t>
      </w:r>
      <w:r w:rsidRPr="00675AAD">
        <w:rPr>
          <w:b/>
          <w:bCs/>
          <w:lang w:val="es-ES_tradnl"/>
        </w:rPr>
        <w:t>las Américas, variación anual</w:t>
      </w:r>
      <w:r w:rsidR="005D43B1" w:rsidRPr="00675AAD">
        <w:rPr>
          <w:b/>
          <w:bCs/>
          <w:lang w:val="es-ES_tradnl"/>
        </w:rPr>
        <w:t>, 2008-2013</w:t>
      </w:r>
      <w:r w:rsidR="00CA42D8" w:rsidRPr="00675AAD">
        <w:rPr>
          <w:b/>
          <w:bCs/>
          <w:lang w:val="es-ES_tradnl"/>
        </w:rPr>
        <w:t>*</w:t>
      </w:r>
    </w:p>
    <w:p w:rsidR="00E2367D" w:rsidRPr="008642EF" w:rsidRDefault="0068074A" w:rsidP="00354D62">
      <w:pPr>
        <w:keepNext/>
        <w:keepLines/>
        <w:spacing w:before="120" w:line="240" w:lineRule="auto"/>
        <w:jc w:val="center"/>
        <w:rPr>
          <w:highlight w:val="yellow"/>
          <w:lang w:val="es-ES_tradnl"/>
        </w:rPr>
      </w:pPr>
      <w:r w:rsidRPr="008642EF">
        <w:rPr>
          <w:noProof/>
          <w:lang w:eastAsia="en-US"/>
        </w:rPr>
        <w:drawing>
          <wp:inline distT="0" distB="0" distL="0" distR="0" wp14:anchorId="4FE4732A" wp14:editId="0A22ED4D">
            <wp:extent cx="4168800" cy="2512800"/>
            <wp:effectExtent l="19050" t="19050" r="2222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8800" cy="2512800"/>
                    </a:xfrm>
                    <a:prstGeom prst="rect">
                      <a:avLst/>
                    </a:prstGeom>
                    <a:noFill/>
                    <a:ln w="3175">
                      <a:solidFill>
                        <a:schemeClr val="tx1"/>
                      </a:solidFill>
                    </a:ln>
                  </pic:spPr>
                </pic:pic>
              </a:graphicData>
            </a:graphic>
          </wp:inline>
        </w:drawing>
      </w:r>
    </w:p>
    <w:p w:rsidR="00776E26" w:rsidRPr="00706543" w:rsidRDefault="00BA68D3" w:rsidP="00706543">
      <w:pPr>
        <w:spacing w:after="0" w:line="240" w:lineRule="auto"/>
        <w:rPr>
          <w:rFonts w:cs="Calibri"/>
          <w:sz w:val="18"/>
          <w:szCs w:val="18"/>
          <w:lang w:val="es-ES_tradnl"/>
        </w:rPr>
      </w:pPr>
      <w:r w:rsidRPr="00706543">
        <w:rPr>
          <w:rFonts w:cs="Calibri"/>
          <w:sz w:val="18"/>
          <w:szCs w:val="18"/>
          <w:lang w:val="es-ES_tradnl"/>
        </w:rPr>
        <w:t>Origen: Base de datos de la UIT de indicadores mundiales de telecomunicaciones/TIC</w:t>
      </w:r>
      <w:r w:rsidR="00B7701A" w:rsidRPr="00706543">
        <w:rPr>
          <w:rFonts w:cs="Calibri"/>
          <w:sz w:val="18"/>
          <w:szCs w:val="18"/>
          <w:lang w:val="es-ES_tradnl"/>
        </w:rPr>
        <w:t>.</w:t>
      </w:r>
    </w:p>
    <w:p w:rsidR="00553F75" w:rsidRPr="00706543" w:rsidRDefault="00153D99" w:rsidP="00A66137">
      <w:pPr>
        <w:spacing w:after="0" w:line="240" w:lineRule="auto"/>
        <w:rPr>
          <w:rFonts w:cs="Calibri"/>
          <w:sz w:val="18"/>
          <w:szCs w:val="18"/>
          <w:lang w:val="es-ES_tradnl"/>
        </w:rPr>
      </w:pPr>
      <w:r w:rsidRPr="00706543">
        <w:rPr>
          <w:rFonts w:cs="Calibri"/>
          <w:sz w:val="18"/>
          <w:szCs w:val="18"/>
          <w:lang w:val="es-ES_tradnl"/>
        </w:rPr>
        <w:t>Not</w:t>
      </w:r>
      <w:r w:rsidR="00BA68D3" w:rsidRPr="00706543">
        <w:rPr>
          <w:rFonts w:cs="Calibri"/>
          <w:sz w:val="18"/>
          <w:szCs w:val="18"/>
          <w:lang w:val="es-ES_tradnl"/>
        </w:rPr>
        <w:t>a</w:t>
      </w:r>
      <w:r w:rsidR="00354D62">
        <w:rPr>
          <w:rFonts w:cs="Calibri"/>
          <w:sz w:val="18"/>
          <w:szCs w:val="18"/>
          <w:lang w:val="es-ES_tradnl"/>
        </w:rPr>
        <w:t>: *</w:t>
      </w:r>
      <w:r w:rsidR="00BA68D3" w:rsidRPr="00706543">
        <w:rPr>
          <w:rFonts w:cs="Calibri"/>
          <w:sz w:val="18"/>
          <w:szCs w:val="18"/>
          <w:lang w:val="es-ES_tradnl"/>
        </w:rPr>
        <w:t>Estimaciones</w:t>
      </w:r>
      <w:r w:rsidRPr="00706543">
        <w:rPr>
          <w:rFonts w:cs="Calibri"/>
          <w:sz w:val="18"/>
          <w:szCs w:val="18"/>
          <w:lang w:val="es-ES_tradnl"/>
        </w:rPr>
        <w:t>.</w:t>
      </w:r>
    </w:p>
    <w:p w:rsidR="00310DB8" w:rsidRPr="008642EF" w:rsidRDefault="00BA68D3" w:rsidP="00354D62">
      <w:pPr>
        <w:spacing w:before="120" w:after="0" w:line="240" w:lineRule="auto"/>
        <w:jc w:val="both"/>
        <w:rPr>
          <w:sz w:val="18"/>
          <w:szCs w:val="18"/>
          <w:lang w:val="es-ES_tradnl"/>
        </w:rPr>
      </w:pPr>
      <w:r w:rsidRPr="008642EF">
        <w:rPr>
          <w:sz w:val="18"/>
          <w:szCs w:val="18"/>
          <w:lang w:val="es-ES_tradnl"/>
        </w:rPr>
        <w:t>Leyenda</w:t>
      </w:r>
      <w:r w:rsidR="00354D62">
        <w:rPr>
          <w:sz w:val="18"/>
          <w:szCs w:val="18"/>
          <w:lang w:val="es-ES_tradnl"/>
        </w:rPr>
        <w:t>s</w:t>
      </w:r>
      <w:r w:rsidRPr="008642EF">
        <w:rPr>
          <w:sz w:val="18"/>
          <w:szCs w:val="18"/>
          <w:lang w:val="es-ES_tradnl"/>
        </w:rPr>
        <w:t xml:space="preserve"> de la </w:t>
      </w:r>
      <w:r w:rsidR="00A91BB0" w:rsidRPr="008642EF">
        <w:rPr>
          <w:sz w:val="18"/>
          <w:szCs w:val="18"/>
          <w:lang w:val="es-ES_tradnl"/>
        </w:rPr>
        <w:t>F</w:t>
      </w:r>
      <w:r w:rsidRPr="008642EF">
        <w:rPr>
          <w:sz w:val="18"/>
          <w:szCs w:val="18"/>
          <w:lang w:val="es-ES_tradnl"/>
        </w:rPr>
        <w:t>igura:</w:t>
      </w:r>
    </w:p>
    <w:p w:rsidR="00BA68D3" w:rsidRPr="008642EF" w:rsidRDefault="00BA68D3" w:rsidP="00B7515B">
      <w:pPr>
        <w:spacing w:after="0" w:line="240" w:lineRule="auto"/>
        <w:jc w:val="both"/>
        <w:rPr>
          <w:sz w:val="18"/>
          <w:szCs w:val="18"/>
          <w:lang w:val="es-ES_tradnl"/>
        </w:rPr>
      </w:pPr>
      <w:r w:rsidRPr="008642EF">
        <w:rPr>
          <w:sz w:val="18"/>
          <w:szCs w:val="18"/>
          <w:lang w:val="es-ES_tradnl"/>
        </w:rPr>
        <w:t>1 - Abonos activos a banda ancha móvil</w:t>
      </w:r>
    </w:p>
    <w:p w:rsidR="00BA68D3" w:rsidRPr="008642EF" w:rsidRDefault="00BA68D3" w:rsidP="00B7515B">
      <w:pPr>
        <w:spacing w:after="0" w:line="240" w:lineRule="auto"/>
        <w:jc w:val="both"/>
        <w:rPr>
          <w:sz w:val="18"/>
          <w:szCs w:val="18"/>
          <w:lang w:val="es-ES_tradnl"/>
        </w:rPr>
      </w:pPr>
      <w:r w:rsidRPr="008642EF">
        <w:rPr>
          <w:sz w:val="18"/>
          <w:szCs w:val="18"/>
          <w:lang w:val="es-ES_tradnl"/>
        </w:rPr>
        <w:t>2 - Hogares con acceso a Internet</w:t>
      </w:r>
    </w:p>
    <w:p w:rsidR="00BA68D3" w:rsidRPr="008642EF" w:rsidRDefault="00BA68D3" w:rsidP="00B7515B">
      <w:pPr>
        <w:spacing w:after="0" w:line="240" w:lineRule="auto"/>
        <w:jc w:val="both"/>
        <w:rPr>
          <w:sz w:val="18"/>
          <w:szCs w:val="18"/>
          <w:lang w:val="es-ES_tradnl"/>
        </w:rPr>
      </w:pPr>
      <w:r w:rsidRPr="008642EF">
        <w:rPr>
          <w:sz w:val="18"/>
          <w:szCs w:val="18"/>
          <w:lang w:val="es-ES_tradnl"/>
        </w:rPr>
        <w:t xml:space="preserve">3 - Porcentaje de </w:t>
      </w:r>
      <w:r w:rsidR="00FF1363" w:rsidRPr="008642EF">
        <w:rPr>
          <w:sz w:val="18"/>
          <w:szCs w:val="18"/>
          <w:lang w:val="es-ES_tradnl"/>
        </w:rPr>
        <w:t xml:space="preserve">usuarios de </w:t>
      </w:r>
      <w:r w:rsidRPr="008642EF">
        <w:rPr>
          <w:sz w:val="18"/>
          <w:szCs w:val="18"/>
          <w:lang w:val="es-ES_tradnl"/>
        </w:rPr>
        <w:t>Internet</w:t>
      </w:r>
    </w:p>
    <w:p w:rsidR="00BA68D3" w:rsidRPr="008642EF" w:rsidRDefault="00BA68D3" w:rsidP="00B7515B">
      <w:pPr>
        <w:spacing w:after="0" w:line="240" w:lineRule="auto"/>
        <w:jc w:val="both"/>
        <w:rPr>
          <w:sz w:val="18"/>
          <w:szCs w:val="18"/>
          <w:lang w:val="es-ES_tradnl"/>
        </w:rPr>
      </w:pPr>
      <w:r w:rsidRPr="008642EF">
        <w:rPr>
          <w:sz w:val="18"/>
          <w:szCs w:val="18"/>
          <w:lang w:val="es-ES_tradnl"/>
        </w:rPr>
        <w:t>4 - Abonos a banda ancha fija (cableada)</w:t>
      </w:r>
    </w:p>
    <w:p w:rsidR="00BA68D3" w:rsidRPr="008642EF" w:rsidRDefault="00BA68D3" w:rsidP="00B7515B">
      <w:pPr>
        <w:spacing w:after="0" w:line="240" w:lineRule="auto"/>
        <w:jc w:val="both"/>
        <w:rPr>
          <w:sz w:val="18"/>
          <w:szCs w:val="18"/>
          <w:lang w:val="es-ES_tradnl"/>
        </w:rPr>
      </w:pPr>
      <w:r w:rsidRPr="008642EF">
        <w:rPr>
          <w:sz w:val="18"/>
          <w:szCs w:val="18"/>
          <w:lang w:val="es-ES_tradnl"/>
        </w:rPr>
        <w:t>5 - Abonos a telefonía móvil celular</w:t>
      </w:r>
    </w:p>
    <w:p w:rsidR="00BA68D3" w:rsidRPr="008642EF" w:rsidRDefault="009A7CCA" w:rsidP="00B7515B">
      <w:pPr>
        <w:spacing w:after="0" w:line="240" w:lineRule="auto"/>
        <w:jc w:val="both"/>
        <w:rPr>
          <w:sz w:val="18"/>
          <w:szCs w:val="18"/>
          <w:lang w:val="es-ES_tradnl"/>
        </w:rPr>
      </w:pPr>
      <w:r>
        <w:rPr>
          <w:sz w:val="18"/>
          <w:szCs w:val="18"/>
          <w:lang w:val="es-ES_tradnl"/>
        </w:rPr>
        <w:t>6 - Abonos a telefonía fija</w:t>
      </w:r>
    </w:p>
    <w:p w:rsidR="00FF036B" w:rsidRPr="008642EF" w:rsidRDefault="00BA68D3" w:rsidP="009A7CCA">
      <w:pPr>
        <w:spacing w:before="120" w:after="0" w:line="240" w:lineRule="auto"/>
        <w:rPr>
          <w:lang w:val="es-ES_tradnl"/>
        </w:rPr>
      </w:pPr>
      <w:r w:rsidRPr="008642EF">
        <w:rPr>
          <w:lang w:val="es-ES_tradnl"/>
        </w:rPr>
        <w:t xml:space="preserve">Se estima que, a finales de 2013, </w:t>
      </w:r>
      <w:r w:rsidR="007955F4" w:rsidRPr="008642EF">
        <w:rPr>
          <w:lang w:val="es-ES_tradnl"/>
        </w:rPr>
        <w:t xml:space="preserve">la penetración de la telefonía móvil celular en las Américas será </w:t>
      </w:r>
      <w:r w:rsidRPr="008642EF">
        <w:rPr>
          <w:lang w:val="es-ES_tradnl"/>
        </w:rPr>
        <w:t xml:space="preserve">del 109,4% y, por lo tanto, </w:t>
      </w:r>
      <w:r w:rsidR="00494C80" w:rsidRPr="008642EF">
        <w:rPr>
          <w:lang w:val="es-ES_tradnl"/>
        </w:rPr>
        <w:t xml:space="preserve">superará </w:t>
      </w:r>
      <w:r w:rsidRPr="008642EF">
        <w:rPr>
          <w:lang w:val="es-ES_tradnl"/>
        </w:rPr>
        <w:t xml:space="preserve">la media mundial </w:t>
      </w:r>
      <w:r w:rsidR="005170B2" w:rsidRPr="008642EF">
        <w:rPr>
          <w:lang w:val="es-ES_tradnl"/>
        </w:rPr>
        <w:t>(96</w:t>
      </w:r>
      <w:r w:rsidRPr="008642EF">
        <w:rPr>
          <w:lang w:val="es-ES_tradnl"/>
        </w:rPr>
        <w:t>,</w:t>
      </w:r>
      <w:r w:rsidR="005170B2" w:rsidRPr="008642EF">
        <w:rPr>
          <w:lang w:val="es-ES_tradnl"/>
        </w:rPr>
        <w:t>2</w:t>
      </w:r>
      <w:r w:rsidRPr="008642EF">
        <w:rPr>
          <w:lang w:val="es-ES_tradnl"/>
        </w:rPr>
        <w:t>%</w:t>
      </w:r>
      <w:r w:rsidR="005170B2" w:rsidRPr="008642EF">
        <w:rPr>
          <w:lang w:val="es-ES_tradnl"/>
        </w:rPr>
        <w:t xml:space="preserve">) </w:t>
      </w:r>
      <w:r w:rsidRPr="008642EF">
        <w:rPr>
          <w:lang w:val="es-ES_tradnl"/>
        </w:rPr>
        <w:t xml:space="preserve">y la de los países en desarrollo </w:t>
      </w:r>
      <w:r w:rsidR="005170B2" w:rsidRPr="008642EF">
        <w:rPr>
          <w:lang w:val="es-ES_tradnl"/>
        </w:rPr>
        <w:t>(89</w:t>
      </w:r>
      <w:r w:rsidRPr="008642EF">
        <w:rPr>
          <w:lang w:val="es-ES_tradnl"/>
        </w:rPr>
        <w:t>,</w:t>
      </w:r>
      <w:r w:rsidR="005170B2" w:rsidRPr="008642EF">
        <w:rPr>
          <w:lang w:val="es-ES_tradnl"/>
        </w:rPr>
        <w:t>4</w:t>
      </w:r>
      <w:r w:rsidRPr="008642EF">
        <w:rPr>
          <w:lang w:val="es-ES_tradnl"/>
        </w:rPr>
        <w:t>%</w:t>
      </w:r>
      <w:r w:rsidR="005170B2" w:rsidRPr="008642EF">
        <w:rPr>
          <w:lang w:val="es-ES_tradnl"/>
        </w:rPr>
        <w:t xml:space="preserve">). </w:t>
      </w:r>
      <w:r w:rsidRPr="008642EF">
        <w:rPr>
          <w:lang w:val="es-ES_tradnl"/>
        </w:rPr>
        <w:t xml:space="preserve">A finales de </w:t>
      </w:r>
      <w:r w:rsidR="008564A4" w:rsidRPr="008642EF">
        <w:rPr>
          <w:lang w:val="es-ES_tradnl"/>
        </w:rPr>
        <w:t xml:space="preserve">2012, </w:t>
      </w:r>
      <w:r w:rsidRPr="008642EF">
        <w:rPr>
          <w:lang w:val="es-ES_tradnl"/>
        </w:rPr>
        <w:t xml:space="preserve">21 de los 35 países de la </w:t>
      </w:r>
      <w:r w:rsidR="009A7CCA" w:rsidRPr="008642EF">
        <w:rPr>
          <w:lang w:val="es-ES_tradnl"/>
        </w:rPr>
        <w:t xml:space="preserve">Región </w:t>
      </w:r>
      <w:r w:rsidRPr="008642EF">
        <w:rPr>
          <w:lang w:val="es-ES_tradnl"/>
        </w:rPr>
        <w:t xml:space="preserve">habían alcanzado un nivel de penetración del 100% o superior, entre ellos economías como la argentina </w:t>
      </w:r>
      <w:r w:rsidR="005170B2" w:rsidRPr="008642EF">
        <w:rPr>
          <w:lang w:val="es-ES_tradnl"/>
        </w:rPr>
        <w:t>(142</w:t>
      </w:r>
      <w:r w:rsidRPr="008642EF">
        <w:rPr>
          <w:lang w:val="es-ES_tradnl"/>
        </w:rPr>
        <w:t>,</w:t>
      </w:r>
      <w:r w:rsidR="005170B2" w:rsidRPr="008642EF">
        <w:rPr>
          <w:lang w:val="es-ES_tradnl"/>
        </w:rPr>
        <w:t>5</w:t>
      </w:r>
      <w:r w:rsidRPr="008642EF">
        <w:rPr>
          <w:lang w:val="es-ES_tradnl"/>
        </w:rPr>
        <w:t>%</w:t>
      </w:r>
      <w:r w:rsidR="005170B2" w:rsidRPr="008642EF">
        <w:rPr>
          <w:lang w:val="es-ES_tradnl"/>
        </w:rPr>
        <w:t xml:space="preserve">), </w:t>
      </w:r>
      <w:r w:rsidRPr="008642EF">
        <w:rPr>
          <w:lang w:val="es-ES_tradnl"/>
        </w:rPr>
        <w:t xml:space="preserve">la brasileña </w:t>
      </w:r>
      <w:r w:rsidR="005170B2" w:rsidRPr="008642EF">
        <w:rPr>
          <w:lang w:val="es-ES_tradnl"/>
        </w:rPr>
        <w:t>(125</w:t>
      </w:r>
      <w:r w:rsidRPr="008642EF">
        <w:rPr>
          <w:lang w:val="es-ES_tradnl"/>
        </w:rPr>
        <w:t>,</w:t>
      </w:r>
      <w:r w:rsidR="005170B2" w:rsidRPr="008642EF">
        <w:rPr>
          <w:lang w:val="es-ES_tradnl"/>
        </w:rPr>
        <w:t>2</w:t>
      </w:r>
      <w:r w:rsidRPr="008642EF">
        <w:rPr>
          <w:lang w:val="es-ES_tradnl"/>
        </w:rPr>
        <w:t>%</w:t>
      </w:r>
      <w:r w:rsidR="005170B2" w:rsidRPr="008642EF">
        <w:rPr>
          <w:lang w:val="es-ES_tradnl"/>
        </w:rPr>
        <w:t>)</w:t>
      </w:r>
      <w:r w:rsidRPr="008642EF">
        <w:rPr>
          <w:lang w:val="es-ES_tradnl"/>
        </w:rPr>
        <w:t xml:space="preserve"> y la colombiana </w:t>
      </w:r>
      <w:r w:rsidR="005170B2" w:rsidRPr="008642EF">
        <w:rPr>
          <w:lang w:val="es-ES_tradnl"/>
        </w:rPr>
        <w:t>(103</w:t>
      </w:r>
      <w:r w:rsidRPr="008642EF">
        <w:rPr>
          <w:lang w:val="es-ES_tradnl"/>
        </w:rPr>
        <w:t>,</w:t>
      </w:r>
      <w:r w:rsidR="005170B2" w:rsidRPr="008642EF">
        <w:rPr>
          <w:lang w:val="es-ES_tradnl"/>
        </w:rPr>
        <w:t>2</w:t>
      </w:r>
      <w:r w:rsidRPr="008642EF">
        <w:rPr>
          <w:lang w:val="es-ES_tradnl"/>
        </w:rPr>
        <w:t>%</w:t>
      </w:r>
      <w:r w:rsidR="005170B2" w:rsidRPr="008642EF">
        <w:rPr>
          <w:lang w:val="es-ES_tradnl"/>
        </w:rPr>
        <w:t xml:space="preserve">). </w:t>
      </w:r>
      <w:r w:rsidRPr="008642EF">
        <w:rPr>
          <w:lang w:val="es-ES_tradnl"/>
        </w:rPr>
        <w:t xml:space="preserve">Por otro lado, la tasa de penetración de la telefonía móvil celular en los Estados Unidos de América y el Canadá </w:t>
      </w:r>
      <w:r w:rsidR="007955F4" w:rsidRPr="008642EF">
        <w:rPr>
          <w:lang w:val="es-ES_tradnl"/>
        </w:rPr>
        <w:t xml:space="preserve">estaba en 2012 </w:t>
      </w:r>
      <w:r w:rsidRPr="008642EF">
        <w:rPr>
          <w:lang w:val="es-ES_tradnl"/>
        </w:rPr>
        <w:t>por debajo de la media y era</w:t>
      </w:r>
      <w:r w:rsidR="00022704" w:rsidRPr="008642EF">
        <w:rPr>
          <w:lang w:val="es-ES_tradnl"/>
        </w:rPr>
        <w:t>,</w:t>
      </w:r>
      <w:r w:rsidRPr="008642EF">
        <w:rPr>
          <w:lang w:val="es-ES_tradnl"/>
        </w:rPr>
        <w:t xml:space="preserve"> respectivamente</w:t>
      </w:r>
      <w:r w:rsidR="00022704" w:rsidRPr="008642EF">
        <w:rPr>
          <w:lang w:val="es-ES_tradnl"/>
        </w:rPr>
        <w:t>,</w:t>
      </w:r>
      <w:r w:rsidRPr="008642EF">
        <w:rPr>
          <w:lang w:val="es-ES_tradnl"/>
        </w:rPr>
        <w:t xml:space="preserve"> del </w:t>
      </w:r>
      <w:r w:rsidR="00714410" w:rsidRPr="008642EF">
        <w:rPr>
          <w:lang w:val="es-ES_tradnl"/>
        </w:rPr>
        <w:t>98</w:t>
      </w:r>
      <w:r w:rsidRPr="008642EF">
        <w:rPr>
          <w:lang w:val="es-ES_tradnl"/>
        </w:rPr>
        <w:t>,</w:t>
      </w:r>
      <w:r w:rsidR="00714410" w:rsidRPr="008642EF">
        <w:rPr>
          <w:lang w:val="es-ES_tradnl"/>
        </w:rPr>
        <w:t>2</w:t>
      </w:r>
      <w:r w:rsidRPr="008642EF">
        <w:rPr>
          <w:lang w:val="es-ES_tradnl"/>
        </w:rPr>
        <w:t>%</w:t>
      </w:r>
      <w:r w:rsidR="00714410" w:rsidRPr="008642EF">
        <w:rPr>
          <w:lang w:val="es-ES_tradnl"/>
        </w:rPr>
        <w:t xml:space="preserve"> </w:t>
      </w:r>
      <w:r w:rsidRPr="008642EF">
        <w:rPr>
          <w:lang w:val="es-ES_tradnl"/>
        </w:rPr>
        <w:t>y del</w:t>
      </w:r>
      <w:r w:rsidR="009A7CCA">
        <w:rPr>
          <w:lang w:val="es-ES_tradnl"/>
        </w:rPr>
        <w:t> </w:t>
      </w:r>
      <w:r w:rsidR="00714410" w:rsidRPr="008642EF">
        <w:rPr>
          <w:lang w:val="es-ES_tradnl"/>
        </w:rPr>
        <w:t>75</w:t>
      </w:r>
      <w:r w:rsidRPr="008642EF">
        <w:rPr>
          <w:lang w:val="es-ES_tradnl"/>
        </w:rPr>
        <w:t>,</w:t>
      </w:r>
      <w:r w:rsidR="00714410" w:rsidRPr="008642EF">
        <w:rPr>
          <w:lang w:val="es-ES_tradnl"/>
        </w:rPr>
        <w:t>7</w:t>
      </w:r>
      <w:r w:rsidRPr="008642EF">
        <w:rPr>
          <w:lang w:val="es-ES_tradnl"/>
        </w:rPr>
        <w:t>%</w:t>
      </w:r>
      <w:r w:rsidR="00537AB6" w:rsidRPr="008642EF">
        <w:rPr>
          <w:lang w:val="es-ES_tradnl"/>
        </w:rPr>
        <w:t xml:space="preserve">. </w:t>
      </w:r>
      <w:r w:rsidR="007955F4" w:rsidRPr="008642EF">
        <w:rPr>
          <w:lang w:val="es-ES_tradnl"/>
        </w:rPr>
        <w:t xml:space="preserve">Esta </w:t>
      </w:r>
      <w:r w:rsidRPr="008642EF">
        <w:rPr>
          <w:lang w:val="es-ES_tradnl"/>
        </w:rPr>
        <w:t xml:space="preserve">tasa de penetración relativamente inferior en estos dos países de América del Norte hace que la media de la </w:t>
      </w:r>
      <w:r w:rsidR="009A7CCA" w:rsidRPr="008642EF">
        <w:rPr>
          <w:lang w:val="es-ES_tradnl"/>
        </w:rPr>
        <w:t xml:space="preserve">Subregión </w:t>
      </w:r>
      <w:r w:rsidRPr="008642EF">
        <w:rPr>
          <w:lang w:val="es-ES_tradnl"/>
        </w:rPr>
        <w:t xml:space="preserve">de América Latina y el Caribe </w:t>
      </w:r>
      <w:r w:rsidR="0025734B" w:rsidRPr="008642EF">
        <w:rPr>
          <w:lang w:val="es-ES_tradnl"/>
        </w:rPr>
        <w:t>(119</w:t>
      </w:r>
      <w:r w:rsidRPr="008642EF">
        <w:rPr>
          <w:lang w:val="es-ES_tradnl"/>
        </w:rPr>
        <w:t>,</w:t>
      </w:r>
      <w:r w:rsidR="0025734B" w:rsidRPr="008642EF">
        <w:rPr>
          <w:lang w:val="es-ES_tradnl"/>
        </w:rPr>
        <w:t xml:space="preserve">5%) </w:t>
      </w:r>
      <w:r w:rsidRPr="008642EF">
        <w:rPr>
          <w:lang w:val="es-ES_tradnl"/>
        </w:rPr>
        <w:t xml:space="preserve">sea sensiblemente superior a la del conjunto de la </w:t>
      </w:r>
      <w:r w:rsidR="000B03B6">
        <w:rPr>
          <w:lang w:val="es-ES_tradnl"/>
        </w:rPr>
        <w:t>Región</w:t>
      </w:r>
      <w:r w:rsidRPr="008642EF">
        <w:rPr>
          <w:lang w:val="es-ES_tradnl"/>
        </w:rPr>
        <w:t xml:space="preserve"> de las Américas</w:t>
      </w:r>
      <w:r w:rsidR="0025734B" w:rsidRPr="008642EF">
        <w:rPr>
          <w:lang w:val="es-ES_tradnl"/>
        </w:rPr>
        <w:t xml:space="preserve"> (109</w:t>
      </w:r>
      <w:r w:rsidRPr="008642EF">
        <w:rPr>
          <w:lang w:val="es-ES_tradnl"/>
        </w:rPr>
        <w:t>,</w:t>
      </w:r>
      <w:r w:rsidR="0025734B" w:rsidRPr="008642EF">
        <w:rPr>
          <w:lang w:val="es-ES_tradnl"/>
        </w:rPr>
        <w:t xml:space="preserve">4%). </w:t>
      </w:r>
      <w:r w:rsidR="007955F4" w:rsidRPr="008642EF">
        <w:rPr>
          <w:lang w:val="es-ES_tradnl"/>
        </w:rPr>
        <w:t>Cuba tiene una de las tasas de penetración más baja</w:t>
      </w:r>
      <w:r w:rsidRPr="008642EF">
        <w:rPr>
          <w:lang w:val="es-ES_tradnl"/>
        </w:rPr>
        <w:t xml:space="preserve">s de todo el mundo, con un </w:t>
      </w:r>
      <w:r w:rsidR="00EC2606" w:rsidRPr="008642EF">
        <w:rPr>
          <w:lang w:val="es-ES_tradnl"/>
        </w:rPr>
        <w:t>14</w:t>
      </w:r>
      <w:r w:rsidRPr="008642EF">
        <w:rPr>
          <w:lang w:val="es-ES_tradnl"/>
        </w:rPr>
        <w:t>,</w:t>
      </w:r>
      <w:r w:rsidR="00EC2606" w:rsidRPr="008642EF">
        <w:rPr>
          <w:lang w:val="es-ES_tradnl"/>
        </w:rPr>
        <w:t>9</w:t>
      </w:r>
      <w:r w:rsidRPr="008642EF">
        <w:rPr>
          <w:lang w:val="es-ES_tradnl"/>
        </w:rPr>
        <w:t xml:space="preserve">% en </w:t>
      </w:r>
      <w:r w:rsidR="00EC2606" w:rsidRPr="008642EF">
        <w:rPr>
          <w:lang w:val="es-ES_tradnl"/>
        </w:rPr>
        <w:t>2012</w:t>
      </w:r>
      <w:r w:rsidR="00CA2D2A" w:rsidRPr="008642EF">
        <w:rPr>
          <w:lang w:val="es-ES_tradnl"/>
        </w:rPr>
        <w:t xml:space="preserve">. </w:t>
      </w:r>
      <w:r w:rsidR="007955F4" w:rsidRPr="008642EF">
        <w:rPr>
          <w:lang w:val="es-ES_tradnl"/>
        </w:rPr>
        <w:t xml:space="preserve">También </w:t>
      </w:r>
      <w:r w:rsidR="00193B98" w:rsidRPr="008642EF">
        <w:rPr>
          <w:lang w:val="es-ES_tradnl"/>
        </w:rPr>
        <w:t xml:space="preserve">es baja la </w:t>
      </w:r>
      <w:r w:rsidR="001C4A3E" w:rsidRPr="008642EF">
        <w:rPr>
          <w:lang w:val="es-ES_tradnl"/>
        </w:rPr>
        <w:t xml:space="preserve">tasa de penetración </w:t>
      </w:r>
      <w:r w:rsidR="00193B98" w:rsidRPr="008642EF">
        <w:rPr>
          <w:lang w:val="es-ES_tradnl"/>
        </w:rPr>
        <w:t xml:space="preserve">en </w:t>
      </w:r>
      <w:r w:rsidR="001C4A3E" w:rsidRPr="008642EF">
        <w:rPr>
          <w:lang w:val="es-ES_tradnl"/>
        </w:rPr>
        <w:t>países de ingresos bajos y bajos-medios</w:t>
      </w:r>
      <w:r w:rsidR="00CA2D2A" w:rsidRPr="008642EF">
        <w:rPr>
          <w:rStyle w:val="FootnoteReference"/>
          <w:lang w:val="es-ES_tradnl"/>
        </w:rPr>
        <w:footnoteReference w:id="18"/>
      </w:r>
      <w:r w:rsidR="00CA2D2A" w:rsidRPr="008642EF">
        <w:rPr>
          <w:lang w:val="es-ES_tradnl"/>
        </w:rPr>
        <w:t xml:space="preserve"> </w:t>
      </w:r>
      <w:r w:rsidR="001C4A3E" w:rsidRPr="008642EF">
        <w:rPr>
          <w:lang w:val="es-ES_tradnl"/>
        </w:rPr>
        <w:t xml:space="preserve">como Belice </w:t>
      </w:r>
      <w:r w:rsidR="00CA2D2A" w:rsidRPr="008642EF">
        <w:rPr>
          <w:lang w:val="es-ES_tradnl"/>
        </w:rPr>
        <w:t>(50</w:t>
      </w:r>
      <w:r w:rsidR="001C4A3E" w:rsidRPr="008642EF">
        <w:rPr>
          <w:lang w:val="es-ES_tradnl"/>
        </w:rPr>
        <w:t>,</w:t>
      </w:r>
      <w:r w:rsidR="00CA2D2A" w:rsidRPr="008642EF">
        <w:rPr>
          <w:lang w:val="es-ES_tradnl"/>
        </w:rPr>
        <w:t>6</w:t>
      </w:r>
      <w:r w:rsidR="001C4A3E" w:rsidRPr="008642EF">
        <w:rPr>
          <w:lang w:val="es-ES_tradnl"/>
        </w:rPr>
        <w:t>%), Haití</w:t>
      </w:r>
      <w:r w:rsidR="00CA2D2A" w:rsidRPr="008642EF">
        <w:rPr>
          <w:lang w:val="es-ES_tradnl"/>
        </w:rPr>
        <w:t xml:space="preserve"> (59</w:t>
      </w:r>
      <w:r w:rsidR="001C4A3E" w:rsidRPr="008642EF">
        <w:rPr>
          <w:lang w:val="es-ES_tradnl"/>
        </w:rPr>
        <w:t>,</w:t>
      </w:r>
      <w:r w:rsidR="00CA2D2A" w:rsidRPr="008642EF">
        <w:rPr>
          <w:lang w:val="es-ES_tradnl"/>
        </w:rPr>
        <w:t>4</w:t>
      </w:r>
      <w:r w:rsidR="001C4A3E" w:rsidRPr="008642EF">
        <w:rPr>
          <w:lang w:val="es-ES_tradnl"/>
        </w:rPr>
        <w:t>%</w:t>
      </w:r>
      <w:r w:rsidR="00CA2D2A" w:rsidRPr="008642EF">
        <w:rPr>
          <w:lang w:val="es-ES_tradnl"/>
        </w:rPr>
        <w:t xml:space="preserve">) </w:t>
      </w:r>
      <w:r w:rsidR="001C4A3E" w:rsidRPr="008642EF">
        <w:rPr>
          <w:lang w:val="es-ES_tradnl"/>
        </w:rPr>
        <w:t xml:space="preserve">y </w:t>
      </w:r>
      <w:r w:rsidR="00CA2D2A" w:rsidRPr="008642EF">
        <w:rPr>
          <w:lang w:val="es-ES_tradnl"/>
        </w:rPr>
        <w:t>Guyana (72</w:t>
      </w:r>
      <w:r w:rsidR="001C4A3E" w:rsidRPr="008642EF">
        <w:rPr>
          <w:lang w:val="es-ES_tradnl"/>
        </w:rPr>
        <w:t>,</w:t>
      </w:r>
      <w:r w:rsidR="00CA2D2A" w:rsidRPr="008642EF">
        <w:rPr>
          <w:lang w:val="es-ES_tradnl"/>
        </w:rPr>
        <w:t>2</w:t>
      </w:r>
      <w:r w:rsidR="001C4A3E" w:rsidRPr="008642EF">
        <w:rPr>
          <w:lang w:val="es-ES_tradnl"/>
        </w:rPr>
        <w:t>%</w:t>
      </w:r>
      <w:r w:rsidR="00CA2D2A" w:rsidRPr="008642EF">
        <w:rPr>
          <w:lang w:val="es-ES_tradnl"/>
        </w:rPr>
        <w:t xml:space="preserve">). </w:t>
      </w:r>
      <w:r w:rsidR="007955F4" w:rsidRPr="008642EF">
        <w:rPr>
          <w:lang w:val="es-ES_tradnl"/>
        </w:rPr>
        <w:t xml:space="preserve">En las Bahamas, la tasa </w:t>
      </w:r>
      <w:r w:rsidR="001C4A3E" w:rsidRPr="008642EF">
        <w:rPr>
          <w:lang w:val="es-ES_tradnl"/>
        </w:rPr>
        <w:t xml:space="preserve">de penetración está </w:t>
      </w:r>
      <w:r w:rsidR="007955F4" w:rsidRPr="008642EF">
        <w:rPr>
          <w:lang w:val="es-ES_tradnl"/>
        </w:rPr>
        <w:t xml:space="preserve">asimismo </w:t>
      </w:r>
      <w:r w:rsidR="001C4A3E" w:rsidRPr="008642EF">
        <w:rPr>
          <w:lang w:val="es-ES_tradnl"/>
        </w:rPr>
        <w:t xml:space="preserve">por debajo de la media de los países en desarrollo, y en 2012 era del </w:t>
      </w:r>
      <w:r w:rsidR="00CA2D2A" w:rsidRPr="008642EF">
        <w:rPr>
          <w:lang w:val="es-ES_tradnl"/>
        </w:rPr>
        <w:t>72</w:t>
      </w:r>
      <w:r w:rsidR="001C4A3E" w:rsidRPr="008642EF">
        <w:rPr>
          <w:lang w:val="es-ES_tradnl"/>
        </w:rPr>
        <w:t>,</w:t>
      </w:r>
      <w:r w:rsidR="00CA2D2A" w:rsidRPr="008642EF">
        <w:rPr>
          <w:lang w:val="es-ES_tradnl"/>
        </w:rPr>
        <w:t>3</w:t>
      </w:r>
      <w:r w:rsidR="001C4A3E" w:rsidRPr="008642EF">
        <w:rPr>
          <w:lang w:val="es-ES_tradnl"/>
        </w:rPr>
        <w:t xml:space="preserve">% </w:t>
      </w:r>
      <w:r w:rsidR="005B00ED" w:rsidRPr="008642EF">
        <w:rPr>
          <w:lang w:val="es-ES_tradnl"/>
        </w:rPr>
        <w:t>(</w:t>
      </w:r>
      <w:r w:rsidR="001C4A3E" w:rsidRPr="008642EF">
        <w:rPr>
          <w:lang w:val="es-ES_tradnl"/>
        </w:rPr>
        <w:t xml:space="preserve">Figura </w:t>
      </w:r>
      <w:r w:rsidR="00E93CE6" w:rsidRPr="008642EF">
        <w:rPr>
          <w:lang w:val="es-ES_tradnl"/>
        </w:rPr>
        <w:t>2.3).</w:t>
      </w:r>
    </w:p>
    <w:p w:rsidR="00E2367D" w:rsidRPr="00675AAD" w:rsidRDefault="004C6EA2" w:rsidP="0053288C">
      <w:pPr>
        <w:keepNext/>
        <w:spacing w:before="240" w:after="120" w:line="240" w:lineRule="auto"/>
        <w:rPr>
          <w:b/>
          <w:bCs/>
          <w:lang w:val="es-ES_tradnl"/>
        </w:rPr>
      </w:pPr>
      <w:r w:rsidRPr="00675AAD">
        <w:rPr>
          <w:b/>
          <w:bCs/>
          <w:lang w:val="es-ES_tradnl"/>
        </w:rPr>
        <w:lastRenderedPageBreak/>
        <w:t>Figura</w:t>
      </w:r>
      <w:r w:rsidR="00B7701A" w:rsidRPr="00675AAD">
        <w:rPr>
          <w:b/>
          <w:bCs/>
          <w:lang w:val="es-ES_tradnl"/>
        </w:rPr>
        <w:t xml:space="preserve"> </w:t>
      </w:r>
      <w:r w:rsidR="00DA2590" w:rsidRPr="00675AAD">
        <w:rPr>
          <w:b/>
          <w:bCs/>
          <w:lang w:val="es-ES_tradnl"/>
        </w:rPr>
        <w:t>2</w:t>
      </w:r>
      <w:r w:rsidR="00B7701A" w:rsidRPr="00675AAD">
        <w:rPr>
          <w:b/>
          <w:bCs/>
          <w:lang w:val="es-ES_tradnl"/>
        </w:rPr>
        <w:t xml:space="preserve">.3: </w:t>
      </w:r>
      <w:r w:rsidRPr="00675AAD">
        <w:rPr>
          <w:b/>
          <w:bCs/>
          <w:lang w:val="es-ES_tradnl"/>
        </w:rPr>
        <w:t xml:space="preserve">Abonos a telefonía móvil celular en la </w:t>
      </w:r>
      <w:r w:rsidR="000B03B6" w:rsidRPr="00675AAD">
        <w:rPr>
          <w:b/>
          <w:bCs/>
          <w:lang w:val="es-ES_tradnl"/>
        </w:rPr>
        <w:t>Región</w:t>
      </w:r>
      <w:r w:rsidRPr="00675AAD">
        <w:rPr>
          <w:b/>
          <w:bCs/>
          <w:lang w:val="es-ES_tradnl"/>
        </w:rPr>
        <w:t xml:space="preserve"> de las Américas</w:t>
      </w:r>
      <w:r w:rsidR="008564A4" w:rsidRPr="00675AAD">
        <w:rPr>
          <w:b/>
          <w:bCs/>
          <w:lang w:val="es-ES_tradnl"/>
        </w:rPr>
        <w:t xml:space="preserve">, 2012 </w:t>
      </w:r>
      <w:r w:rsidR="00373207" w:rsidRPr="00675AAD">
        <w:rPr>
          <w:b/>
          <w:bCs/>
          <w:lang w:val="es-ES_tradnl"/>
        </w:rPr>
        <w:t>(</w:t>
      </w:r>
      <w:r w:rsidRPr="00675AAD">
        <w:rPr>
          <w:b/>
          <w:bCs/>
          <w:lang w:val="es-ES_tradnl"/>
        </w:rPr>
        <w:t>arriba</w:t>
      </w:r>
      <w:r w:rsidR="00373207" w:rsidRPr="00675AAD">
        <w:rPr>
          <w:b/>
          <w:bCs/>
          <w:lang w:val="es-ES_tradnl"/>
        </w:rPr>
        <w:t>)</w:t>
      </w:r>
      <w:r w:rsidR="00DF493D" w:rsidRPr="00675AAD">
        <w:rPr>
          <w:b/>
          <w:bCs/>
          <w:lang w:val="es-ES_tradnl"/>
        </w:rPr>
        <w:t xml:space="preserve">, </w:t>
      </w:r>
      <w:r w:rsidRPr="00675AAD">
        <w:rPr>
          <w:b/>
          <w:bCs/>
          <w:lang w:val="es-ES_tradnl"/>
        </w:rPr>
        <w:t>y desglosados por región y nivel de desarrollo</w:t>
      </w:r>
      <w:r w:rsidR="008564A4" w:rsidRPr="00675AAD">
        <w:rPr>
          <w:b/>
          <w:bCs/>
          <w:lang w:val="es-ES_tradnl"/>
        </w:rPr>
        <w:t>, 2013*</w:t>
      </w:r>
      <w:r w:rsidR="00373207" w:rsidRPr="00675AAD">
        <w:rPr>
          <w:b/>
          <w:bCs/>
          <w:lang w:val="es-ES_tradnl"/>
        </w:rPr>
        <w:t>(</w:t>
      </w:r>
      <w:r w:rsidRPr="00675AAD">
        <w:rPr>
          <w:b/>
          <w:bCs/>
          <w:lang w:val="es-ES_tradnl"/>
        </w:rPr>
        <w:t>abajo</w:t>
      </w:r>
      <w:r w:rsidR="00373207" w:rsidRPr="00675AAD">
        <w:rPr>
          <w:b/>
          <w:bCs/>
          <w:lang w:val="es-ES_tradnl"/>
        </w:rPr>
        <w:t>)</w:t>
      </w:r>
    </w:p>
    <w:p w:rsidR="00E2367D" w:rsidRDefault="00E62EBE" w:rsidP="00706543">
      <w:pPr>
        <w:keepNext/>
        <w:keepLines/>
        <w:spacing w:before="120" w:after="120" w:line="240" w:lineRule="auto"/>
        <w:jc w:val="center"/>
        <w:rPr>
          <w:noProof/>
          <w:lang w:val="es-ES_tradnl"/>
        </w:rPr>
      </w:pPr>
      <w:r w:rsidRPr="008642EF">
        <w:rPr>
          <w:b/>
          <w:bCs/>
          <w:noProof/>
          <w:lang w:eastAsia="en-US"/>
        </w:rPr>
        <w:drawing>
          <wp:inline distT="0" distB="0" distL="0" distR="0" wp14:anchorId="78F64AAE" wp14:editId="1B9BFFC2">
            <wp:extent cx="2918372" cy="4794637"/>
            <wp:effectExtent l="19050" t="19050" r="1587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2627" cy="4801628"/>
                    </a:xfrm>
                    <a:prstGeom prst="rect">
                      <a:avLst/>
                    </a:prstGeom>
                    <a:noFill/>
                    <a:ln w="3175">
                      <a:solidFill>
                        <a:schemeClr val="tx1"/>
                      </a:solidFill>
                    </a:ln>
                  </pic:spPr>
                </pic:pic>
              </a:graphicData>
            </a:graphic>
          </wp:inline>
        </w:drawing>
      </w:r>
      <w:r w:rsidR="00310DB8" w:rsidRPr="008642EF">
        <w:rPr>
          <w:noProof/>
          <w:lang w:eastAsia="en-US"/>
        </w:rPr>
        <w:drawing>
          <wp:inline distT="0" distB="0" distL="0" distR="0" wp14:anchorId="4AAF6368" wp14:editId="458573E2">
            <wp:extent cx="4631331" cy="2798859"/>
            <wp:effectExtent l="19050" t="19050" r="1714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31280" cy="2798828"/>
                    </a:xfrm>
                    <a:prstGeom prst="rect">
                      <a:avLst/>
                    </a:prstGeom>
                    <a:noFill/>
                    <a:ln w="0">
                      <a:solidFill>
                        <a:schemeClr val="tx1"/>
                      </a:solidFill>
                    </a:ln>
                  </pic:spPr>
                </pic:pic>
              </a:graphicData>
            </a:graphic>
          </wp:inline>
        </w:drawing>
      </w:r>
    </w:p>
    <w:p w:rsidR="00261C0B" w:rsidRPr="00706543" w:rsidRDefault="00261C0B" w:rsidP="00F60529">
      <w:pPr>
        <w:spacing w:after="0" w:line="240" w:lineRule="auto"/>
        <w:rPr>
          <w:rFonts w:cs="Calibri"/>
          <w:sz w:val="18"/>
          <w:szCs w:val="18"/>
          <w:lang w:val="es-ES_tradnl"/>
        </w:rPr>
      </w:pPr>
      <w:r w:rsidRPr="00706543">
        <w:rPr>
          <w:rFonts w:cs="Calibri"/>
          <w:sz w:val="18"/>
          <w:szCs w:val="18"/>
          <w:lang w:val="es-ES_tradnl"/>
        </w:rPr>
        <w:t xml:space="preserve">Origen: </w:t>
      </w:r>
      <w:r w:rsidR="00F60529" w:rsidRPr="00053375">
        <w:rPr>
          <w:sz w:val="18"/>
          <w:szCs w:val="18"/>
          <w:lang w:val="es-ES_tradnl"/>
        </w:rPr>
        <w:t>B</w:t>
      </w:r>
      <w:r w:rsidR="00F60529" w:rsidRPr="00215D37">
        <w:rPr>
          <w:sz w:val="18"/>
          <w:szCs w:val="18"/>
          <w:lang w:val="es-ES_tradnl"/>
        </w:rPr>
        <w:t>ase de datos de la UIT sobre Indicadores mundiales de las telecomunicaciones/TIC</w:t>
      </w:r>
      <w:r w:rsidRPr="00706543">
        <w:rPr>
          <w:rFonts w:cs="Calibri"/>
          <w:sz w:val="18"/>
          <w:szCs w:val="18"/>
          <w:lang w:val="es-ES_tradnl"/>
        </w:rPr>
        <w:t>.</w:t>
      </w:r>
    </w:p>
    <w:p w:rsidR="00261C0B" w:rsidRPr="00706543" w:rsidRDefault="00261C0B" w:rsidP="00261C0B">
      <w:pPr>
        <w:spacing w:after="0" w:line="240" w:lineRule="auto"/>
        <w:rPr>
          <w:rFonts w:cs="Calibri"/>
          <w:sz w:val="18"/>
          <w:szCs w:val="18"/>
          <w:lang w:val="es-ES_tradnl"/>
        </w:rPr>
      </w:pPr>
      <w:r w:rsidRPr="00706543">
        <w:rPr>
          <w:rFonts w:cs="Calibri"/>
          <w:sz w:val="18"/>
          <w:szCs w:val="18"/>
          <w:lang w:val="es-ES_tradnl"/>
        </w:rPr>
        <w:t>Nota: *Estimaciones. La línea roja del gráfico superior muestra la media mundial en 2012.</w:t>
      </w:r>
    </w:p>
    <w:p w:rsidR="004C6EA2" w:rsidRPr="008642EF" w:rsidRDefault="004C6EA2" w:rsidP="00675AAD">
      <w:pPr>
        <w:keepNext/>
        <w:keepLines/>
        <w:spacing w:after="0" w:line="240" w:lineRule="auto"/>
        <w:jc w:val="both"/>
        <w:rPr>
          <w:sz w:val="18"/>
          <w:szCs w:val="18"/>
          <w:lang w:val="es-ES_tradnl"/>
        </w:rPr>
      </w:pPr>
      <w:r w:rsidRPr="008642EF">
        <w:rPr>
          <w:sz w:val="18"/>
          <w:szCs w:val="18"/>
          <w:lang w:val="es-ES_tradnl"/>
        </w:rPr>
        <w:lastRenderedPageBreak/>
        <w:t>Leyenda</w:t>
      </w:r>
      <w:r w:rsidR="00354D62">
        <w:rPr>
          <w:sz w:val="18"/>
          <w:szCs w:val="18"/>
          <w:lang w:val="es-ES_tradnl"/>
        </w:rPr>
        <w:t>s</w:t>
      </w:r>
      <w:r w:rsidRPr="008642EF">
        <w:rPr>
          <w:sz w:val="18"/>
          <w:szCs w:val="18"/>
          <w:lang w:val="es-ES_tradnl"/>
        </w:rPr>
        <w:t xml:space="preserve"> de la </w:t>
      </w:r>
      <w:r w:rsidR="00A91BB0">
        <w:rPr>
          <w:sz w:val="18"/>
          <w:szCs w:val="18"/>
          <w:lang w:val="es-ES_tradnl"/>
        </w:rPr>
        <w:t>F</w:t>
      </w:r>
      <w:r w:rsidRPr="008642EF">
        <w:rPr>
          <w:sz w:val="18"/>
          <w:szCs w:val="18"/>
          <w:lang w:val="es-ES_tradnl"/>
        </w:rPr>
        <w:t>igura superior:</w:t>
      </w:r>
    </w:p>
    <w:p w:rsidR="007955F4" w:rsidRPr="008642EF" w:rsidRDefault="007955F4" w:rsidP="00B7515B">
      <w:pPr>
        <w:keepNext/>
        <w:keepLines/>
        <w:spacing w:after="0" w:line="240" w:lineRule="auto"/>
        <w:jc w:val="both"/>
        <w:rPr>
          <w:sz w:val="18"/>
          <w:szCs w:val="18"/>
          <w:lang w:val="es-ES_tradnl"/>
        </w:rPr>
      </w:pPr>
      <w:r w:rsidRPr="008642EF">
        <w:rPr>
          <w:sz w:val="18"/>
          <w:szCs w:val="18"/>
          <w:lang w:val="es-ES_tradnl"/>
        </w:rPr>
        <w:t>0 - Media mundial</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1 - Antigua y Barbuda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2 - Panamá</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 xml:space="preserve">3 - </w:t>
      </w:r>
      <w:proofErr w:type="spellStart"/>
      <w:r w:rsidRPr="008642EF">
        <w:rPr>
          <w:sz w:val="18"/>
          <w:szCs w:val="18"/>
          <w:lang w:val="es-ES_tradnl"/>
        </w:rPr>
        <w:t>Suriname</w:t>
      </w:r>
      <w:proofErr w:type="spellEnd"/>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4 - Dominica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 xml:space="preserve">5 - Saint </w:t>
      </w:r>
      <w:proofErr w:type="spellStart"/>
      <w:r w:rsidRPr="008642EF">
        <w:rPr>
          <w:sz w:val="18"/>
          <w:szCs w:val="18"/>
          <w:lang w:val="es-ES_tradnl"/>
        </w:rPr>
        <w:t>Kitts</w:t>
      </w:r>
      <w:proofErr w:type="spellEnd"/>
      <w:r w:rsidRPr="008642EF">
        <w:rPr>
          <w:sz w:val="18"/>
          <w:szCs w:val="18"/>
          <w:lang w:val="es-ES_tradnl"/>
        </w:rPr>
        <w:t xml:space="preserve"> </w:t>
      </w:r>
      <w:r w:rsidR="007955F4" w:rsidRPr="008642EF">
        <w:rPr>
          <w:sz w:val="18"/>
          <w:szCs w:val="18"/>
          <w:lang w:val="es-ES_tradnl"/>
        </w:rPr>
        <w:t>y</w:t>
      </w:r>
      <w:r w:rsidRPr="008642EF">
        <w:rPr>
          <w:sz w:val="18"/>
          <w:szCs w:val="18"/>
          <w:lang w:val="es-ES_tradnl"/>
        </w:rPr>
        <w:t xml:space="preserve"> </w:t>
      </w:r>
      <w:proofErr w:type="spellStart"/>
      <w:r w:rsidRPr="008642EF">
        <w:rPr>
          <w:sz w:val="18"/>
          <w:szCs w:val="18"/>
          <w:lang w:val="es-ES_tradnl"/>
        </w:rPr>
        <w:t>Nevis</w:t>
      </w:r>
      <w:proofErr w:type="spellEnd"/>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6 - Uruguay</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7 - Argentina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 xml:space="preserve">8 - Trinidad y </w:t>
      </w:r>
      <w:proofErr w:type="spellStart"/>
      <w:r w:rsidRPr="008642EF">
        <w:rPr>
          <w:sz w:val="18"/>
          <w:szCs w:val="18"/>
          <w:lang w:val="es-ES_tradnl"/>
        </w:rPr>
        <w:t>Tabago</w:t>
      </w:r>
      <w:proofErr w:type="spellEnd"/>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9 - Chile</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10 - El Salvador</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11 - Guatemala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12 - Costa Rica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13 - Santa Lucía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14 - Barbados</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15 - Brasil</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16 - San Vicente y las Granadinas</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17 - Granada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18 - Ecuador</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19 - Colombia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20 - Venezuela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21 - Paraguay</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22 - Perú</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23 - Estados Unidos de América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24 - Jamaica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25 - Honduras</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26 - Bolivia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27 - Nicaragua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28 - República Dominicana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29 - México</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30 - Canadá</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31 - Bahamas</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32 - Guyana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33 - Haití</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34 - Belice</w:t>
      </w:r>
    </w:p>
    <w:p w:rsidR="00C4450E" w:rsidRPr="008642EF" w:rsidRDefault="004C6EA2" w:rsidP="00B7515B">
      <w:pPr>
        <w:keepNext/>
        <w:keepLines/>
        <w:spacing w:after="0" w:line="240" w:lineRule="auto"/>
        <w:jc w:val="both"/>
        <w:rPr>
          <w:sz w:val="18"/>
          <w:szCs w:val="18"/>
          <w:lang w:val="es-ES_tradnl"/>
        </w:rPr>
      </w:pPr>
      <w:r w:rsidRPr="008642EF">
        <w:rPr>
          <w:sz w:val="18"/>
          <w:szCs w:val="18"/>
          <w:lang w:val="es-ES_tradnl"/>
        </w:rPr>
        <w:t>35 - Cuba</w:t>
      </w:r>
    </w:p>
    <w:p w:rsidR="004C6EA2" w:rsidRPr="008642EF" w:rsidRDefault="00C4450E" w:rsidP="00B7515B">
      <w:pPr>
        <w:keepNext/>
        <w:keepLines/>
        <w:spacing w:after="0" w:line="240" w:lineRule="auto"/>
        <w:jc w:val="both"/>
        <w:rPr>
          <w:sz w:val="18"/>
          <w:szCs w:val="18"/>
          <w:lang w:val="es-ES_tradnl"/>
        </w:rPr>
      </w:pPr>
      <w:r w:rsidRPr="008642EF">
        <w:rPr>
          <w:sz w:val="18"/>
          <w:szCs w:val="18"/>
          <w:lang w:val="es-ES_tradnl"/>
        </w:rPr>
        <w:t>36 - Por 100 habitantes</w:t>
      </w:r>
    </w:p>
    <w:p w:rsidR="004C6EA2" w:rsidRPr="008642EF" w:rsidRDefault="004C6EA2" w:rsidP="00B7515B">
      <w:pPr>
        <w:keepNext/>
        <w:keepLines/>
        <w:spacing w:after="0" w:line="240" w:lineRule="auto"/>
        <w:jc w:val="both"/>
        <w:rPr>
          <w:sz w:val="18"/>
          <w:szCs w:val="18"/>
          <w:lang w:val="es-ES_tradnl"/>
        </w:rPr>
      </w:pPr>
    </w:p>
    <w:p w:rsidR="004C6EA2" w:rsidRPr="008642EF" w:rsidRDefault="004C6EA2" w:rsidP="00675AAD">
      <w:pPr>
        <w:keepNext/>
        <w:keepLines/>
        <w:spacing w:after="0" w:line="240" w:lineRule="auto"/>
        <w:jc w:val="both"/>
        <w:rPr>
          <w:sz w:val="18"/>
          <w:szCs w:val="18"/>
          <w:lang w:val="es-ES_tradnl"/>
        </w:rPr>
      </w:pPr>
      <w:r w:rsidRPr="008642EF">
        <w:rPr>
          <w:sz w:val="18"/>
          <w:szCs w:val="18"/>
          <w:lang w:val="es-ES_tradnl"/>
        </w:rPr>
        <w:t>Leyenda</w:t>
      </w:r>
      <w:r w:rsidR="00354D62">
        <w:rPr>
          <w:sz w:val="18"/>
          <w:szCs w:val="18"/>
          <w:lang w:val="es-ES_tradnl"/>
        </w:rPr>
        <w:t>s</w:t>
      </w:r>
      <w:r w:rsidRPr="008642EF">
        <w:rPr>
          <w:sz w:val="18"/>
          <w:szCs w:val="18"/>
          <w:lang w:val="es-ES_tradnl"/>
        </w:rPr>
        <w:t xml:space="preserve"> de la </w:t>
      </w:r>
      <w:r w:rsidR="00A91BB0">
        <w:rPr>
          <w:sz w:val="18"/>
          <w:szCs w:val="18"/>
          <w:lang w:val="es-ES_tradnl"/>
        </w:rPr>
        <w:t>F</w:t>
      </w:r>
      <w:r w:rsidRPr="008642EF">
        <w:rPr>
          <w:sz w:val="18"/>
          <w:szCs w:val="18"/>
          <w:lang w:val="es-ES_tradnl"/>
        </w:rPr>
        <w:t>igura inferior:</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1 - Por 100 habitantes</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2 - África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3 - Asia y el Pacífico</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3 - Estados Árabes</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4 - Las Américas</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5 - América Latina y el Caribe</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6 - Europa</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7 - CEI</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8 - Países en desarrollo</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9 - Mundo</w:t>
      </w:r>
    </w:p>
    <w:p w:rsidR="004C6EA2" w:rsidRPr="008642EF" w:rsidRDefault="004C6EA2" w:rsidP="00B7515B">
      <w:pPr>
        <w:keepNext/>
        <w:keepLines/>
        <w:spacing w:after="0" w:line="240" w:lineRule="auto"/>
        <w:jc w:val="both"/>
        <w:rPr>
          <w:sz w:val="18"/>
          <w:szCs w:val="18"/>
          <w:lang w:val="es-ES_tradnl"/>
        </w:rPr>
      </w:pPr>
      <w:r w:rsidRPr="008642EF">
        <w:rPr>
          <w:sz w:val="18"/>
          <w:szCs w:val="18"/>
          <w:lang w:val="es-ES_tradnl"/>
        </w:rPr>
        <w:t xml:space="preserve">10 - </w:t>
      </w:r>
      <w:r w:rsidR="00053375" w:rsidRPr="008642EF">
        <w:rPr>
          <w:sz w:val="18"/>
          <w:szCs w:val="18"/>
          <w:lang w:val="es-ES_tradnl"/>
        </w:rPr>
        <w:t>Países</w:t>
      </w:r>
      <w:r w:rsidR="009A7CCA">
        <w:rPr>
          <w:sz w:val="18"/>
          <w:szCs w:val="18"/>
          <w:lang w:val="es-ES_tradnl"/>
        </w:rPr>
        <w:t xml:space="preserve"> desarrollados</w:t>
      </w:r>
    </w:p>
    <w:p w:rsidR="007B1B16" w:rsidRPr="008642EF" w:rsidRDefault="00E02292" w:rsidP="00804DF3">
      <w:pPr>
        <w:spacing w:before="120" w:after="0" w:line="240" w:lineRule="auto"/>
        <w:rPr>
          <w:lang w:val="es-ES_tradnl"/>
        </w:rPr>
      </w:pPr>
      <w:r w:rsidRPr="008642EF">
        <w:rPr>
          <w:lang w:val="es-ES_tradnl"/>
        </w:rPr>
        <w:t xml:space="preserve">La UIT estima que, a finales de 2013, en la </w:t>
      </w:r>
      <w:r w:rsidR="000B03B6" w:rsidRPr="008642EF">
        <w:rPr>
          <w:lang w:val="es-ES_tradnl"/>
        </w:rPr>
        <w:t xml:space="preserve">Región </w:t>
      </w:r>
      <w:r w:rsidRPr="008642EF">
        <w:rPr>
          <w:lang w:val="es-ES_tradnl"/>
        </w:rPr>
        <w:t xml:space="preserve">de las Américas habrá en total 460 millones de abonos a banda ancha móvil, es decir, 80 millones más que </w:t>
      </w:r>
      <w:r w:rsidR="00193B98" w:rsidRPr="008642EF">
        <w:rPr>
          <w:lang w:val="es-ES_tradnl"/>
        </w:rPr>
        <w:t>en 2012</w:t>
      </w:r>
      <w:r w:rsidRPr="008642EF">
        <w:rPr>
          <w:lang w:val="es-ES_tradnl"/>
        </w:rPr>
        <w:t xml:space="preserve">. Con una tasa del 48%, la penetración regional </w:t>
      </w:r>
      <w:r w:rsidR="00022704" w:rsidRPr="008642EF">
        <w:rPr>
          <w:lang w:val="es-ES_tradnl"/>
        </w:rPr>
        <w:t xml:space="preserve">estimada </w:t>
      </w:r>
      <w:r w:rsidRPr="008642EF">
        <w:rPr>
          <w:lang w:val="es-ES_tradnl"/>
        </w:rPr>
        <w:t xml:space="preserve">de la banda ancha móvil </w:t>
      </w:r>
      <w:r w:rsidR="00193B98" w:rsidRPr="008642EF">
        <w:rPr>
          <w:lang w:val="es-ES_tradnl"/>
        </w:rPr>
        <w:t xml:space="preserve">se sitúa </w:t>
      </w:r>
      <w:r w:rsidR="007955F4" w:rsidRPr="008642EF">
        <w:rPr>
          <w:lang w:val="es-ES_tradnl"/>
        </w:rPr>
        <w:t xml:space="preserve">por encima de </w:t>
      </w:r>
      <w:r w:rsidRPr="008642EF">
        <w:rPr>
          <w:lang w:val="es-ES_tradnl"/>
        </w:rPr>
        <w:t xml:space="preserve">la media mundial </w:t>
      </w:r>
      <w:r w:rsidR="00A62D08" w:rsidRPr="008642EF">
        <w:rPr>
          <w:lang w:val="es-ES_tradnl"/>
        </w:rPr>
        <w:t>(29</w:t>
      </w:r>
      <w:r w:rsidRPr="008642EF">
        <w:rPr>
          <w:lang w:val="es-ES_tradnl"/>
        </w:rPr>
        <w:t>,</w:t>
      </w:r>
      <w:r w:rsidR="00A62D08" w:rsidRPr="008642EF">
        <w:rPr>
          <w:lang w:val="es-ES_tradnl"/>
        </w:rPr>
        <w:t>5</w:t>
      </w:r>
      <w:r w:rsidRPr="008642EF">
        <w:rPr>
          <w:lang w:val="es-ES_tradnl"/>
        </w:rPr>
        <w:t>%</w:t>
      </w:r>
      <w:r w:rsidR="00A62D08" w:rsidRPr="008642EF">
        <w:rPr>
          <w:lang w:val="es-ES_tradnl"/>
        </w:rPr>
        <w:t xml:space="preserve">) </w:t>
      </w:r>
      <w:r w:rsidRPr="008642EF">
        <w:rPr>
          <w:lang w:val="es-ES_tradnl"/>
        </w:rPr>
        <w:t xml:space="preserve">y </w:t>
      </w:r>
      <w:r w:rsidR="007955F4" w:rsidRPr="008642EF">
        <w:rPr>
          <w:lang w:val="es-ES_tradnl"/>
        </w:rPr>
        <w:t xml:space="preserve">es </w:t>
      </w:r>
      <w:r w:rsidRPr="008642EF">
        <w:rPr>
          <w:lang w:val="es-ES_tradnl"/>
        </w:rPr>
        <w:t xml:space="preserve">la segunda más alta de todas las regiones, superada solamente por Europa, donde </w:t>
      </w:r>
      <w:r w:rsidR="00022704" w:rsidRPr="008642EF">
        <w:rPr>
          <w:lang w:val="es-ES_tradnl"/>
        </w:rPr>
        <w:t xml:space="preserve">esta tasa será, </w:t>
      </w:r>
      <w:r w:rsidRPr="008642EF">
        <w:rPr>
          <w:lang w:val="es-ES_tradnl"/>
        </w:rPr>
        <w:t>a finales de 2013</w:t>
      </w:r>
      <w:r w:rsidR="00022704" w:rsidRPr="008642EF">
        <w:rPr>
          <w:lang w:val="es-ES_tradnl"/>
        </w:rPr>
        <w:t>,</w:t>
      </w:r>
      <w:r w:rsidRPr="008642EF">
        <w:rPr>
          <w:lang w:val="es-ES_tradnl"/>
        </w:rPr>
        <w:t xml:space="preserve"> del </w:t>
      </w:r>
      <w:r w:rsidR="00B34B9F" w:rsidRPr="008642EF">
        <w:rPr>
          <w:lang w:val="es-ES_tradnl"/>
        </w:rPr>
        <w:t>67</w:t>
      </w:r>
      <w:r w:rsidRPr="008642EF">
        <w:rPr>
          <w:lang w:val="es-ES_tradnl"/>
        </w:rPr>
        <w:t>,</w:t>
      </w:r>
      <w:r w:rsidR="00B34B9F" w:rsidRPr="008642EF">
        <w:rPr>
          <w:lang w:val="es-ES_tradnl"/>
        </w:rPr>
        <w:t>5</w:t>
      </w:r>
      <w:r w:rsidRPr="008642EF">
        <w:rPr>
          <w:lang w:val="es-ES_tradnl"/>
        </w:rPr>
        <w:t>%</w:t>
      </w:r>
      <w:r w:rsidR="00A62D08" w:rsidRPr="008642EF">
        <w:rPr>
          <w:lang w:val="es-ES_tradnl"/>
        </w:rPr>
        <w:t>.</w:t>
      </w:r>
      <w:r w:rsidR="00B539C8" w:rsidRPr="008642EF">
        <w:rPr>
          <w:lang w:val="es-ES_tradnl"/>
        </w:rPr>
        <w:t xml:space="preserve"> </w:t>
      </w:r>
      <w:r w:rsidR="00193B98" w:rsidRPr="008642EF">
        <w:rPr>
          <w:lang w:val="es-ES_tradnl"/>
        </w:rPr>
        <w:t xml:space="preserve">En cuanto a la </w:t>
      </w:r>
      <w:r w:rsidRPr="008642EF">
        <w:rPr>
          <w:lang w:val="es-ES_tradnl"/>
        </w:rPr>
        <w:t>penetración de la banda ancha móvil</w:t>
      </w:r>
      <w:r w:rsidR="00193B98" w:rsidRPr="008642EF">
        <w:rPr>
          <w:lang w:val="es-ES_tradnl"/>
        </w:rPr>
        <w:t xml:space="preserve">, la media de </w:t>
      </w:r>
      <w:r w:rsidRPr="008642EF">
        <w:rPr>
          <w:lang w:val="es-ES_tradnl"/>
        </w:rPr>
        <w:t xml:space="preserve">la </w:t>
      </w:r>
      <w:r w:rsidR="009A7CCA" w:rsidRPr="008642EF">
        <w:rPr>
          <w:lang w:val="es-ES_tradnl"/>
        </w:rPr>
        <w:t xml:space="preserve">Subregión </w:t>
      </w:r>
      <w:r w:rsidRPr="008642EF">
        <w:rPr>
          <w:lang w:val="es-ES_tradnl"/>
        </w:rPr>
        <w:t>de América Latina y el Caribe (</w:t>
      </w:r>
      <w:r w:rsidR="00423E88" w:rsidRPr="008642EF">
        <w:rPr>
          <w:lang w:val="es-ES_tradnl"/>
        </w:rPr>
        <w:t>26</w:t>
      </w:r>
      <w:r w:rsidRPr="008642EF">
        <w:rPr>
          <w:lang w:val="es-ES_tradnl"/>
        </w:rPr>
        <w:t>,</w:t>
      </w:r>
      <w:r w:rsidR="00423E88" w:rsidRPr="008642EF">
        <w:rPr>
          <w:lang w:val="es-ES_tradnl"/>
        </w:rPr>
        <w:t>2</w:t>
      </w:r>
      <w:r w:rsidRPr="008642EF">
        <w:rPr>
          <w:lang w:val="es-ES_tradnl"/>
        </w:rPr>
        <w:t>%</w:t>
      </w:r>
      <w:r w:rsidR="00423E88" w:rsidRPr="008642EF">
        <w:rPr>
          <w:lang w:val="es-ES_tradnl"/>
        </w:rPr>
        <w:t xml:space="preserve">) </w:t>
      </w:r>
      <w:r w:rsidRPr="008642EF">
        <w:rPr>
          <w:lang w:val="es-ES_tradnl"/>
        </w:rPr>
        <w:t xml:space="preserve">es muy inferior, hecho que sugiere </w:t>
      </w:r>
      <w:r w:rsidR="00022704" w:rsidRPr="008642EF">
        <w:rPr>
          <w:lang w:val="es-ES_tradnl"/>
        </w:rPr>
        <w:t>que existe</w:t>
      </w:r>
      <w:r w:rsidRPr="008642EF">
        <w:rPr>
          <w:lang w:val="es-ES_tradnl"/>
        </w:rPr>
        <w:t xml:space="preserve"> una brecha importante entre el Norte y el resto de la </w:t>
      </w:r>
      <w:r w:rsidR="000B03B6" w:rsidRPr="008642EF">
        <w:rPr>
          <w:lang w:val="es-ES_tradnl"/>
        </w:rPr>
        <w:t xml:space="preserve">Región </w:t>
      </w:r>
      <w:r w:rsidRPr="008642EF">
        <w:rPr>
          <w:lang w:val="es-ES_tradnl"/>
        </w:rPr>
        <w:t>de las Américas</w:t>
      </w:r>
      <w:r w:rsidR="00CF7C14" w:rsidRPr="008642EF">
        <w:rPr>
          <w:lang w:val="es-ES_tradnl"/>
        </w:rPr>
        <w:t xml:space="preserve">. </w:t>
      </w:r>
      <w:r w:rsidRPr="008642EF">
        <w:rPr>
          <w:lang w:val="es-ES_tradnl"/>
        </w:rPr>
        <w:t xml:space="preserve">En efecto, la tasa </w:t>
      </w:r>
      <w:r w:rsidR="00193B98" w:rsidRPr="008642EF">
        <w:rPr>
          <w:lang w:val="es-ES_tradnl"/>
        </w:rPr>
        <w:t xml:space="preserve">de </w:t>
      </w:r>
      <w:r w:rsidRPr="008642EF">
        <w:rPr>
          <w:lang w:val="es-ES_tradnl"/>
        </w:rPr>
        <w:t xml:space="preserve">penetración es más alta en los países de ingresos altos, </w:t>
      </w:r>
      <w:r w:rsidR="00D36B24" w:rsidRPr="008642EF">
        <w:rPr>
          <w:lang w:val="es-ES_tradnl"/>
        </w:rPr>
        <w:t xml:space="preserve">a saber </w:t>
      </w:r>
      <w:r w:rsidRPr="008642EF">
        <w:rPr>
          <w:lang w:val="es-ES_tradnl"/>
        </w:rPr>
        <w:t xml:space="preserve">los Estados Unidos de América </w:t>
      </w:r>
      <w:r w:rsidR="00A43535" w:rsidRPr="008642EF">
        <w:rPr>
          <w:lang w:val="es-ES_tradnl"/>
        </w:rPr>
        <w:t>(74</w:t>
      </w:r>
      <w:r w:rsidRPr="008642EF">
        <w:rPr>
          <w:lang w:val="es-ES_tradnl"/>
        </w:rPr>
        <w:t>,</w:t>
      </w:r>
      <w:r w:rsidR="00A43535" w:rsidRPr="008642EF">
        <w:rPr>
          <w:lang w:val="es-ES_tradnl"/>
        </w:rPr>
        <w:t>7</w:t>
      </w:r>
      <w:r w:rsidRPr="008642EF">
        <w:rPr>
          <w:lang w:val="es-ES_tradnl"/>
        </w:rPr>
        <w:t>%</w:t>
      </w:r>
      <w:r w:rsidR="00A43535" w:rsidRPr="008642EF">
        <w:rPr>
          <w:lang w:val="es-ES_tradnl"/>
        </w:rPr>
        <w:t>)</w:t>
      </w:r>
      <w:r w:rsidR="00D36B24" w:rsidRPr="008642EF">
        <w:rPr>
          <w:lang w:val="es-ES_tradnl"/>
        </w:rPr>
        <w:t xml:space="preserve"> y el </w:t>
      </w:r>
      <w:r w:rsidRPr="008642EF">
        <w:rPr>
          <w:lang w:val="es-ES_tradnl"/>
        </w:rPr>
        <w:t xml:space="preserve">Canadá </w:t>
      </w:r>
      <w:r w:rsidR="00A43535" w:rsidRPr="008642EF">
        <w:rPr>
          <w:lang w:val="es-ES_tradnl"/>
        </w:rPr>
        <w:t>(50</w:t>
      </w:r>
      <w:r w:rsidRPr="008642EF">
        <w:rPr>
          <w:lang w:val="es-ES_tradnl"/>
        </w:rPr>
        <w:t>%</w:t>
      </w:r>
      <w:r w:rsidR="00A43535" w:rsidRPr="008642EF">
        <w:rPr>
          <w:lang w:val="es-ES_tradnl"/>
        </w:rPr>
        <w:t xml:space="preserve">). </w:t>
      </w:r>
      <w:r w:rsidRPr="008642EF">
        <w:rPr>
          <w:lang w:val="es-ES_tradnl"/>
        </w:rPr>
        <w:t xml:space="preserve">Los resultados de los Estados Unidos de América, el país más poblado de la </w:t>
      </w:r>
      <w:r w:rsidR="009A7CCA" w:rsidRPr="008642EF">
        <w:rPr>
          <w:lang w:val="es-ES_tradnl"/>
        </w:rPr>
        <w:t>Región</w:t>
      </w:r>
      <w:r w:rsidRPr="008642EF">
        <w:rPr>
          <w:lang w:val="es-ES_tradnl"/>
        </w:rPr>
        <w:t xml:space="preserve">, así como del Brasil, </w:t>
      </w:r>
      <w:r w:rsidR="007955F4" w:rsidRPr="008642EF">
        <w:rPr>
          <w:lang w:val="es-ES_tradnl"/>
        </w:rPr>
        <w:t xml:space="preserve">otro </w:t>
      </w:r>
      <w:r w:rsidRPr="008642EF">
        <w:rPr>
          <w:lang w:val="es-ES_tradnl"/>
        </w:rPr>
        <w:t xml:space="preserve">mercado inmenso en términos de población y con una tasa de </w:t>
      </w:r>
      <w:r w:rsidRPr="008642EF">
        <w:rPr>
          <w:lang w:val="es-ES_tradnl"/>
        </w:rPr>
        <w:lastRenderedPageBreak/>
        <w:t xml:space="preserve">penetración de la banda ancha móvil en 2012 relativamente elevada, del 36,6%, influyen notablemente en la media regional. </w:t>
      </w:r>
      <w:r w:rsidR="00303187">
        <w:rPr>
          <w:lang w:val="es-ES_tradnl"/>
        </w:rPr>
        <w:t xml:space="preserve">Así, el índice de penetración de la banda ancha móvil de Brasil es superior al promedio mundial en 2012. Lo mismo puede afirmarse de Uruguay (32%), Chile (28%) y Ecuador (22,2%). </w:t>
      </w:r>
      <w:r w:rsidRPr="008642EF">
        <w:rPr>
          <w:lang w:val="es-ES_tradnl"/>
        </w:rPr>
        <w:t xml:space="preserve">Por otro lado, siete de los 35 países de la </w:t>
      </w:r>
      <w:r w:rsidR="009A7CCA" w:rsidRPr="008642EF">
        <w:rPr>
          <w:lang w:val="es-ES_tradnl"/>
        </w:rPr>
        <w:t xml:space="preserve">Región </w:t>
      </w:r>
      <w:r w:rsidR="007955F4" w:rsidRPr="008642EF">
        <w:rPr>
          <w:lang w:val="es-ES_tradnl"/>
        </w:rPr>
        <w:t xml:space="preserve">carecían en </w:t>
      </w:r>
      <w:r w:rsidRPr="008642EF">
        <w:rPr>
          <w:lang w:val="es-ES_tradnl"/>
        </w:rPr>
        <w:t>2012</w:t>
      </w:r>
      <w:r w:rsidR="007955F4" w:rsidRPr="008642EF">
        <w:rPr>
          <w:lang w:val="es-ES_tradnl"/>
        </w:rPr>
        <w:t xml:space="preserve"> de</w:t>
      </w:r>
      <w:r w:rsidRPr="008642EF">
        <w:rPr>
          <w:lang w:val="es-ES_tradnl"/>
        </w:rPr>
        <w:t xml:space="preserve"> redes </w:t>
      </w:r>
      <w:r w:rsidR="00B26C45" w:rsidRPr="008642EF">
        <w:rPr>
          <w:lang w:val="es-ES_tradnl"/>
        </w:rPr>
        <w:t>3G</w:t>
      </w:r>
      <w:r w:rsidRPr="008642EF">
        <w:rPr>
          <w:lang w:val="es-ES_tradnl"/>
        </w:rPr>
        <w:t xml:space="preserve">, y son varios los países </w:t>
      </w:r>
      <w:r w:rsidR="007955F4" w:rsidRPr="008642EF">
        <w:rPr>
          <w:lang w:val="es-ES_tradnl"/>
        </w:rPr>
        <w:t xml:space="preserve">con una tasa de penetración muy baja, por </w:t>
      </w:r>
      <w:r w:rsidRPr="008642EF">
        <w:rPr>
          <w:lang w:val="es-ES_tradnl"/>
        </w:rPr>
        <w:t>debajo del 5%</w:t>
      </w:r>
      <w:r w:rsidR="00B26C45" w:rsidRPr="008642EF">
        <w:rPr>
          <w:lang w:val="es-ES_tradnl"/>
        </w:rPr>
        <w:t xml:space="preserve"> </w:t>
      </w:r>
      <w:r w:rsidR="00B7701A" w:rsidRPr="008642EF">
        <w:rPr>
          <w:lang w:val="es-ES_tradnl"/>
        </w:rPr>
        <w:t>(</w:t>
      </w:r>
      <w:r w:rsidRPr="008642EF">
        <w:rPr>
          <w:lang w:val="es-ES_tradnl"/>
        </w:rPr>
        <w:t xml:space="preserve">Figura </w:t>
      </w:r>
      <w:r w:rsidR="006D46F4" w:rsidRPr="008642EF">
        <w:rPr>
          <w:lang w:val="es-ES_tradnl"/>
        </w:rPr>
        <w:t>2</w:t>
      </w:r>
      <w:r w:rsidR="00316364" w:rsidRPr="008642EF">
        <w:rPr>
          <w:lang w:val="es-ES_tradnl"/>
        </w:rPr>
        <w:t>.4</w:t>
      </w:r>
      <w:r w:rsidR="00261C0B">
        <w:rPr>
          <w:lang w:val="es-ES_tradnl"/>
        </w:rPr>
        <w:t>).</w:t>
      </w:r>
    </w:p>
    <w:p w:rsidR="00A91BB0" w:rsidRDefault="00A91BB0" w:rsidP="00F60529">
      <w:pPr>
        <w:spacing w:after="0" w:line="240" w:lineRule="auto"/>
        <w:jc w:val="both"/>
        <w:rPr>
          <w:highlight w:val="yellow"/>
          <w:lang w:val="es-ES_tradnl"/>
        </w:rPr>
      </w:pPr>
    </w:p>
    <w:p w:rsidR="00A91BB0" w:rsidRPr="00053375" w:rsidRDefault="00A91BB0" w:rsidP="00F60529">
      <w:pPr>
        <w:keepNext/>
        <w:keepLines/>
        <w:spacing w:after="0" w:line="240" w:lineRule="auto"/>
        <w:jc w:val="both"/>
        <w:rPr>
          <w:lang w:val="es-ES_tradnl"/>
        </w:rPr>
      </w:pPr>
      <w:r w:rsidRPr="00053375">
        <w:rPr>
          <w:b/>
          <w:bCs/>
          <w:lang w:val="es-ES_tradnl"/>
        </w:rPr>
        <w:t>Figura 2.4: Abonos activos a la banda ancha móvil en la Región de las Américas, 2012 (arriba) y desglosados por región y nivel de desarrollo, 2013* (abajo)</w:t>
      </w:r>
    </w:p>
    <w:p w:rsidR="00A91BB0" w:rsidRPr="00053375" w:rsidRDefault="00A91BB0" w:rsidP="008D7CF1">
      <w:pPr>
        <w:spacing w:after="0" w:line="240" w:lineRule="auto"/>
        <w:jc w:val="center"/>
        <w:rPr>
          <w:sz w:val="18"/>
          <w:szCs w:val="18"/>
          <w:highlight w:val="yellow"/>
          <w:lang w:val="es-ES_tradnl"/>
        </w:rPr>
      </w:pPr>
      <w:r w:rsidRPr="00053375">
        <w:rPr>
          <w:noProof/>
          <w:sz w:val="18"/>
          <w:szCs w:val="18"/>
          <w:lang w:eastAsia="en-US"/>
        </w:rPr>
        <w:drawing>
          <wp:inline distT="0" distB="0" distL="0" distR="0" wp14:anchorId="20A9A074" wp14:editId="267D4727">
            <wp:extent cx="3341408" cy="4452731"/>
            <wp:effectExtent l="19050" t="19050" r="1143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3594" cy="4455645"/>
                    </a:xfrm>
                    <a:prstGeom prst="rect">
                      <a:avLst/>
                    </a:prstGeom>
                    <a:noFill/>
                    <a:ln w="3175">
                      <a:solidFill>
                        <a:schemeClr val="tx1"/>
                      </a:solidFill>
                    </a:ln>
                  </pic:spPr>
                </pic:pic>
              </a:graphicData>
            </a:graphic>
          </wp:inline>
        </w:drawing>
      </w:r>
      <w:r w:rsidRPr="00053375">
        <w:rPr>
          <w:noProof/>
          <w:sz w:val="18"/>
          <w:szCs w:val="18"/>
          <w:lang w:eastAsia="en-US"/>
        </w:rPr>
        <w:drawing>
          <wp:inline distT="0" distB="0" distL="0" distR="0" wp14:anchorId="2F1F61CF" wp14:editId="61F81658">
            <wp:extent cx="4780800" cy="2826000"/>
            <wp:effectExtent l="19050" t="19050" r="2032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0800" cy="2826000"/>
                    </a:xfrm>
                    <a:prstGeom prst="rect">
                      <a:avLst/>
                    </a:prstGeom>
                    <a:noFill/>
                    <a:ln w="3175">
                      <a:solidFill>
                        <a:schemeClr val="tx1"/>
                      </a:solidFill>
                    </a:ln>
                  </pic:spPr>
                </pic:pic>
              </a:graphicData>
            </a:graphic>
          </wp:inline>
        </w:drawing>
      </w:r>
    </w:p>
    <w:p w:rsidR="00A91BB0" w:rsidRPr="00053375" w:rsidRDefault="00A91BB0" w:rsidP="00F60529">
      <w:pPr>
        <w:spacing w:after="0" w:line="240" w:lineRule="auto"/>
        <w:jc w:val="both"/>
        <w:rPr>
          <w:sz w:val="18"/>
          <w:szCs w:val="18"/>
          <w:lang w:val="es-ES_tradnl"/>
        </w:rPr>
      </w:pPr>
      <w:r w:rsidRPr="00053375">
        <w:rPr>
          <w:sz w:val="18"/>
          <w:szCs w:val="18"/>
          <w:lang w:val="es-ES_tradnl"/>
        </w:rPr>
        <w:t xml:space="preserve">Origen: </w:t>
      </w:r>
      <w:r w:rsidR="00F60529" w:rsidRPr="00053375">
        <w:rPr>
          <w:sz w:val="18"/>
          <w:szCs w:val="18"/>
          <w:lang w:val="es-ES_tradnl"/>
        </w:rPr>
        <w:t>B</w:t>
      </w:r>
      <w:r w:rsidR="00F60529" w:rsidRPr="00215D37">
        <w:rPr>
          <w:sz w:val="18"/>
          <w:szCs w:val="18"/>
          <w:lang w:val="es-ES_tradnl"/>
        </w:rPr>
        <w:t>ase de datos de la UIT sobre Indicadores mundiales de las telecomunicaciones/TIC</w:t>
      </w:r>
      <w:r w:rsidRPr="00053375">
        <w:rPr>
          <w:sz w:val="18"/>
          <w:szCs w:val="18"/>
          <w:lang w:val="es-ES_tradnl"/>
        </w:rPr>
        <w:t>.</w:t>
      </w:r>
    </w:p>
    <w:p w:rsidR="00A91BB0" w:rsidRPr="00053375" w:rsidRDefault="00A91BB0" w:rsidP="00D36B24">
      <w:pPr>
        <w:spacing w:after="0" w:line="240" w:lineRule="auto"/>
        <w:jc w:val="both"/>
        <w:rPr>
          <w:sz w:val="18"/>
          <w:szCs w:val="18"/>
          <w:lang w:val="es-ES_tradnl"/>
        </w:rPr>
      </w:pPr>
      <w:r w:rsidRPr="00053375">
        <w:rPr>
          <w:sz w:val="18"/>
          <w:szCs w:val="18"/>
          <w:lang w:val="es-ES_tradnl"/>
        </w:rPr>
        <w:t>Nota: * Estimaciones. La línea roja del gráfico superior muestra la media mundial en 2012.</w:t>
      </w:r>
    </w:p>
    <w:p w:rsidR="00A91BB0" w:rsidRPr="00053375" w:rsidRDefault="00A91BB0">
      <w:pPr>
        <w:contextualSpacing/>
        <w:rPr>
          <w:sz w:val="18"/>
          <w:szCs w:val="18"/>
          <w:lang w:val="es-ES_tradnl"/>
        </w:rPr>
      </w:pPr>
      <w:r w:rsidRPr="00053375">
        <w:rPr>
          <w:sz w:val="18"/>
          <w:szCs w:val="18"/>
          <w:lang w:val="es-ES_tradnl"/>
        </w:rPr>
        <w:lastRenderedPageBreak/>
        <w:t>Leyenda</w:t>
      </w:r>
      <w:r>
        <w:rPr>
          <w:sz w:val="18"/>
          <w:szCs w:val="18"/>
          <w:lang w:val="es-ES_tradnl"/>
        </w:rPr>
        <w:t>s</w:t>
      </w:r>
      <w:r w:rsidRPr="00053375">
        <w:rPr>
          <w:sz w:val="18"/>
          <w:szCs w:val="18"/>
          <w:lang w:val="es-ES_tradnl"/>
        </w:rPr>
        <w:t xml:space="preserve"> de la Figura superior:</w:t>
      </w:r>
    </w:p>
    <w:p w:rsidR="00A91BB0" w:rsidRPr="00053375" w:rsidRDefault="00A91BB0">
      <w:pPr>
        <w:contextualSpacing/>
        <w:rPr>
          <w:sz w:val="18"/>
          <w:szCs w:val="18"/>
          <w:lang w:val="es-ES_tradnl"/>
        </w:rPr>
      </w:pPr>
      <w:r w:rsidRPr="00053375">
        <w:rPr>
          <w:sz w:val="18"/>
          <w:szCs w:val="18"/>
          <w:lang w:val="es-ES_tradnl"/>
        </w:rPr>
        <w:t>1 - Media mundial</w:t>
      </w:r>
    </w:p>
    <w:p w:rsidR="00A91BB0" w:rsidRPr="00053375" w:rsidRDefault="00A91BB0">
      <w:pPr>
        <w:contextualSpacing/>
        <w:rPr>
          <w:sz w:val="18"/>
          <w:szCs w:val="18"/>
          <w:lang w:val="es-ES_tradnl"/>
        </w:rPr>
      </w:pPr>
      <w:r w:rsidRPr="00053375">
        <w:rPr>
          <w:sz w:val="18"/>
          <w:szCs w:val="18"/>
          <w:lang w:val="es-ES_tradnl"/>
        </w:rPr>
        <w:t>2 - Barbados</w:t>
      </w:r>
    </w:p>
    <w:p w:rsidR="00A91BB0" w:rsidRPr="00053375" w:rsidRDefault="00A91BB0">
      <w:pPr>
        <w:contextualSpacing/>
        <w:rPr>
          <w:sz w:val="18"/>
          <w:szCs w:val="18"/>
          <w:lang w:val="es-ES_tradnl"/>
        </w:rPr>
      </w:pPr>
      <w:r w:rsidRPr="00053375">
        <w:rPr>
          <w:sz w:val="18"/>
          <w:szCs w:val="18"/>
          <w:lang w:val="es-ES_tradnl"/>
        </w:rPr>
        <w:t>3 - Estados Unidos de América</w:t>
      </w:r>
    </w:p>
    <w:p w:rsidR="00A91BB0" w:rsidRPr="00053375" w:rsidRDefault="00A91BB0">
      <w:pPr>
        <w:contextualSpacing/>
        <w:rPr>
          <w:sz w:val="18"/>
          <w:szCs w:val="18"/>
          <w:lang w:val="es-ES_tradnl"/>
        </w:rPr>
      </w:pPr>
      <w:r w:rsidRPr="00053375">
        <w:rPr>
          <w:sz w:val="18"/>
          <w:szCs w:val="18"/>
          <w:lang w:val="es-ES_tradnl"/>
        </w:rPr>
        <w:t>4 - Canadá</w:t>
      </w:r>
    </w:p>
    <w:p w:rsidR="00A91BB0" w:rsidRPr="00053375" w:rsidRDefault="00A91BB0">
      <w:pPr>
        <w:contextualSpacing/>
        <w:rPr>
          <w:sz w:val="18"/>
          <w:szCs w:val="18"/>
          <w:lang w:val="es-ES_tradnl"/>
        </w:rPr>
      </w:pPr>
      <w:r w:rsidRPr="00053375">
        <w:rPr>
          <w:sz w:val="18"/>
          <w:szCs w:val="18"/>
          <w:lang w:val="es-ES_tradnl"/>
        </w:rPr>
        <w:t>5 - Brasil</w:t>
      </w:r>
    </w:p>
    <w:p w:rsidR="00A91BB0" w:rsidRPr="00053375" w:rsidRDefault="00A91BB0">
      <w:pPr>
        <w:contextualSpacing/>
        <w:rPr>
          <w:sz w:val="18"/>
          <w:szCs w:val="18"/>
          <w:lang w:val="es-ES_tradnl"/>
        </w:rPr>
      </w:pPr>
      <w:r w:rsidRPr="00053375">
        <w:rPr>
          <w:sz w:val="18"/>
          <w:szCs w:val="18"/>
          <w:lang w:val="es-ES_tradnl"/>
        </w:rPr>
        <w:t>6 - Uruguay</w:t>
      </w:r>
    </w:p>
    <w:p w:rsidR="00A91BB0" w:rsidRPr="00053375" w:rsidRDefault="00A91BB0">
      <w:pPr>
        <w:contextualSpacing/>
        <w:rPr>
          <w:sz w:val="18"/>
          <w:szCs w:val="18"/>
          <w:lang w:val="es-ES_tradnl"/>
        </w:rPr>
      </w:pPr>
      <w:r w:rsidRPr="00053375">
        <w:rPr>
          <w:sz w:val="18"/>
          <w:szCs w:val="18"/>
          <w:lang w:val="es-ES_tradnl"/>
        </w:rPr>
        <w:t>7 - Chile</w:t>
      </w:r>
    </w:p>
    <w:p w:rsidR="00A91BB0" w:rsidRPr="00053375" w:rsidRDefault="00A91BB0">
      <w:pPr>
        <w:contextualSpacing/>
        <w:rPr>
          <w:sz w:val="18"/>
          <w:szCs w:val="18"/>
          <w:lang w:val="es-ES_tradnl"/>
        </w:rPr>
      </w:pPr>
      <w:r w:rsidRPr="00053375">
        <w:rPr>
          <w:sz w:val="18"/>
          <w:szCs w:val="18"/>
          <w:lang w:val="es-ES_tradnl"/>
        </w:rPr>
        <w:t>8 - Ecuador</w:t>
      </w:r>
    </w:p>
    <w:p w:rsidR="00A91BB0" w:rsidRPr="00053375" w:rsidRDefault="00A91BB0">
      <w:pPr>
        <w:contextualSpacing/>
        <w:rPr>
          <w:sz w:val="18"/>
          <w:szCs w:val="18"/>
          <w:lang w:val="es-ES_tradnl"/>
        </w:rPr>
      </w:pPr>
      <w:r w:rsidRPr="00053375">
        <w:rPr>
          <w:sz w:val="18"/>
          <w:szCs w:val="18"/>
          <w:lang w:val="es-ES_tradnl"/>
        </w:rPr>
        <w:t>9 - Antigua y Barbuda</w:t>
      </w:r>
    </w:p>
    <w:p w:rsidR="00A91BB0" w:rsidRPr="00053375" w:rsidRDefault="00A91BB0" w:rsidP="00C4450E">
      <w:pPr>
        <w:contextualSpacing/>
        <w:rPr>
          <w:sz w:val="18"/>
          <w:szCs w:val="18"/>
          <w:lang w:val="es-ES_tradnl"/>
        </w:rPr>
      </w:pPr>
      <w:r w:rsidRPr="00053375">
        <w:rPr>
          <w:sz w:val="18"/>
          <w:szCs w:val="18"/>
          <w:lang w:val="es-ES_tradnl"/>
        </w:rPr>
        <w:t>10 - República Dominicana</w:t>
      </w:r>
    </w:p>
    <w:p w:rsidR="00A91BB0" w:rsidRPr="00053375" w:rsidRDefault="00A91BB0" w:rsidP="003C2EAC">
      <w:pPr>
        <w:contextualSpacing/>
        <w:rPr>
          <w:sz w:val="18"/>
          <w:szCs w:val="18"/>
          <w:lang w:val="es-ES_tradnl"/>
        </w:rPr>
      </w:pPr>
      <w:r w:rsidRPr="00053375">
        <w:rPr>
          <w:sz w:val="18"/>
          <w:szCs w:val="18"/>
          <w:lang w:val="es-ES_tradnl"/>
        </w:rPr>
        <w:t>11 - Panamá</w:t>
      </w:r>
    </w:p>
    <w:p w:rsidR="00A91BB0" w:rsidRPr="00053375" w:rsidRDefault="00A91BB0" w:rsidP="00C4450E">
      <w:pPr>
        <w:contextualSpacing/>
        <w:rPr>
          <w:sz w:val="18"/>
          <w:szCs w:val="18"/>
          <w:lang w:val="es-ES_tradnl"/>
        </w:rPr>
      </w:pPr>
      <w:r w:rsidRPr="00053375">
        <w:rPr>
          <w:sz w:val="18"/>
          <w:szCs w:val="18"/>
          <w:lang w:val="es-ES_tradnl"/>
        </w:rPr>
        <w:t>12 - Costa Rica</w:t>
      </w:r>
    </w:p>
    <w:p w:rsidR="00A91BB0" w:rsidRPr="00053375" w:rsidRDefault="00A91BB0" w:rsidP="00C4450E">
      <w:pPr>
        <w:contextualSpacing/>
        <w:rPr>
          <w:sz w:val="18"/>
          <w:szCs w:val="18"/>
          <w:lang w:val="es-ES_tradnl"/>
        </w:rPr>
      </w:pPr>
      <w:r w:rsidRPr="00053375">
        <w:rPr>
          <w:sz w:val="18"/>
          <w:szCs w:val="18"/>
          <w:lang w:val="es-ES_tradnl"/>
        </w:rPr>
        <w:t>13 -</w:t>
      </w:r>
      <w:r>
        <w:rPr>
          <w:sz w:val="18"/>
          <w:szCs w:val="18"/>
          <w:lang w:val="es-ES_tradnl"/>
        </w:rPr>
        <w:t xml:space="preserve"> </w:t>
      </w:r>
      <w:r w:rsidRPr="00053375">
        <w:rPr>
          <w:sz w:val="18"/>
          <w:szCs w:val="18"/>
          <w:lang w:val="es-ES_tradnl"/>
        </w:rPr>
        <w:t>Argentina</w:t>
      </w:r>
    </w:p>
    <w:p w:rsidR="00A91BB0" w:rsidRPr="00053375" w:rsidRDefault="00A91BB0" w:rsidP="00C4450E">
      <w:pPr>
        <w:contextualSpacing/>
        <w:rPr>
          <w:sz w:val="18"/>
          <w:szCs w:val="18"/>
          <w:lang w:val="es-ES_tradnl"/>
        </w:rPr>
      </w:pPr>
      <w:r w:rsidRPr="00053375">
        <w:rPr>
          <w:sz w:val="18"/>
          <w:szCs w:val="18"/>
          <w:lang w:val="es-ES_tradnl"/>
        </w:rPr>
        <w:t>14 - México</w:t>
      </w:r>
    </w:p>
    <w:p w:rsidR="00A91BB0" w:rsidRPr="00053375" w:rsidRDefault="00A91BB0" w:rsidP="00C4450E">
      <w:pPr>
        <w:contextualSpacing/>
        <w:rPr>
          <w:sz w:val="18"/>
          <w:szCs w:val="18"/>
          <w:lang w:val="es-ES_tradnl"/>
        </w:rPr>
      </w:pPr>
      <w:r w:rsidRPr="00053375">
        <w:rPr>
          <w:sz w:val="18"/>
          <w:szCs w:val="18"/>
          <w:lang w:val="es-ES_tradnl"/>
        </w:rPr>
        <w:t>15 - Bolivia</w:t>
      </w:r>
    </w:p>
    <w:p w:rsidR="00A91BB0" w:rsidRPr="00053375" w:rsidRDefault="00A91BB0" w:rsidP="00C4450E">
      <w:pPr>
        <w:contextualSpacing/>
        <w:rPr>
          <w:sz w:val="18"/>
          <w:szCs w:val="18"/>
          <w:lang w:val="es-ES_tradnl"/>
        </w:rPr>
      </w:pPr>
      <w:r w:rsidRPr="00053375">
        <w:rPr>
          <w:sz w:val="18"/>
          <w:szCs w:val="18"/>
          <w:lang w:val="es-ES_tradnl"/>
        </w:rPr>
        <w:t>16 - El Salvador</w:t>
      </w:r>
    </w:p>
    <w:p w:rsidR="00A91BB0" w:rsidRPr="00053375" w:rsidRDefault="00A91BB0" w:rsidP="00C4450E">
      <w:pPr>
        <w:contextualSpacing/>
        <w:rPr>
          <w:sz w:val="18"/>
          <w:szCs w:val="18"/>
          <w:lang w:val="es-ES_tradnl"/>
        </w:rPr>
      </w:pPr>
      <w:r w:rsidRPr="00053375">
        <w:rPr>
          <w:sz w:val="18"/>
          <w:szCs w:val="18"/>
          <w:lang w:val="es-ES_tradnl"/>
        </w:rPr>
        <w:t>17 - Paraguay</w:t>
      </w:r>
    </w:p>
    <w:p w:rsidR="00A91BB0" w:rsidRPr="00053375" w:rsidRDefault="00A91BB0" w:rsidP="00C4450E">
      <w:pPr>
        <w:contextualSpacing/>
        <w:rPr>
          <w:sz w:val="18"/>
          <w:szCs w:val="18"/>
          <w:lang w:val="es-ES_tradnl"/>
        </w:rPr>
      </w:pPr>
      <w:r w:rsidRPr="00053375">
        <w:rPr>
          <w:sz w:val="18"/>
          <w:szCs w:val="18"/>
          <w:lang w:val="es-ES_tradnl"/>
        </w:rPr>
        <w:t>18 - Colombia</w:t>
      </w:r>
    </w:p>
    <w:p w:rsidR="00A91BB0" w:rsidRPr="00053375" w:rsidRDefault="00A91BB0" w:rsidP="00C4450E">
      <w:pPr>
        <w:contextualSpacing/>
        <w:rPr>
          <w:sz w:val="18"/>
          <w:szCs w:val="18"/>
          <w:lang w:val="es-ES_tradnl"/>
        </w:rPr>
      </w:pPr>
      <w:r w:rsidRPr="00053375">
        <w:rPr>
          <w:sz w:val="18"/>
          <w:szCs w:val="18"/>
          <w:lang w:val="es-ES_tradnl"/>
        </w:rPr>
        <w:t>19 - Venezuela</w:t>
      </w:r>
    </w:p>
    <w:p w:rsidR="00A91BB0" w:rsidRPr="00053375" w:rsidRDefault="00A91BB0" w:rsidP="00C4450E">
      <w:pPr>
        <w:contextualSpacing/>
        <w:rPr>
          <w:sz w:val="18"/>
          <w:szCs w:val="18"/>
          <w:lang w:val="es-ES_tradnl"/>
        </w:rPr>
      </w:pPr>
      <w:r w:rsidRPr="00053375">
        <w:rPr>
          <w:sz w:val="18"/>
          <w:szCs w:val="18"/>
          <w:lang w:val="es-ES_tradnl"/>
        </w:rPr>
        <w:t>20 - Guatemala</w:t>
      </w:r>
    </w:p>
    <w:p w:rsidR="00A91BB0" w:rsidRPr="00053375" w:rsidRDefault="00A91BB0" w:rsidP="00C4450E">
      <w:pPr>
        <w:contextualSpacing/>
        <w:rPr>
          <w:sz w:val="18"/>
          <w:szCs w:val="18"/>
          <w:lang w:val="es-ES_tradnl"/>
        </w:rPr>
      </w:pPr>
      <w:r w:rsidRPr="00053375">
        <w:rPr>
          <w:sz w:val="18"/>
          <w:szCs w:val="18"/>
          <w:lang w:val="es-ES_tradnl"/>
        </w:rPr>
        <w:t>21 - Honduras</w:t>
      </w:r>
    </w:p>
    <w:p w:rsidR="00A91BB0" w:rsidRPr="00053375" w:rsidRDefault="00A91BB0" w:rsidP="00C4450E">
      <w:pPr>
        <w:contextualSpacing/>
        <w:rPr>
          <w:sz w:val="18"/>
          <w:szCs w:val="18"/>
          <w:lang w:val="es-ES_tradnl"/>
        </w:rPr>
      </w:pPr>
      <w:r w:rsidRPr="00053375">
        <w:rPr>
          <w:sz w:val="18"/>
          <w:szCs w:val="18"/>
          <w:lang w:val="es-ES_tradnl"/>
        </w:rPr>
        <w:t>22 - Perú</w:t>
      </w:r>
    </w:p>
    <w:p w:rsidR="00A91BB0" w:rsidRPr="00053375" w:rsidRDefault="00A91BB0" w:rsidP="00C4450E">
      <w:pPr>
        <w:contextualSpacing/>
        <w:rPr>
          <w:sz w:val="18"/>
          <w:szCs w:val="18"/>
          <w:lang w:val="es-ES_tradnl"/>
        </w:rPr>
      </w:pPr>
      <w:r w:rsidRPr="00053375">
        <w:rPr>
          <w:sz w:val="18"/>
          <w:szCs w:val="18"/>
          <w:lang w:val="es-ES_tradnl"/>
        </w:rPr>
        <w:t>23 - Jamaica</w:t>
      </w:r>
    </w:p>
    <w:p w:rsidR="00A91BB0" w:rsidRPr="00053375" w:rsidRDefault="00A91BB0" w:rsidP="00C4450E">
      <w:pPr>
        <w:contextualSpacing/>
        <w:rPr>
          <w:sz w:val="18"/>
          <w:szCs w:val="18"/>
          <w:lang w:val="es-ES_tradnl"/>
        </w:rPr>
      </w:pPr>
      <w:r w:rsidRPr="00053375">
        <w:rPr>
          <w:sz w:val="18"/>
          <w:szCs w:val="18"/>
          <w:lang w:val="es-ES_tradnl"/>
        </w:rPr>
        <w:t xml:space="preserve">24 - Trinidad y </w:t>
      </w:r>
      <w:proofErr w:type="spellStart"/>
      <w:r w:rsidRPr="00053375">
        <w:rPr>
          <w:sz w:val="18"/>
          <w:szCs w:val="18"/>
          <w:lang w:val="es-ES_tradnl"/>
        </w:rPr>
        <w:t>Tabago</w:t>
      </w:r>
      <w:proofErr w:type="spellEnd"/>
    </w:p>
    <w:p w:rsidR="00A91BB0" w:rsidRPr="00053375" w:rsidRDefault="00A91BB0" w:rsidP="00C4450E">
      <w:pPr>
        <w:contextualSpacing/>
        <w:rPr>
          <w:sz w:val="18"/>
          <w:szCs w:val="18"/>
          <w:lang w:val="es-ES_tradnl"/>
        </w:rPr>
      </w:pPr>
      <w:r w:rsidRPr="00053375">
        <w:rPr>
          <w:sz w:val="18"/>
          <w:szCs w:val="18"/>
          <w:lang w:val="es-ES_tradnl"/>
        </w:rPr>
        <w:t>25 - Nicaragua</w:t>
      </w:r>
    </w:p>
    <w:p w:rsidR="00A91BB0" w:rsidRPr="00053375" w:rsidRDefault="00A91BB0" w:rsidP="00C4450E">
      <w:pPr>
        <w:contextualSpacing/>
        <w:rPr>
          <w:sz w:val="18"/>
          <w:szCs w:val="18"/>
          <w:lang w:val="es-ES_tradnl"/>
        </w:rPr>
      </w:pPr>
      <w:r w:rsidRPr="00053375">
        <w:rPr>
          <w:sz w:val="18"/>
          <w:szCs w:val="18"/>
          <w:lang w:val="es-ES_tradnl"/>
        </w:rPr>
        <w:t>26 - Haití</w:t>
      </w:r>
    </w:p>
    <w:p w:rsidR="00A91BB0" w:rsidRPr="00053375" w:rsidRDefault="00A91BB0" w:rsidP="00C4450E">
      <w:pPr>
        <w:contextualSpacing/>
        <w:rPr>
          <w:sz w:val="18"/>
          <w:szCs w:val="18"/>
          <w:lang w:val="es-ES_tradnl"/>
        </w:rPr>
      </w:pPr>
      <w:r w:rsidRPr="00053375">
        <w:rPr>
          <w:sz w:val="18"/>
          <w:szCs w:val="18"/>
          <w:lang w:val="es-ES_tradnl"/>
        </w:rPr>
        <w:t>27 - Belice</w:t>
      </w:r>
    </w:p>
    <w:p w:rsidR="00A91BB0" w:rsidRPr="00053375" w:rsidRDefault="00A91BB0" w:rsidP="00C4450E">
      <w:pPr>
        <w:contextualSpacing/>
        <w:rPr>
          <w:sz w:val="18"/>
          <w:szCs w:val="18"/>
          <w:lang w:val="es-ES_tradnl"/>
        </w:rPr>
      </w:pPr>
      <w:r w:rsidRPr="00053375">
        <w:rPr>
          <w:sz w:val="18"/>
          <w:szCs w:val="18"/>
          <w:lang w:val="es-ES_tradnl"/>
        </w:rPr>
        <w:t xml:space="preserve">28 - </w:t>
      </w:r>
      <w:proofErr w:type="spellStart"/>
      <w:r w:rsidRPr="00053375">
        <w:rPr>
          <w:sz w:val="18"/>
          <w:szCs w:val="18"/>
          <w:lang w:val="es-ES_tradnl"/>
        </w:rPr>
        <w:t>Suriname</w:t>
      </w:r>
      <w:proofErr w:type="spellEnd"/>
    </w:p>
    <w:p w:rsidR="00A91BB0" w:rsidRPr="00053375" w:rsidRDefault="00A91BB0" w:rsidP="00C4450E">
      <w:pPr>
        <w:contextualSpacing/>
        <w:rPr>
          <w:sz w:val="18"/>
          <w:szCs w:val="18"/>
          <w:lang w:val="es-ES_tradnl"/>
        </w:rPr>
      </w:pPr>
      <w:r w:rsidRPr="00053375">
        <w:rPr>
          <w:sz w:val="18"/>
          <w:szCs w:val="18"/>
          <w:lang w:val="es-ES_tradnl"/>
        </w:rPr>
        <w:t>29 - Bahamas</w:t>
      </w:r>
    </w:p>
    <w:p w:rsidR="00A91BB0" w:rsidRPr="00053375" w:rsidRDefault="00A91BB0" w:rsidP="00C4450E">
      <w:pPr>
        <w:contextualSpacing/>
        <w:rPr>
          <w:sz w:val="18"/>
          <w:szCs w:val="18"/>
          <w:lang w:val="es-ES_tradnl"/>
        </w:rPr>
      </w:pPr>
      <w:r w:rsidRPr="00053375">
        <w:rPr>
          <w:sz w:val="18"/>
          <w:szCs w:val="18"/>
          <w:lang w:val="es-ES_tradnl"/>
        </w:rPr>
        <w:t>30 - San Vicente y las Granadinas</w:t>
      </w:r>
    </w:p>
    <w:p w:rsidR="00A91BB0" w:rsidRPr="00053375" w:rsidRDefault="00A91BB0" w:rsidP="00C4450E">
      <w:pPr>
        <w:contextualSpacing/>
        <w:rPr>
          <w:sz w:val="18"/>
          <w:szCs w:val="18"/>
          <w:lang w:val="es-ES_tradnl"/>
        </w:rPr>
      </w:pPr>
      <w:r w:rsidRPr="00053375">
        <w:rPr>
          <w:sz w:val="18"/>
          <w:szCs w:val="18"/>
          <w:lang w:val="es-ES_tradnl"/>
        </w:rPr>
        <w:t>31 - Santa Lucía</w:t>
      </w:r>
    </w:p>
    <w:p w:rsidR="00A91BB0" w:rsidRPr="00053375" w:rsidRDefault="00A91BB0" w:rsidP="00C4450E">
      <w:pPr>
        <w:contextualSpacing/>
        <w:rPr>
          <w:sz w:val="18"/>
          <w:szCs w:val="18"/>
          <w:lang w:val="es-ES_tradnl"/>
        </w:rPr>
      </w:pPr>
      <w:r w:rsidRPr="00053375">
        <w:rPr>
          <w:sz w:val="18"/>
          <w:szCs w:val="18"/>
          <w:lang w:val="es-ES_tradnl"/>
        </w:rPr>
        <w:t xml:space="preserve">32 - Saint </w:t>
      </w:r>
      <w:proofErr w:type="spellStart"/>
      <w:r w:rsidRPr="00053375">
        <w:rPr>
          <w:sz w:val="18"/>
          <w:szCs w:val="18"/>
          <w:lang w:val="es-ES_tradnl"/>
        </w:rPr>
        <w:t>Kitts</w:t>
      </w:r>
      <w:proofErr w:type="spellEnd"/>
      <w:r w:rsidRPr="00053375">
        <w:rPr>
          <w:sz w:val="18"/>
          <w:szCs w:val="18"/>
          <w:lang w:val="es-ES_tradnl"/>
        </w:rPr>
        <w:t xml:space="preserve"> y </w:t>
      </w:r>
      <w:proofErr w:type="spellStart"/>
      <w:r w:rsidRPr="00053375">
        <w:rPr>
          <w:sz w:val="18"/>
          <w:szCs w:val="18"/>
          <w:lang w:val="es-ES_tradnl"/>
        </w:rPr>
        <w:t>Nevis</w:t>
      </w:r>
      <w:proofErr w:type="spellEnd"/>
    </w:p>
    <w:p w:rsidR="00A91BB0" w:rsidRPr="00053375" w:rsidRDefault="00A91BB0" w:rsidP="00C4450E">
      <w:pPr>
        <w:contextualSpacing/>
        <w:rPr>
          <w:sz w:val="18"/>
          <w:szCs w:val="18"/>
          <w:lang w:val="es-ES_tradnl"/>
        </w:rPr>
      </w:pPr>
      <w:r w:rsidRPr="00053375">
        <w:rPr>
          <w:sz w:val="18"/>
          <w:szCs w:val="18"/>
          <w:lang w:val="es-ES_tradnl"/>
        </w:rPr>
        <w:t>33 - Guyana</w:t>
      </w:r>
    </w:p>
    <w:p w:rsidR="00A91BB0" w:rsidRPr="00053375" w:rsidRDefault="00A91BB0" w:rsidP="00C4450E">
      <w:pPr>
        <w:contextualSpacing/>
        <w:rPr>
          <w:sz w:val="18"/>
          <w:szCs w:val="18"/>
          <w:lang w:val="es-ES_tradnl"/>
        </w:rPr>
      </w:pPr>
      <w:r w:rsidRPr="00053375">
        <w:rPr>
          <w:sz w:val="18"/>
          <w:szCs w:val="18"/>
          <w:lang w:val="es-ES_tradnl"/>
        </w:rPr>
        <w:t>34 - Granada</w:t>
      </w:r>
    </w:p>
    <w:p w:rsidR="00A91BB0" w:rsidRPr="00053375" w:rsidRDefault="00A91BB0" w:rsidP="00C4450E">
      <w:pPr>
        <w:contextualSpacing/>
        <w:rPr>
          <w:sz w:val="18"/>
          <w:szCs w:val="18"/>
          <w:lang w:val="es-ES_tradnl"/>
        </w:rPr>
      </w:pPr>
      <w:r w:rsidRPr="00053375">
        <w:rPr>
          <w:sz w:val="18"/>
          <w:szCs w:val="18"/>
          <w:lang w:val="es-ES_tradnl"/>
        </w:rPr>
        <w:t>35 - Dominica</w:t>
      </w:r>
    </w:p>
    <w:p w:rsidR="00A91BB0" w:rsidRPr="00053375" w:rsidRDefault="00A91BB0" w:rsidP="00C4450E">
      <w:pPr>
        <w:contextualSpacing/>
        <w:rPr>
          <w:sz w:val="18"/>
          <w:szCs w:val="18"/>
          <w:lang w:val="es-ES_tradnl"/>
        </w:rPr>
      </w:pPr>
      <w:r w:rsidRPr="00053375">
        <w:rPr>
          <w:sz w:val="18"/>
          <w:szCs w:val="18"/>
          <w:lang w:val="es-ES_tradnl"/>
        </w:rPr>
        <w:t>36 - Cuba</w:t>
      </w:r>
    </w:p>
    <w:p w:rsidR="00A91BB0" w:rsidRPr="00053375" w:rsidRDefault="00A91BB0" w:rsidP="00F60529">
      <w:pPr>
        <w:contextualSpacing/>
        <w:rPr>
          <w:sz w:val="18"/>
          <w:szCs w:val="18"/>
          <w:lang w:val="es-ES_tradnl"/>
        </w:rPr>
      </w:pPr>
      <w:r w:rsidRPr="00053375">
        <w:rPr>
          <w:sz w:val="18"/>
          <w:szCs w:val="18"/>
          <w:lang w:val="es-ES_tradnl"/>
        </w:rPr>
        <w:t>37 - Por 100 habitantes</w:t>
      </w:r>
    </w:p>
    <w:p w:rsidR="00A91BB0" w:rsidRPr="00053375" w:rsidRDefault="00A91BB0" w:rsidP="00C4450E">
      <w:pPr>
        <w:contextualSpacing/>
        <w:rPr>
          <w:sz w:val="18"/>
          <w:szCs w:val="18"/>
          <w:lang w:val="es-ES_tradnl"/>
        </w:rPr>
      </w:pPr>
    </w:p>
    <w:p w:rsidR="00A91BB0" w:rsidRPr="00053375" w:rsidRDefault="00A91BB0" w:rsidP="00C4450E">
      <w:pPr>
        <w:contextualSpacing/>
        <w:rPr>
          <w:sz w:val="18"/>
          <w:szCs w:val="18"/>
          <w:lang w:val="es-ES_tradnl"/>
        </w:rPr>
      </w:pPr>
      <w:r w:rsidRPr="00053375">
        <w:rPr>
          <w:sz w:val="18"/>
          <w:szCs w:val="18"/>
          <w:lang w:val="es-ES_tradnl"/>
        </w:rPr>
        <w:t>Leyenda</w:t>
      </w:r>
      <w:r>
        <w:rPr>
          <w:sz w:val="18"/>
          <w:szCs w:val="18"/>
          <w:lang w:val="es-ES_tradnl"/>
        </w:rPr>
        <w:t>s</w:t>
      </w:r>
      <w:r w:rsidRPr="00053375">
        <w:rPr>
          <w:sz w:val="18"/>
          <w:szCs w:val="18"/>
          <w:lang w:val="es-ES_tradnl"/>
        </w:rPr>
        <w:t xml:space="preserve"> de la Figura inferior:</w:t>
      </w:r>
    </w:p>
    <w:p w:rsidR="00A91BB0" w:rsidRPr="00053375" w:rsidRDefault="00A91BB0" w:rsidP="003C2EAC">
      <w:pPr>
        <w:contextualSpacing/>
        <w:rPr>
          <w:sz w:val="18"/>
          <w:szCs w:val="18"/>
          <w:lang w:val="es-ES_tradnl"/>
        </w:rPr>
      </w:pPr>
      <w:r w:rsidRPr="00053375">
        <w:rPr>
          <w:sz w:val="18"/>
          <w:szCs w:val="18"/>
          <w:lang w:val="es-ES_tradnl"/>
        </w:rPr>
        <w:t>1 - Por 100 habitantes</w:t>
      </w:r>
    </w:p>
    <w:p w:rsidR="00A91BB0" w:rsidRPr="00053375" w:rsidRDefault="00A91BB0" w:rsidP="00C4450E">
      <w:pPr>
        <w:contextualSpacing/>
        <w:rPr>
          <w:sz w:val="18"/>
          <w:szCs w:val="18"/>
          <w:lang w:val="es-ES_tradnl"/>
        </w:rPr>
      </w:pPr>
      <w:r w:rsidRPr="00053375">
        <w:rPr>
          <w:sz w:val="18"/>
          <w:szCs w:val="18"/>
          <w:lang w:val="es-ES_tradnl"/>
        </w:rPr>
        <w:t>2 - África</w:t>
      </w:r>
    </w:p>
    <w:p w:rsidR="00A91BB0" w:rsidRPr="00053375" w:rsidRDefault="00A91BB0" w:rsidP="00C4450E">
      <w:pPr>
        <w:contextualSpacing/>
        <w:rPr>
          <w:sz w:val="18"/>
          <w:szCs w:val="18"/>
          <w:lang w:val="es-ES_tradnl"/>
        </w:rPr>
      </w:pPr>
      <w:r w:rsidRPr="00053375">
        <w:rPr>
          <w:sz w:val="18"/>
          <w:szCs w:val="18"/>
          <w:lang w:val="es-ES_tradnl"/>
        </w:rPr>
        <w:t>3 - Estados Árabes</w:t>
      </w:r>
    </w:p>
    <w:p w:rsidR="00A91BB0" w:rsidRPr="00053375" w:rsidRDefault="00A91BB0" w:rsidP="00C4450E">
      <w:pPr>
        <w:contextualSpacing/>
        <w:rPr>
          <w:sz w:val="18"/>
          <w:szCs w:val="18"/>
          <w:lang w:val="es-ES_tradnl"/>
        </w:rPr>
      </w:pPr>
      <w:r w:rsidRPr="00053375">
        <w:rPr>
          <w:sz w:val="18"/>
          <w:szCs w:val="18"/>
          <w:lang w:val="es-ES_tradnl"/>
        </w:rPr>
        <w:t>4 - Asia y  el Pacífico</w:t>
      </w:r>
    </w:p>
    <w:p w:rsidR="00A91BB0" w:rsidRPr="00053375" w:rsidRDefault="00A91BB0" w:rsidP="00C4450E">
      <w:pPr>
        <w:contextualSpacing/>
        <w:rPr>
          <w:sz w:val="18"/>
          <w:szCs w:val="18"/>
          <w:lang w:val="es-ES_tradnl"/>
        </w:rPr>
      </w:pPr>
      <w:r w:rsidRPr="00053375">
        <w:rPr>
          <w:sz w:val="18"/>
          <w:szCs w:val="18"/>
          <w:lang w:val="es-ES_tradnl"/>
        </w:rPr>
        <w:t>5 - CEI</w:t>
      </w:r>
    </w:p>
    <w:p w:rsidR="00A91BB0" w:rsidRPr="00053375" w:rsidRDefault="00A91BB0" w:rsidP="00C4450E">
      <w:pPr>
        <w:contextualSpacing/>
        <w:rPr>
          <w:sz w:val="18"/>
          <w:szCs w:val="18"/>
          <w:lang w:val="es-ES_tradnl"/>
        </w:rPr>
      </w:pPr>
      <w:r w:rsidRPr="00053375">
        <w:rPr>
          <w:sz w:val="18"/>
          <w:szCs w:val="18"/>
          <w:lang w:val="es-ES_tradnl"/>
        </w:rPr>
        <w:t>6 - Las Américas</w:t>
      </w:r>
    </w:p>
    <w:p w:rsidR="00A91BB0" w:rsidRPr="00053375" w:rsidRDefault="00A91BB0" w:rsidP="00C4450E">
      <w:pPr>
        <w:contextualSpacing/>
        <w:rPr>
          <w:sz w:val="18"/>
          <w:szCs w:val="18"/>
          <w:lang w:val="es-ES_tradnl"/>
        </w:rPr>
      </w:pPr>
      <w:r w:rsidRPr="00053375">
        <w:rPr>
          <w:sz w:val="18"/>
          <w:szCs w:val="18"/>
          <w:lang w:val="es-ES_tradnl"/>
        </w:rPr>
        <w:t>7 - América Latina y el Caribe</w:t>
      </w:r>
    </w:p>
    <w:p w:rsidR="00A91BB0" w:rsidRPr="00053375" w:rsidRDefault="00A91BB0" w:rsidP="00C4450E">
      <w:pPr>
        <w:contextualSpacing/>
        <w:rPr>
          <w:sz w:val="18"/>
          <w:szCs w:val="18"/>
          <w:lang w:val="es-ES_tradnl"/>
        </w:rPr>
      </w:pPr>
      <w:r w:rsidRPr="00053375">
        <w:rPr>
          <w:sz w:val="18"/>
          <w:szCs w:val="18"/>
          <w:lang w:val="es-ES_tradnl"/>
        </w:rPr>
        <w:t>8 - Europa</w:t>
      </w:r>
    </w:p>
    <w:p w:rsidR="00A91BB0" w:rsidRPr="00053375" w:rsidRDefault="00A91BB0" w:rsidP="00C4450E">
      <w:pPr>
        <w:contextualSpacing/>
        <w:rPr>
          <w:sz w:val="18"/>
          <w:szCs w:val="18"/>
          <w:lang w:val="es-ES_tradnl"/>
        </w:rPr>
      </w:pPr>
      <w:r w:rsidRPr="00053375">
        <w:rPr>
          <w:sz w:val="18"/>
          <w:szCs w:val="18"/>
          <w:lang w:val="es-ES_tradnl"/>
        </w:rPr>
        <w:t>9 - Países en desarrollo</w:t>
      </w:r>
    </w:p>
    <w:p w:rsidR="00A91BB0" w:rsidRPr="00053375" w:rsidRDefault="00A91BB0" w:rsidP="00C4450E">
      <w:pPr>
        <w:contextualSpacing/>
        <w:rPr>
          <w:sz w:val="18"/>
          <w:szCs w:val="18"/>
          <w:lang w:val="es-ES_tradnl"/>
        </w:rPr>
      </w:pPr>
      <w:r w:rsidRPr="00053375">
        <w:rPr>
          <w:sz w:val="18"/>
          <w:szCs w:val="18"/>
          <w:lang w:val="es-ES_tradnl"/>
        </w:rPr>
        <w:t>10 - Mundo</w:t>
      </w:r>
    </w:p>
    <w:p w:rsidR="00A91BB0" w:rsidRPr="00053375" w:rsidRDefault="00A91BB0" w:rsidP="00F60529">
      <w:pPr>
        <w:contextualSpacing/>
        <w:rPr>
          <w:sz w:val="18"/>
          <w:szCs w:val="18"/>
          <w:lang w:val="es-ES_tradnl"/>
        </w:rPr>
      </w:pPr>
      <w:r w:rsidRPr="00053375">
        <w:rPr>
          <w:sz w:val="18"/>
          <w:szCs w:val="18"/>
          <w:lang w:val="es-ES_tradnl"/>
        </w:rPr>
        <w:t>11 - Países desarrollados</w:t>
      </w:r>
    </w:p>
    <w:p w:rsidR="00A91BB0" w:rsidRPr="00053375" w:rsidRDefault="00A91BB0" w:rsidP="00C4450E">
      <w:pPr>
        <w:contextualSpacing/>
        <w:rPr>
          <w:sz w:val="18"/>
          <w:szCs w:val="18"/>
          <w:lang w:val="es-ES_tradnl"/>
        </w:rPr>
      </w:pPr>
    </w:p>
    <w:p w:rsidR="00A91BB0" w:rsidRPr="00053375" w:rsidRDefault="00A91BB0" w:rsidP="00F60529">
      <w:pPr>
        <w:spacing w:before="120" w:after="0" w:line="240" w:lineRule="auto"/>
        <w:rPr>
          <w:lang w:val="es-ES_tradnl"/>
        </w:rPr>
      </w:pPr>
      <w:r w:rsidRPr="00053375">
        <w:rPr>
          <w:lang w:val="es-ES_tradnl"/>
        </w:rPr>
        <w:t xml:space="preserve">A finales de 2013, la tasa de penetración de la banda ancha fija (cableada) en la Región de las Américas es relativamente alta, del 17,1%, está por encima de la media mundial, que es del 9,8%, y prácticamente triplica la media de los países en desarrollo y supera en más de dos veces los resultados de la Región de Asia y el Pacífico. No obstante, la media en la subregión de América Latina </w:t>
      </w:r>
      <w:r w:rsidRPr="00053375">
        <w:rPr>
          <w:lang w:val="es-ES_tradnl"/>
        </w:rPr>
        <w:lastRenderedPageBreak/>
        <w:t>y el Caribe, del 9,9%, s</w:t>
      </w:r>
      <w:r>
        <w:rPr>
          <w:lang w:val="es-ES_tradnl"/>
        </w:rPr>
        <w:t>ó</w:t>
      </w:r>
      <w:r w:rsidRPr="00053375">
        <w:rPr>
          <w:lang w:val="es-ES_tradnl"/>
        </w:rPr>
        <w:t xml:space="preserve">lo es ligeramente superior a la mundial. Las tasas de penetración más elevadas se dan fuera de esta subregión, y más concretamente en los dos países desarrollados de la región: el Canadá (32,9% en 2012) y los Estados Unidos de América (28% en 2012). La tasa de penetración de la banda ancha fija (cableada) en el Uruguay en 2012, del 16,6%, también estaba por encima de la media mundial y de la de los países en desarrollo. En varios países que han puesto en marcha servicios de 3G, el acceso por banda ancha fija (cableada) </w:t>
      </w:r>
      <w:r>
        <w:rPr>
          <w:lang w:val="es-ES_tradnl"/>
        </w:rPr>
        <w:t xml:space="preserve">sigue </w:t>
      </w:r>
      <w:r w:rsidRPr="00053375">
        <w:rPr>
          <w:lang w:val="es-ES_tradnl"/>
        </w:rPr>
        <w:t xml:space="preserve">siendo la solución dominante. Perú, Colombia y Venezuela tienen una tasa de penetración de la banda ancha móvil relativamente baja y, en cambio, una tasa de penetración de la banda ancha fija (cableada) mayor. En México, las tasas de penetración de la banda ancha fija (cableada) y de la banda ancha móvil son similares, y ambas rondaban el 10% en 2012 (Figura 2.5).  </w:t>
      </w:r>
    </w:p>
    <w:p w:rsidR="00A91BB0" w:rsidRPr="00053375" w:rsidRDefault="00A91BB0" w:rsidP="00A7049A">
      <w:pPr>
        <w:spacing w:after="0" w:line="360" w:lineRule="auto"/>
        <w:jc w:val="both"/>
        <w:rPr>
          <w:lang w:val="es-ES_tradnl"/>
        </w:rPr>
      </w:pPr>
    </w:p>
    <w:p w:rsidR="00A91BB0" w:rsidRPr="00053375" w:rsidRDefault="00A91BB0" w:rsidP="00F60529">
      <w:pPr>
        <w:keepNext/>
        <w:keepLines/>
        <w:spacing w:after="0" w:line="240" w:lineRule="auto"/>
        <w:rPr>
          <w:b/>
          <w:bCs/>
          <w:lang w:val="es-ES_tradnl"/>
        </w:rPr>
      </w:pPr>
      <w:r w:rsidRPr="00053375">
        <w:rPr>
          <w:b/>
          <w:bCs/>
          <w:lang w:val="es-ES_tradnl"/>
        </w:rPr>
        <w:lastRenderedPageBreak/>
        <w:t>Figura 2.5: Abonos a banda ancha fija (cableada) en la región de las Américas, 2012 (arriba), y desglosados por región y nivel de desarrollo, 2013* (abajo)</w:t>
      </w:r>
    </w:p>
    <w:p w:rsidR="00A91BB0" w:rsidRPr="00053375" w:rsidRDefault="00A91BB0" w:rsidP="008D7CF1">
      <w:pPr>
        <w:keepNext/>
        <w:keepLines/>
        <w:spacing w:after="0" w:line="360" w:lineRule="auto"/>
        <w:jc w:val="center"/>
        <w:rPr>
          <w:b/>
          <w:bCs/>
          <w:lang w:val="es-ES_tradnl"/>
        </w:rPr>
      </w:pPr>
      <w:r w:rsidRPr="00053375">
        <w:rPr>
          <w:b/>
          <w:bCs/>
          <w:noProof/>
          <w:lang w:eastAsia="en-US"/>
        </w:rPr>
        <w:drawing>
          <wp:inline distT="0" distB="0" distL="0" distR="0" wp14:anchorId="057E0723" wp14:editId="4EE48309">
            <wp:extent cx="3000370" cy="4874150"/>
            <wp:effectExtent l="19050" t="19050" r="1016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9537" cy="4872797"/>
                    </a:xfrm>
                    <a:prstGeom prst="rect">
                      <a:avLst/>
                    </a:prstGeom>
                    <a:noFill/>
                    <a:ln w="3175">
                      <a:solidFill>
                        <a:schemeClr val="tx1"/>
                      </a:solidFill>
                    </a:ln>
                  </pic:spPr>
                </pic:pic>
              </a:graphicData>
            </a:graphic>
          </wp:inline>
        </w:drawing>
      </w:r>
      <w:r w:rsidRPr="00053375">
        <w:rPr>
          <w:b/>
          <w:bCs/>
          <w:noProof/>
          <w:lang w:eastAsia="en-US"/>
        </w:rPr>
        <w:drawing>
          <wp:inline distT="0" distB="0" distL="0" distR="0" wp14:anchorId="2F83C863" wp14:editId="6DAB48D1">
            <wp:extent cx="4060800" cy="2826000"/>
            <wp:effectExtent l="19050" t="19050" r="1651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0800" cy="2826000"/>
                    </a:xfrm>
                    <a:prstGeom prst="rect">
                      <a:avLst/>
                    </a:prstGeom>
                    <a:noFill/>
                    <a:ln w="3175">
                      <a:solidFill>
                        <a:schemeClr val="tx1"/>
                      </a:solidFill>
                    </a:ln>
                  </pic:spPr>
                </pic:pic>
              </a:graphicData>
            </a:graphic>
          </wp:inline>
        </w:drawing>
      </w:r>
    </w:p>
    <w:p w:rsidR="00A91BB0" w:rsidRPr="00053375" w:rsidRDefault="00A91BB0" w:rsidP="00F60529">
      <w:pPr>
        <w:spacing w:after="0" w:line="240" w:lineRule="auto"/>
        <w:jc w:val="both"/>
        <w:rPr>
          <w:sz w:val="18"/>
          <w:szCs w:val="18"/>
          <w:lang w:val="es-ES_tradnl"/>
        </w:rPr>
      </w:pPr>
      <w:r w:rsidRPr="00053375">
        <w:rPr>
          <w:sz w:val="18"/>
          <w:szCs w:val="18"/>
          <w:lang w:val="es-ES_tradnl"/>
        </w:rPr>
        <w:t xml:space="preserve">Origen: </w:t>
      </w:r>
      <w:r w:rsidR="00F60529" w:rsidRPr="00053375">
        <w:rPr>
          <w:sz w:val="18"/>
          <w:szCs w:val="18"/>
          <w:lang w:val="es-ES_tradnl"/>
        </w:rPr>
        <w:t>B</w:t>
      </w:r>
      <w:r w:rsidR="00F60529" w:rsidRPr="00215D37">
        <w:rPr>
          <w:sz w:val="18"/>
          <w:szCs w:val="18"/>
          <w:lang w:val="es-ES_tradnl"/>
        </w:rPr>
        <w:t>ase de datos de la UIT sobre Indicadores mundiales de las telecomunicaciones/TIC</w:t>
      </w:r>
      <w:r w:rsidRPr="00053375">
        <w:rPr>
          <w:sz w:val="18"/>
          <w:szCs w:val="18"/>
          <w:lang w:val="es-ES_tradnl"/>
        </w:rPr>
        <w:t>.</w:t>
      </w:r>
    </w:p>
    <w:p w:rsidR="00A91BB0" w:rsidRPr="00053375" w:rsidRDefault="00A91BB0" w:rsidP="00D36B24">
      <w:pPr>
        <w:spacing w:after="0" w:line="240" w:lineRule="auto"/>
        <w:jc w:val="both"/>
        <w:rPr>
          <w:sz w:val="18"/>
          <w:szCs w:val="18"/>
          <w:lang w:val="es-ES_tradnl"/>
        </w:rPr>
      </w:pPr>
      <w:r w:rsidRPr="00053375">
        <w:rPr>
          <w:sz w:val="18"/>
          <w:szCs w:val="18"/>
          <w:lang w:val="es-ES_tradnl"/>
        </w:rPr>
        <w:t>Nota: *Estimaciones. ** Se refiere a 2011 *** Se refiere a 2010. La línea roja del gráfico superior muestra la media mundial en 2012.</w:t>
      </w:r>
    </w:p>
    <w:p w:rsidR="00A91BB0" w:rsidRPr="00053375" w:rsidRDefault="00A91BB0" w:rsidP="00F60529">
      <w:pPr>
        <w:keepNext/>
        <w:spacing w:before="120" w:after="0" w:line="240" w:lineRule="auto"/>
        <w:jc w:val="both"/>
        <w:rPr>
          <w:sz w:val="18"/>
          <w:szCs w:val="18"/>
          <w:lang w:val="es-ES_tradnl"/>
        </w:rPr>
      </w:pPr>
      <w:r w:rsidRPr="00053375">
        <w:rPr>
          <w:sz w:val="18"/>
          <w:szCs w:val="18"/>
          <w:lang w:val="es-ES_tradnl"/>
        </w:rPr>
        <w:t>Leyenda</w:t>
      </w:r>
      <w:r>
        <w:rPr>
          <w:sz w:val="18"/>
          <w:szCs w:val="18"/>
          <w:lang w:val="es-ES_tradnl"/>
        </w:rPr>
        <w:t>s</w:t>
      </w:r>
      <w:r w:rsidRPr="00053375">
        <w:rPr>
          <w:sz w:val="18"/>
          <w:szCs w:val="18"/>
          <w:lang w:val="es-ES_tradnl"/>
        </w:rPr>
        <w:t xml:space="preserve"> de la Figura superior:</w:t>
      </w:r>
    </w:p>
    <w:p w:rsidR="00A91BB0" w:rsidRPr="00053375" w:rsidRDefault="00A91BB0" w:rsidP="009C1D3A">
      <w:pPr>
        <w:spacing w:after="0" w:line="240" w:lineRule="auto"/>
        <w:jc w:val="both"/>
        <w:rPr>
          <w:sz w:val="18"/>
          <w:szCs w:val="18"/>
          <w:lang w:val="es-ES_tradnl"/>
        </w:rPr>
      </w:pPr>
      <w:r w:rsidRPr="00053375">
        <w:rPr>
          <w:sz w:val="18"/>
          <w:szCs w:val="18"/>
          <w:lang w:val="es-ES_tradnl"/>
        </w:rPr>
        <w:t>1 - Canadá</w:t>
      </w:r>
    </w:p>
    <w:p w:rsidR="00A91BB0" w:rsidRPr="00053375" w:rsidRDefault="00A91BB0" w:rsidP="009C1D3A">
      <w:pPr>
        <w:spacing w:after="0" w:line="240" w:lineRule="auto"/>
        <w:jc w:val="both"/>
        <w:rPr>
          <w:sz w:val="18"/>
          <w:szCs w:val="18"/>
          <w:lang w:val="es-ES_tradnl"/>
        </w:rPr>
      </w:pPr>
      <w:r w:rsidRPr="00053375">
        <w:rPr>
          <w:sz w:val="18"/>
          <w:szCs w:val="18"/>
          <w:lang w:val="es-ES_tradnl"/>
        </w:rPr>
        <w:lastRenderedPageBreak/>
        <w:t>2 - Estados Unidos de América</w:t>
      </w:r>
    </w:p>
    <w:p w:rsidR="00A91BB0" w:rsidRPr="00053375" w:rsidRDefault="00A91BB0" w:rsidP="009C1D3A">
      <w:pPr>
        <w:spacing w:after="0" w:line="240" w:lineRule="auto"/>
        <w:jc w:val="both"/>
        <w:rPr>
          <w:sz w:val="18"/>
          <w:szCs w:val="18"/>
          <w:lang w:val="es-ES_tradnl"/>
        </w:rPr>
      </w:pPr>
      <w:r w:rsidRPr="00053375">
        <w:rPr>
          <w:sz w:val="18"/>
          <w:szCs w:val="18"/>
          <w:lang w:val="es-ES_tradnl"/>
        </w:rPr>
        <w:t xml:space="preserve">3 - Saint </w:t>
      </w:r>
      <w:proofErr w:type="spellStart"/>
      <w:r w:rsidRPr="00053375">
        <w:rPr>
          <w:sz w:val="18"/>
          <w:szCs w:val="18"/>
          <w:lang w:val="es-ES_tradnl"/>
        </w:rPr>
        <w:t>Kitts</w:t>
      </w:r>
      <w:proofErr w:type="spellEnd"/>
      <w:r w:rsidRPr="00053375">
        <w:rPr>
          <w:sz w:val="18"/>
          <w:szCs w:val="18"/>
          <w:lang w:val="es-ES_tradnl"/>
        </w:rPr>
        <w:t xml:space="preserve"> y </w:t>
      </w:r>
      <w:proofErr w:type="spellStart"/>
      <w:r w:rsidRPr="00053375">
        <w:rPr>
          <w:sz w:val="18"/>
          <w:szCs w:val="18"/>
          <w:lang w:val="es-ES_tradnl"/>
        </w:rPr>
        <w:t>Nevis</w:t>
      </w:r>
      <w:proofErr w:type="spellEnd"/>
    </w:p>
    <w:p w:rsidR="00A91BB0" w:rsidRPr="00053375" w:rsidRDefault="00A91BB0" w:rsidP="009C1D3A">
      <w:pPr>
        <w:spacing w:after="0" w:line="240" w:lineRule="auto"/>
        <w:jc w:val="both"/>
        <w:rPr>
          <w:sz w:val="18"/>
          <w:szCs w:val="18"/>
          <w:lang w:val="es-ES_tradnl"/>
        </w:rPr>
      </w:pPr>
      <w:r w:rsidRPr="00053375">
        <w:rPr>
          <w:sz w:val="18"/>
          <w:szCs w:val="18"/>
          <w:lang w:val="es-ES_tradnl"/>
        </w:rPr>
        <w:t>4 - Barbados</w:t>
      </w:r>
    </w:p>
    <w:p w:rsidR="00A91BB0" w:rsidRPr="00053375" w:rsidRDefault="00A91BB0" w:rsidP="009C1D3A">
      <w:pPr>
        <w:spacing w:after="0" w:line="240" w:lineRule="auto"/>
        <w:jc w:val="both"/>
        <w:rPr>
          <w:sz w:val="18"/>
          <w:szCs w:val="18"/>
          <w:lang w:val="es-ES_tradnl"/>
        </w:rPr>
      </w:pPr>
      <w:r w:rsidRPr="00053375">
        <w:rPr>
          <w:sz w:val="18"/>
          <w:szCs w:val="18"/>
          <w:lang w:val="es-ES_tradnl"/>
        </w:rPr>
        <w:t>5 - Uruguay</w:t>
      </w:r>
    </w:p>
    <w:p w:rsidR="00A91BB0" w:rsidRPr="00053375" w:rsidRDefault="00A91BB0" w:rsidP="009C1D3A">
      <w:pPr>
        <w:spacing w:after="0" w:line="240" w:lineRule="auto"/>
        <w:jc w:val="both"/>
        <w:rPr>
          <w:sz w:val="18"/>
          <w:szCs w:val="18"/>
          <w:lang w:val="es-ES_tradnl"/>
        </w:rPr>
      </w:pPr>
      <w:r w:rsidRPr="00053375">
        <w:rPr>
          <w:sz w:val="18"/>
          <w:szCs w:val="18"/>
          <w:lang w:val="es-ES_tradnl"/>
        </w:rPr>
        <w:t>6 - Santa Lucía</w:t>
      </w:r>
    </w:p>
    <w:p w:rsidR="00A91BB0" w:rsidRPr="00053375" w:rsidRDefault="00A91BB0" w:rsidP="009C1D3A">
      <w:pPr>
        <w:spacing w:after="0" w:line="240" w:lineRule="auto"/>
        <w:jc w:val="both"/>
        <w:rPr>
          <w:sz w:val="18"/>
          <w:szCs w:val="18"/>
          <w:lang w:val="es-ES_tradnl"/>
        </w:rPr>
      </w:pPr>
      <w:r w:rsidRPr="00053375">
        <w:rPr>
          <w:sz w:val="18"/>
          <w:szCs w:val="18"/>
          <w:lang w:val="es-ES_tradnl"/>
        </w:rPr>
        <w:t>7 - Granada</w:t>
      </w:r>
    </w:p>
    <w:p w:rsidR="00A91BB0" w:rsidRPr="00053375" w:rsidRDefault="00A91BB0" w:rsidP="003C2EAC">
      <w:pPr>
        <w:spacing w:after="0" w:line="240" w:lineRule="auto"/>
        <w:jc w:val="both"/>
        <w:rPr>
          <w:sz w:val="18"/>
          <w:szCs w:val="18"/>
          <w:lang w:val="es-ES_tradnl"/>
        </w:rPr>
      </w:pPr>
      <w:r w:rsidRPr="00053375">
        <w:rPr>
          <w:sz w:val="18"/>
          <w:szCs w:val="18"/>
          <w:lang w:val="es-ES_tradnl"/>
        </w:rPr>
        <w:t xml:space="preserve">8 - Trinidad y </w:t>
      </w:r>
      <w:proofErr w:type="spellStart"/>
      <w:r w:rsidRPr="00053375">
        <w:rPr>
          <w:sz w:val="18"/>
          <w:szCs w:val="18"/>
          <w:lang w:val="es-ES_tradnl"/>
        </w:rPr>
        <w:t>Tabago</w:t>
      </w:r>
      <w:proofErr w:type="spellEnd"/>
    </w:p>
    <w:p w:rsidR="00A91BB0" w:rsidRPr="00053375" w:rsidRDefault="00A91BB0" w:rsidP="009C1D3A">
      <w:pPr>
        <w:spacing w:after="0" w:line="240" w:lineRule="auto"/>
        <w:jc w:val="both"/>
        <w:rPr>
          <w:sz w:val="18"/>
          <w:szCs w:val="18"/>
          <w:lang w:val="es-ES_tradnl"/>
        </w:rPr>
      </w:pPr>
      <w:r w:rsidRPr="00053375">
        <w:rPr>
          <w:sz w:val="18"/>
          <w:szCs w:val="18"/>
          <w:lang w:val="es-ES_tradnl"/>
        </w:rPr>
        <w:t>9 - Dominica</w:t>
      </w:r>
    </w:p>
    <w:p w:rsidR="00A91BB0" w:rsidRPr="00053375" w:rsidRDefault="00A91BB0" w:rsidP="009C1D3A">
      <w:pPr>
        <w:spacing w:after="0" w:line="240" w:lineRule="auto"/>
        <w:jc w:val="both"/>
        <w:rPr>
          <w:sz w:val="18"/>
          <w:szCs w:val="18"/>
          <w:lang w:val="es-ES_tradnl"/>
        </w:rPr>
      </w:pPr>
      <w:r w:rsidRPr="00053375">
        <w:rPr>
          <w:sz w:val="18"/>
          <w:szCs w:val="18"/>
          <w:lang w:val="es-ES_tradnl"/>
        </w:rPr>
        <w:t>10 - San Vicente y las Granadinas</w:t>
      </w:r>
    </w:p>
    <w:p w:rsidR="00A91BB0" w:rsidRPr="00053375" w:rsidRDefault="00A91BB0" w:rsidP="009C1D3A">
      <w:pPr>
        <w:spacing w:after="0" w:line="240" w:lineRule="auto"/>
        <w:jc w:val="both"/>
        <w:rPr>
          <w:sz w:val="18"/>
          <w:szCs w:val="18"/>
          <w:lang w:val="es-ES_tradnl"/>
        </w:rPr>
      </w:pPr>
      <w:r w:rsidRPr="00053375">
        <w:rPr>
          <w:sz w:val="18"/>
          <w:szCs w:val="18"/>
          <w:lang w:val="es-ES_tradnl"/>
        </w:rPr>
        <w:t>11 - Chile</w:t>
      </w:r>
    </w:p>
    <w:p w:rsidR="00A91BB0" w:rsidRPr="00053375" w:rsidRDefault="00A91BB0" w:rsidP="009C1D3A">
      <w:pPr>
        <w:spacing w:after="0" w:line="240" w:lineRule="auto"/>
        <w:jc w:val="both"/>
        <w:rPr>
          <w:sz w:val="18"/>
          <w:szCs w:val="18"/>
          <w:lang w:val="es-ES_tradnl"/>
        </w:rPr>
      </w:pPr>
      <w:r w:rsidRPr="00053375">
        <w:rPr>
          <w:sz w:val="18"/>
          <w:szCs w:val="18"/>
          <w:lang w:val="es-ES_tradnl"/>
        </w:rPr>
        <w:t>12 - México</w:t>
      </w:r>
    </w:p>
    <w:p w:rsidR="00A91BB0" w:rsidRPr="00053375" w:rsidRDefault="00A91BB0" w:rsidP="009C1D3A">
      <w:pPr>
        <w:spacing w:after="0" w:line="240" w:lineRule="auto"/>
        <w:jc w:val="both"/>
        <w:rPr>
          <w:sz w:val="18"/>
          <w:szCs w:val="18"/>
          <w:lang w:val="es-ES_tradnl"/>
        </w:rPr>
      </w:pPr>
      <w:r w:rsidRPr="00053375">
        <w:rPr>
          <w:sz w:val="18"/>
          <w:szCs w:val="18"/>
          <w:lang w:val="es-ES_tradnl"/>
        </w:rPr>
        <w:t>13 - Argentina</w:t>
      </w:r>
    </w:p>
    <w:p w:rsidR="00A91BB0" w:rsidRPr="00053375" w:rsidRDefault="00A91BB0" w:rsidP="009C1D3A">
      <w:pPr>
        <w:spacing w:after="0" w:line="240" w:lineRule="auto"/>
        <w:jc w:val="both"/>
        <w:rPr>
          <w:sz w:val="18"/>
          <w:szCs w:val="18"/>
          <w:lang w:val="es-ES_tradnl"/>
        </w:rPr>
      </w:pPr>
      <w:r w:rsidRPr="00053375">
        <w:rPr>
          <w:sz w:val="18"/>
          <w:szCs w:val="18"/>
          <w:lang w:val="es-ES_tradnl"/>
        </w:rPr>
        <w:t>14 - Costa Rica</w:t>
      </w:r>
    </w:p>
    <w:p w:rsidR="00A91BB0" w:rsidRPr="00053375" w:rsidRDefault="00A91BB0" w:rsidP="009C1D3A">
      <w:pPr>
        <w:spacing w:after="0" w:line="240" w:lineRule="auto"/>
        <w:jc w:val="both"/>
        <w:rPr>
          <w:sz w:val="18"/>
          <w:szCs w:val="18"/>
          <w:lang w:val="es-ES_tradnl"/>
        </w:rPr>
      </w:pPr>
      <w:r w:rsidRPr="00053375">
        <w:rPr>
          <w:sz w:val="18"/>
          <w:szCs w:val="18"/>
          <w:lang w:val="es-ES_tradnl"/>
        </w:rPr>
        <w:t>15 - Brasil</w:t>
      </w:r>
    </w:p>
    <w:p w:rsidR="00A91BB0" w:rsidRPr="00053375" w:rsidRDefault="00A91BB0" w:rsidP="009C1D3A">
      <w:pPr>
        <w:spacing w:after="0" w:line="240" w:lineRule="auto"/>
        <w:jc w:val="both"/>
        <w:rPr>
          <w:sz w:val="18"/>
          <w:szCs w:val="18"/>
          <w:lang w:val="es-ES_tradnl"/>
        </w:rPr>
      </w:pPr>
      <w:r w:rsidRPr="00053375">
        <w:rPr>
          <w:sz w:val="18"/>
          <w:szCs w:val="18"/>
          <w:lang w:val="es-ES_tradnl"/>
        </w:rPr>
        <w:t>16 - Colombia</w:t>
      </w:r>
    </w:p>
    <w:p w:rsidR="00A91BB0" w:rsidRPr="00053375" w:rsidRDefault="00A91BB0" w:rsidP="009C1D3A">
      <w:pPr>
        <w:spacing w:after="0" w:line="240" w:lineRule="auto"/>
        <w:jc w:val="both"/>
        <w:rPr>
          <w:sz w:val="18"/>
          <w:szCs w:val="18"/>
          <w:lang w:val="es-ES_tradnl"/>
        </w:rPr>
      </w:pPr>
      <w:r w:rsidRPr="00053375">
        <w:rPr>
          <w:sz w:val="18"/>
          <w:szCs w:val="18"/>
          <w:lang w:val="es-ES_tradnl"/>
        </w:rPr>
        <w:t>17 - Panamá</w:t>
      </w:r>
    </w:p>
    <w:p w:rsidR="00A91BB0" w:rsidRPr="00053375" w:rsidRDefault="00A91BB0" w:rsidP="009C1D3A">
      <w:pPr>
        <w:spacing w:after="0" w:line="240" w:lineRule="auto"/>
        <w:jc w:val="both"/>
        <w:rPr>
          <w:sz w:val="18"/>
          <w:szCs w:val="18"/>
          <w:lang w:val="es-ES_tradnl"/>
        </w:rPr>
      </w:pPr>
      <w:r w:rsidRPr="00053375">
        <w:rPr>
          <w:sz w:val="18"/>
          <w:szCs w:val="18"/>
          <w:lang w:val="es-ES_tradnl"/>
        </w:rPr>
        <w:t>18 - Venezuela</w:t>
      </w:r>
    </w:p>
    <w:p w:rsidR="00A91BB0" w:rsidRPr="00053375" w:rsidRDefault="00A91BB0" w:rsidP="009C1D3A">
      <w:pPr>
        <w:spacing w:after="0" w:line="240" w:lineRule="auto"/>
        <w:jc w:val="both"/>
        <w:rPr>
          <w:sz w:val="18"/>
          <w:szCs w:val="18"/>
          <w:lang w:val="es-ES_tradnl"/>
        </w:rPr>
      </w:pPr>
      <w:r w:rsidRPr="00053375">
        <w:rPr>
          <w:sz w:val="18"/>
          <w:szCs w:val="18"/>
          <w:lang w:val="es-ES_tradnl"/>
        </w:rPr>
        <w:t xml:space="preserve">19 - </w:t>
      </w:r>
      <w:proofErr w:type="spellStart"/>
      <w:r w:rsidRPr="00053375">
        <w:rPr>
          <w:sz w:val="18"/>
          <w:szCs w:val="18"/>
          <w:lang w:val="es-ES_tradnl"/>
        </w:rPr>
        <w:t>Suriname</w:t>
      </w:r>
      <w:proofErr w:type="spellEnd"/>
    </w:p>
    <w:p w:rsidR="00A91BB0" w:rsidRPr="00053375" w:rsidRDefault="00A91BB0" w:rsidP="009C1D3A">
      <w:pPr>
        <w:spacing w:after="0" w:line="240" w:lineRule="auto"/>
        <w:jc w:val="both"/>
        <w:rPr>
          <w:sz w:val="18"/>
          <w:szCs w:val="18"/>
          <w:lang w:val="es-ES_tradnl"/>
        </w:rPr>
      </w:pPr>
      <w:r w:rsidRPr="00053375">
        <w:rPr>
          <w:sz w:val="18"/>
          <w:szCs w:val="18"/>
          <w:lang w:val="es-ES_tradnl"/>
        </w:rPr>
        <w:t>20 - Antigua y Barbuda</w:t>
      </w:r>
    </w:p>
    <w:p w:rsidR="00A91BB0" w:rsidRPr="00053375" w:rsidRDefault="00A91BB0" w:rsidP="009C1D3A">
      <w:pPr>
        <w:spacing w:after="0" w:line="240" w:lineRule="auto"/>
        <w:jc w:val="both"/>
        <w:rPr>
          <w:sz w:val="18"/>
          <w:szCs w:val="18"/>
          <w:lang w:val="es-ES_tradnl"/>
        </w:rPr>
      </w:pPr>
      <w:r w:rsidRPr="00053375">
        <w:rPr>
          <w:sz w:val="18"/>
          <w:szCs w:val="18"/>
          <w:lang w:val="es-ES_tradnl"/>
        </w:rPr>
        <w:t>21 - Ecuador</w:t>
      </w:r>
    </w:p>
    <w:p w:rsidR="00A91BB0" w:rsidRPr="00053375" w:rsidRDefault="00A91BB0" w:rsidP="009C1D3A">
      <w:pPr>
        <w:spacing w:after="0" w:line="240" w:lineRule="auto"/>
        <w:jc w:val="both"/>
        <w:rPr>
          <w:sz w:val="18"/>
          <w:szCs w:val="18"/>
          <w:lang w:val="es-ES_tradnl"/>
        </w:rPr>
      </w:pPr>
      <w:r w:rsidRPr="00053375">
        <w:rPr>
          <w:sz w:val="18"/>
          <w:szCs w:val="18"/>
          <w:lang w:val="es-ES_tradnl"/>
        </w:rPr>
        <w:t>22 - Perú</w:t>
      </w:r>
    </w:p>
    <w:p w:rsidR="00A91BB0" w:rsidRPr="00053375" w:rsidRDefault="00A91BB0" w:rsidP="009C1D3A">
      <w:pPr>
        <w:spacing w:after="0" w:line="240" w:lineRule="auto"/>
        <w:jc w:val="both"/>
        <w:rPr>
          <w:sz w:val="18"/>
          <w:szCs w:val="18"/>
          <w:lang w:val="es-ES_tradnl"/>
        </w:rPr>
      </w:pPr>
      <w:r w:rsidRPr="00053375">
        <w:rPr>
          <w:sz w:val="18"/>
          <w:szCs w:val="18"/>
          <w:lang w:val="es-ES_tradnl"/>
        </w:rPr>
        <w:t>23 - República Dominicana</w:t>
      </w:r>
    </w:p>
    <w:p w:rsidR="00A91BB0" w:rsidRPr="00053375" w:rsidRDefault="00A91BB0" w:rsidP="009C1D3A">
      <w:pPr>
        <w:spacing w:after="0" w:line="240" w:lineRule="auto"/>
        <w:jc w:val="both"/>
        <w:rPr>
          <w:sz w:val="18"/>
          <w:szCs w:val="18"/>
          <w:lang w:val="es-ES_tradnl"/>
        </w:rPr>
      </w:pPr>
      <w:r w:rsidRPr="00053375">
        <w:rPr>
          <w:sz w:val="18"/>
          <w:szCs w:val="18"/>
          <w:lang w:val="es-ES_tradnl"/>
        </w:rPr>
        <w:t>24 - Jamaica</w:t>
      </w:r>
    </w:p>
    <w:p w:rsidR="00A91BB0" w:rsidRPr="00053375" w:rsidRDefault="00A91BB0" w:rsidP="009C1D3A">
      <w:pPr>
        <w:spacing w:after="0" w:line="240" w:lineRule="auto"/>
        <w:jc w:val="both"/>
        <w:rPr>
          <w:sz w:val="18"/>
          <w:szCs w:val="18"/>
          <w:lang w:val="es-ES_tradnl"/>
        </w:rPr>
      </w:pPr>
      <w:r w:rsidRPr="00053375">
        <w:rPr>
          <w:sz w:val="18"/>
          <w:szCs w:val="18"/>
          <w:lang w:val="es-ES_tradnl"/>
        </w:rPr>
        <w:t>25 - El Salvador</w:t>
      </w:r>
    </w:p>
    <w:p w:rsidR="00A91BB0" w:rsidRPr="00053375" w:rsidRDefault="00A91BB0" w:rsidP="009C1D3A">
      <w:pPr>
        <w:spacing w:after="0" w:line="240" w:lineRule="auto"/>
        <w:jc w:val="both"/>
        <w:rPr>
          <w:sz w:val="18"/>
          <w:szCs w:val="18"/>
          <w:lang w:val="es-ES_tradnl"/>
        </w:rPr>
      </w:pPr>
      <w:r w:rsidRPr="00053375">
        <w:rPr>
          <w:sz w:val="18"/>
          <w:szCs w:val="18"/>
          <w:lang w:val="es-ES_tradnl"/>
        </w:rPr>
        <w:t>26 - Guyana</w:t>
      </w:r>
    </w:p>
    <w:p w:rsidR="00A91BB0" w:rsidRPr="00053375" w:rsidRDefault="00A91BB0" w:rsidP="009C1D3A">
      <w:pPr>
        <w:spacing w:after="0" w:line="240" w:lineRule="auto"/>
        <w:jc w:val="both"/>
        <w:rPr>
          <w:sz w:val="18"/>
          <w:szCs w:val="18"/>
          <w:lang w:val="es-ES_tradnl"/>
        </w:rPr>
      </w:pPr>
      <w:r w:rsidRPr="00053375">
        <w:rPr>
          <w:sz w:val="18"/>
          <w:szCs w:val="18"/>
          <w:lang w:val="es-ES_tradnl"/>
        </w:rPr>
        <w:t>27 - Belice</w:t>
      </w:r>
    </w:p>
    <w:p w:rsidR="00A91BB0" w:rsidRPr="00053375" w:rsidRDefault="00A91BB0" w:rsidP="009C1D3A">
      <w:pPr>
        <w:spacing w:after="0" w:line="240" w:lineRule="auto"/>
        <w:jc w:val="both"/>
        <w:rPr>
          <w:sz w:val="18"/>
          <w:szCs w:val="18"/>
          <w:lang w:val="es-ES_tradnl"/>
        </w:rPr>
      </w:pPr>
      <w:r w:rsidRPr="00053375">
        <w:rPr>
          <w:sz w:val="18"/>
          <w:szCs w:val="18"/>
          <w:lang w:val="es-ES_tradnl"/>
        </w:rPr>
        <w:t>28 - Bahamas</w:t>
      </w:r>
    </w:p>
    <w:p w:rsidR="00A91BB0" w:rsidRPr="00053375" w:rsidRDefault="00A91BB0" w:rsidP="009C1D3A">
      <w:pPr>
        <w:spacing w:after="0" w:line="240" w:lineRule="auto"/>
        <w:jc w:val="both"/>
        <w:rPr>
          <w:sz w:val="18"/>
          <w:szCs w:val="18"/>
          <w:lang w:val="es-ES_tradnl"/>
        </w:rPr>
      </w:pPr>
      <w:r w:rsidRPr="00053375">
        <w:rPr>
          <w:sz w:val="18"/>
          <w:szCs w:val="18"/>
          <w:lang w:val="es-ES_tradnl"/>
        </w:rPr>
        <w:t>29 - Guatemala</w:t>
      </w:r>
    </w:p>
    <w:p w:rsidR="00A91BB0" w:rsidRPr="00053375" w:rsidRDefault="00A91BB0" w:rsidP="009C1D3A">
      <w:pPr>
        <w:spacing w:after="0" w:line="240" w:lineRule="auto"/>
        <w:jc w:val="both"/>
        <w:rPr>
          <w:sz w:val="18"/>
          <w:szCs w:val="18"/>
          <w:lang w:val="es-ES_tradnl"/>
        </w:rPr>
      </w:pPr>
      <w:r w:rsidRPr="00053375">
        <w:rPr>
          <w:sz w:val="18"/>
          <w:szCs w:val="18"/>
          <w:lang w:val="es-ES_tradnl"/>
        </w:rPr>
        <w:t>30 - Nicaragua</w:t>
      </w:r>
    </w:p>
    <w:p w:rsidR="00A91BB0" w:rsidRPr="00053375" w:rsidRDefault="00A91BB0" w:rsidP="009C1D3A">
      <w:pPr>
        <w:spacing w:after="0" w:line="240" w:lineRule="auto"/>
        <w:jc w:val="both"/>
        <w:rPr>
          <w:sz w:val="18"/>
          <w:szCs w:val="18"/>
          <w:lang w:val="es-ES_tradnl"/>
        </w:rPr>
      </w:pPr>
      <w:r w:rsidRPr="00053375">
        <w:rPr>
          <w:sz w:val="18"/>
          <w:szCs w:val="18"/>
          <w:lang w:val="es-ES_tradnl"/>
        </w:rPr>
        <w:t>31 - Paraguay</w:t>
      </w:r>
    </w:p>
    <w:p w:rsidR="00A91BB0" w:rsidRPr="00053375" w:rsidRDefault="00A91BB0" w:rsidP="009C1D3A">
      <w:pPr>
        <w:spacing w:after="0" w:line="240" w:lineRule="auto"/>
        <w:jc w:val="both"/>
        <w:rPr>
          <w:sz w:val="18"/>
          <w:szCs w:val="18"/>
          <w:lang w:val="es-ES_tradnl"/>
        </w:rPr>
      </w:pPr>
      <w:r w:rsidRPr="00053375">
        <w:rPr>
          <w:sz w:val="18"/>
          <w:szCs w:val="18"/>
          <w:lang w:val="es-ES_tradnl"/>
        </w:rPr>
        <w:t>32 - Bolivia</w:t>
      </w:r>
    </w:p>
    <w:p w:rsidR="00A91BB0" w:rsidRPr="00053375" w:rsidRDefault="00A91BB0" w:rsidP="009C1D3A">
      <w:pPr>
        <w:spacing w:after="0" w:line="240" w:lineRule="auto"/>
        <w:jc w:val="both"/>
        <w:rPr>
          <w:sz w:val="18"/>
          <w:szCs w:val="18"/>
          <w:lang w:val="es-ES_tradnl"/>
        </w:rPr>
      </w:pPr>
      <w:r w:rsidRPr="00053375">
        <w:rPr>
          <w:sz w:val="18"/>
          <w:szCs w:val="18"/>
          <w:lang w:val="es-ES_tradnl"/>
        </w:rPr>
        <w:t>33 - Honduras</w:t>
      </w:r>
    </w:p>
    <w:p w:rsidR="00A91BB0" w:rsidRPr="00053375" w:rsidRDefault="00A91BB0" w:rsidP="009C1D3A">
      <w:pPr>
        <w:spacing w:after="0" w:line="240" w:lineRule="auto"/>
        <w:jc w:val="both"/>
        <w:rPr>
          <w:sz w:val="18"/>
          <w:szCs w:val="18"/>
          <w:lang w:val="es-ES_tradnl"/>
        </w:rPr>
      </w:pPr>
      <w:r w:rsidRPr="00053375">
        <w:rPr>
          <w:sz w:val="18"/>
          <w:szCs w:val="18"/>
          <w:lang w:val="es-ES_tradnl"/>
        </w:rPr>
        <w:t>34 - Haití</w:t>
      </w:r>
    </w:p>
    <w:p w:rsidR="00A91BB0" w:rsidRPr="00053375" w:rsidRDefault="00A91BB0" w:rsidP="009C1D3A">
      <w:pPr>
        <w:spacing w:after="0" w:line="240" w:lineRule="auto"/>
        <w:jc w:val="both"/>
        <w:rPr>
          <w:sz w:val="18"/>
          <w:szCs w:val="18"/>
          <w:lang w:val="es-ES_tradnl"/>
        </w:rPr>
      </w:pPr>
      <w:r w:rsidRPr="00053375">
        <w:rPr>
          <w:sz w:val="18"/>
          <w:szCs w:val="18"/>
          <w:lang w:val="es-ES_tradnl"/>
        </w:rPr>
        <w:t>35 - Cuba</w:t>
      </w:r>
    </w:p>
    <w:p w:rsidR="00A91BB0" w:rsidRPr="00053375" w:rsidRDefault="00A91BB0" w:rsidP="00F60529">
      <w:pPr>
        <w:spacing w:after="0" w:line="240" w:lineRule="auto"/>
        <w:jc w:val="both"/>
        <w:rPr>
          <w:sz w:val="18"/>
          <w:szCs w:val="18"/>
          <w:lang w:val="es-ES_tradnl"/>
        </w:rPr>
      </w:pPr>
      <w:r w:rsidRPr="00053375">
        <w:rPr>
          <w:sz w:val="18"/>
          <w:szCs w:val="18"/>
          <w:lang w:val="es-ES_tradnl"/>
        </w:rPr>
        <w:t>36 - Por 100 habitantes</w:t>
      </w:r>
    </w:p>
    <w:p w:rsidR="00A91BB0" w:rsidRPr="00053375" w:rsidRDefault="00A91BB0" w:rsidP="009C1D3A">
      <w:pPr>
        <w:spacing w:after="0" w:line="240" w:lineRule="auto"/>
        <w:jc w:val="both"/>
        <w:rPr>
          <w:sz w:val="18"/>
          <w:szCs w:val="18"/>
          <w:lang w:val="es-ES_tradnl"/>
        </w:rPr>
      </w:pPr>
    </w:p>
    <w:p w:rsidR="00A91BB0" w:rsidRPr="00053375" w:rsidRDefault="00A91BB0" w:rsidP="009C1D3A">
      <w:pPr>
        <w:spacing w:after="0" w:line="240" w:lineRule="auto"/>
        <w:jc w:val="both"/>
        <w:rPr>
          <w:sz w:val="18"/>
          <w:szCs w:val="18"/>
          <w:lang w:val="es-ES_tradnl"/>
        </w:rPr>
      </w:pPr>
      <w:r w:rsidRPr="00053375">
        <w:rPr>
          <w:sz w:val="18"/>
          <w:szCs w:val="18"/>
          <w:lang w:val="es-ES_tradnl"/>
        </w:rPr>
        <w:t>Leyenda de la Figura inferior:</w:t>
      </w:r>
    </w:p>
    <w:p w:rsidR="00A91BB0" w:rsidRPr="00053375" w:rsidRDefault="00A91BB0" w:rsidP="009C1D3A">
      <w:pPr>
        <w:spacing w:after="0" w:line="240" w:lineRule="auto"/>
        <w:jc w:val="both"/>
        <w:rPr>
          <w:sz w:val="18"/>
          <w:szCs w:val="18"/>
          <w:lang w:val="es-ES_tradnl"/>
        </w:rPr>
      </w:pPr>
      <w:r w:rsidRPr="00053375">
        <w:rPr>
          <w:sz w:val="18"/>
          <w:szCs w:val="18"/>
          <w:lang w:val="es-ES_tradnl"/>
        </w:rPr>
        <w:t>1 - África</w:t>
      </w:r>
    </w:p>
    <w:p w:rsidR="00A91BB0" w:rsidRPr="00053375" w:rsidRDefault="00A91BB0" w:rsidP="009C1D3A">
      <w:pPr>
        <w:spacing w:after="0" w:line="240" w:lineRule="auto"/>
        <w:jc w:val="both"/>
        <w:rPr>
          <w:sz w:val="18"/>
          <w:szCs w:val="18"/>
          <w:lang w:val="es-ES_tradnl"/>
        </w:rPr>
      </w:pPr>
      <w:r w:rsidRPr="00053375">
        <w:rPr>
          <w:sz w:val="18"/>
          <w:szCs w:val="18"/>
          <w:lang w:val="es-ES_tradnl"/>
        </w:rPr>
        <w:t>2 - Estados Árabes</w:t>
      </w:r>
    </w:p>
    <w:p w:rsidR="00A91BB0" w:rsidRPr="00053375" w:rsidRDefault="00A91BB0" w:rsidP="009C1D3A">
      <w:pPr>
        <w:spacing w:after="0" w:line="240" w:lineRule="auto"/>
        <w:jc w:val="both"/>
        <w:rPr>
          <w:sz w:val="18"/>
          <w:szCs w:val="18"/>
          <w:lang w:val="es-ES_tradnl"/>
        </w:rPr>
      </w:pPr>
      <w:r w:rsidRPr="00053375">
        <w:rPr>
          <w:sz w:val="18"/>
          <w:szCs w:val="18"/>
          <w:lang w:val="es-ES_tradnl"/>
        </w:rPr>
        <w:t>3 - Asia y el Pacífico</w:t>
      </w:r>
    </w:p>
    <w:p w:rsidR="00A91BB0" w:rsidRPr="00053375" w:rsidRDefault="00A91BB0" w:rsidP="009C1D3A">
      <w:pPr>
        <w:spacing w:after="0" w:line="240" w:lineRule="auto"/>
        <w:jc w:val="both"/>
        <w:rPr>
          <w:sz w:val="18"/>
          <w:szCs w:val="18"/>
          <w:lang w:val="es-ES_tradnl"/>
        </w:rPr>
      </w:pPr>
      <w:r w:rsidRPr="00053375">
        <w:rPr>
          <w:sz w:val="18"/>
          <w:szCs w:val="18"/>
          <w:lang w:val="es-ES_tradnl"/>
        </w:rPr>
        <w:t>4 - CEI</w:t>
      </w:r>
    </w:p>
    <w:p w:rsidR="00A91BB0" w:rsidRPr="00053375" w:rsidRDefault="00A91BB0" w:rsidP="009C1D3A">
      <w:pPr>
        <w:spacing w:after="0" w:line="240" w:lineRule="auto"/>
        <w:jc w:val="both"/>
        <w:rPr>
          <w:sz w:val="18"/>
          <w:szCs w:val="18"/>
          <w:lang w:val="es-ES_tradnl"/>
        </w:rPr>
      </w:pPr>
      <w:r w:rsidRPr="00053375">
        <w:rPr>
          <w:sz w:val="18"/>
          <w:szCs w:val="18"/>
          <w:lang w:val="es-ES_tradnl"/>
        </w:rPr>
        <w:t>5 - Las Américas</w:t>
      </w:r>
    </w:p>
    <w:p w:rsidR="00A91BB0" w:rsidRPr="00053375" w:rsidRDefault="00A91BB0" w:rsidP="009C1D3A">
      <w:pPr>
        <w:spacing w:after="0" w:line="240" w:lineRule="auto"/>
        <w:jc w:val="both"/>
        <w:rPr>
          <w:sz w:val="18"/>
          <w:szCs w:val="18"/>
          <w:lang w:val="es-ES_tradnl"/>
        </w:rPr>
      </w:pPr>
      <w:r w:rsidRPr="00053375">
        <w:rPr>
          <w:sz w:val="18"/>
          <w:szCs w:val="18"/>
          <w:lang w:val="es-ES_tradnl"/>
        </w:rPr>
        <w:t>6 - América Latina y el Caribe</w:t>
      </w:r>
    </w:p>
    <w:p w:rsidR="00A91BB0" w:rsidRPr="00053375" w:rsidRDefault="00A91BB0" w:rsidP="009C1D3A">
      <w:pPr>
        <w:spacing w:after="0" w:line="240" w:lineRule="auto"/>
        <w:jc w:val="both"/>
        <w:rPr>
          <w:sz w:val="18"/>
          <w:szCs w:val="18"/>
          <w:lang w:val="es-ES_tradnl"/>
        </w:rPr>
      </w:pPr>
      <w:r w:rsidRPr="00053375">
        <w:rPr>
          <w:sz w:val="18"/>
          <w:szCs w:val="18"/>
          <w:lang w:val="es-ES_tradnl"/>
        </w:rPr>
        <w:t>7 - Europa</w:t>
      </w:r>
    </w:p>
    <w:p w:rsidR="00A91BB0" w:rsidRPr="00053375" w:rsidRDefault="00A91BB0" w:rsidP="009C1D3A">
      <w:pPr>
        <w:spacing w:after="0" w:line="240" w:lineRule="auto"/>
        <w:jc w:val="both"/>
        <w:rPr>
          <w:sz w:val="18"/>
          <w:szCs w:val="18"/>
          <w:lang w:val="es-ES_tradnl"/>
        </w:rPr>
      </w:pPr>
      <w:r w:rsidRPr="00053375">
        <w:rPr>
          <w:sz w:val="18"/>
          <w:szCs w:val="18"/>
          <w:lang w:val="es-ES_tradnl"/>
        </w:rPr>
        <w:t>8 - Países en desarrollo</w:t>
      </w:r>
    </w:p>
    <w:p w:rsidR="00A91BB0" w:rsidRPr="00053375" w:rsidRDefault="00A91BB0" w:rsidP="009C1D3A">
      <w:pPr>
        <w:spacing w:after="0" w:line="240" w:lineRule="auto"/>
        <w:jc w:val="both"/>
        <w:rPr>
          <w:sz w:val="18"/>
          <w:szCs w:val="18"/>
          <w:lang w:val="es-ES_tradnl"/>
        </w:rPr>
      </w:pPr>
      <w:r w:rsidRPr="00053375">
        <w:rPr>
          <w:sz w:val="18"/>
          <w:szCs w:val="18"/>
          <w:lang w:val="es-ES_tradnl"/>
        </w:rPr>
        <w:t>9 - Mundo</w:t>
      </w:r>
    </w:p>
    <w:p w:rsidR="00A91BB0" w:rsidRPr="00053375" w:rsidRDefault="00A91BB0" w:rsidP="00F60529">
      <w:pPr>
        <w:spacing w:after="0" w:line="240" w:lineRule="auto"/>
        <w:jc w:val="both"/>
        <w:rPr>
          <w:sz w:val="18"/>
          <w:szCs w:val="18"/>
          <w:lang w:val="es-ES_tradnl"/>
        </w:rPr>
      </w:pPr>
      <w:r w:rsidRPr="00053375">
        <w:rPr>
          <w:sz w:val="18"/>
          <w:szCs w:val="18"/>
          <w:lang w:val="es-ES_tradnl"/>
        </w:rPr>
        <w:t>10 - Países desarrollados</w:t>
      </w:r>
    </w:p>
    <w:p w:rsidR="00A91BB0" w:rsidRPr="00053375" w:rsidRDefault="00A91BB0" w:rsidP="00F60529">
      <w:pPr>
        <w:spacing w:before="120" w:after="0" w:line="240" w:lineRule="auto"/>
        <w:rPr>
          <w:lang w:val="es-ES_tradnl"/>
        </w:rPr>
      </w:pPr>
      <w:r w:rsidRPr="00053375">
        <w:rPr>
          <w:lang w:val="es-ES_tradnl"/>
        </w:rPr>
        <w:t xml:space="preserve">A finales de 2013, más del 60% de la población de la Región de las Américas, 582 millones de personas en total, estará conectada. La media regional duplica la de los países en desarrollo, que es del 30,7%, y solamente en Europa hay un porcentaje mayor de usuarios de Internet. En la subregión de América Latina y el Caribe, prácticamente la mitad de la población (46,8%) utiliza Internet en 2013, una cifra notablemente superior a la de los países en desarrollo (30,7%) y también superior al porcentaje mundial (38,8%). La penetración de usuarios de Internet en la Región de las Américas oscila entre un porcentaje superior al 80% en el caso del Canadá y los Estados Unidos de América a un porcentaje inferior al 20%, por ejemplo en Honduras, Guatemala, Nicaragua y Haití (Figura 2.6). </w:t>
      </w:r>
    </w:p>
    <w:p w:rsidR="00A91BB0" w:rsidRPr="00053375" w:rsidRDefault="00A91BB0" w:rsidP="00A7049A">
      <w:pPr>
        <w:spacing w:after="0" w:line="360" w:lineRule="auto"/>
        <w:jc w:val="both"/>
        <w:rPr>
          <w:highlight w:val="yellow"/>
          <w:lang w:val="es-ES_tradnl"/>
        </w:rPr>
      </w:pPr>
    </w:p>
    <w:p w:rsidR="00A91BB0" w:rsidRPr="00053375" w:rsidRDefault="00A91BB0" w:rsidP="00F60529">
      <w:pPr>
        <w:keepNext/>
        <w:keepLines/>
        <w:spacing w:after="0" w:line="240" w:lineRule="auto"/>
        <w:rPr>
          <w:lang w:val="es-ES_tradnl"/>
        </w:rPr>
      </w:pPr>
      <w:r w:rsidRPr="00053375">
        <w:rPr>
          <w:b/>
          <w:bCs/>
          <w:lang w:val="es-ES_tradnl"/>
        </w:rPr>
        <w:lastRenderedPageBreak/>
        <w:t xml:space="preserve">Figura 2.6: Porcentaje de usuarios de Internet en la Región de las Américas, 2012 (arriba), desglosados por región y nivel de desarrollo, 2013* (abajo) </w:t>
      </w:r>
    </w:p>
    <w:p w:rsidR="00A91BB0" w:rsidRPr="00053375" w:rsidRDefault="00A91BB0" w:rsidP="008D7CF1">
      <w:pPr>
        <w:keepNext/>
        <w:keepLines/>
        <w:spacing w:after="0" w:line="360" w:lineRule="auto"/>
        <w:jc w:val="center"/>
        <w:rPr>
          <w:lang w:val="es-ES_tradnl"/>
        </w:rPr>
      </w:pPr>
      <w:r w:rsidRPr="00053375">
        <w:rPr>
          <w:noProof/>
          <w:lang w:eastAsia="en-US"/>
        </w:rPr>
        <w:drawing>
          <wp:inline distT="0" distB="0" distL="0" distR="0" wp14:anchorId="5F15655F" wp14:editId="52DED97C">
            <wp:extent cx="3379665" cy="4858247"/>
            <wp:effectExtent l="19050" t="19050" r="1143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8346" cy="4870727"/>
                    </a:xfrm>
                    <a:prstGeom prst="rect">
                      <a:avLst/>
                    </a:prstGeom>
                    <a:noFill/>
                    <a:ln w="3175">
                      <a:solidFill>
                        <a:schemeClr val="tx1"/>
                      </a:solidFill>
                    </a:ln>
                  </pic:spPr>
                </pic:pic>
              </a:graphicData>
            </a:graphic>
          </wp:inline>
        </w:drawing>
      </w:r>
      <w:r w:rsidRPr="00053375">
        <w:rPr>
          <w:noProof/>
          <w:lang w:eastAsia="en-US"/>
        </w:rPr>
        <w:drawing>
          <wp:inline distT="0" distB="0" distL="0" distR="0" wp14:anchorId="4A4A3A12" wp14:editId="1CA29E15">
            <wp:extent cx="4885200" cy="2826000"/>
            <wp:effectExtent l="19050" t="19050" r="10795"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5200" cy="2826000"/>
                    </a:xfrm>
                    <a:prstGeom prst="rect">
                      <a:avLst/>
                    </a:prstGeom>
                    <a:noFill/>
                    <a:ln w="3175">
                      <a:solidFill>
                        <a:schemeClr val="tx1"/>
                      </a:solidFill>
                    </a:ln>
                  </pic:spPr>
                </pic:pic>
              </a:graphicData>
            </a:graphic>
          </wp:inline>
        </w:drawing>
      </w:r>
    </w:p>
    <w:p w:rsidR="00A91BB0" w:rsidRPr="00053375" w:rsidRDefault="00A91BB0" w:rsidP="00F60529">
      <w:pPr>
        <w:spacing w:after="0" w:line="240" w:lineRule="auto"/>
        <w:jc w:val="both"/>
        <w:rPr>
          <w:sz w:val="18"/>
          <w:szCs w:val="18"/>
          <w:lang w:val="es-ES_tradnl"/>
        </w:rPr>
      </w:pPr>
      <w:r w:rsidRPr="00053375">
        <w:rPr>
          <w:sz w:val="18"/>
          <w:szCs w:val="18"/>
          <w:lang w:val="es-ES_tradnl"/>
        </w:rPr>
        <w:t xml:space="preserve">Origen: </w:t>
      </w:r>
      <w:r w:rsidR="00F60529" w:rsidRPr="00053375">
        <w:rPr>
          <w:sz w:val="18"/>
          <w:szCs w:val="18"/>
          <w:lang w:val="es-ES_tradnl"/>
        </w:rPr>
        <w:t>B</w:t>
      </w:r>
      <w:r w:rsidR="00F60529" w:rsidRPr="00215D37">
        <w:rPr>
          <w:sz w:val="18"/>
          <w:szCs w:val="18"/>
          <w:lang w:val="es-ES_tradnl"/>
        </w:rPr>
        <w:t>ase de datos de la UIT sobre Indicadores mundiales de las telecomunicaciones/TIC</w:t>
      </w:r>
      <w:r w:rsidRPr="00053375">
        <w:rPr>
          <w:sz w:val="18"/>
          <w:szCs w:val="18"/>
          <w:lang w:val="es-ES_tradnl"/>
        </w:rPr>
        <w:t>.</w:t>
      </w:r>
    </w:p>
    <w:p w:rsidR="00A91BB0" w:rsidRPr="00053375" w:rsidRDefault="00A91BB0" w:rsidP="00D36B24">
      <w:pPr>
        <w:spacing w:after="0" w:line="240" w:lineRule="auto"/>
        <w:jc w:val="both"/>
        <w:rPr>
          <w:sz w:val="18"/>
          <w:szCs w:val="18"/>
          <w:lang w:val="es-ES_tradnl"/>
        </w:rPr>
      </w:pPr>
      <w:r w:rsidRPr="00053375">
        <w:rPr>
          <w:sz w:val="18"/>
          <w:szCs w:val="18"/>
          <w:lang w:val="es-ES_tradnl"/>
        </w:rPr>
        <w:t>Nota: *Estimaciones. La línea roja del gráfico superior muestra la media mundial en 2012.</w:t>
      </w:r>
    </w:p>
    <w:p w:rsidR="00A91BB0" w:rsidRPr="00053375" w:rsidRDefault="00A91BB0" w:rsidP="00AE5305">
      <w:pPr>
        <w:spacing w:after="0" w:line="240" w:lineRule="auto"/>
        <w:jc w:val="both"/>
        <w:rPr>
          <w:sz w:val="18"/>
          <w:szCs w:val="18"/>
          <w:lang w:val="es-ES_tradnl"/>
        </w:rPr>
      </w:pPr>
    </w:p>
    <w:p w:rsidR="00A91BB0" w:rsidRDefault="00A91BB0">
      <w:pPr>
        <w:rPr>
          <w:sz w:val="18"/>
          <w:szCs w:val="18"/>
          <w:lang w:val="es-ES_tradnl"/>
        </w:rPr>
      </w:pPr>
      <w:r>
        <w:rPr>
          <w:sz w:val="18"/>
          <w:szCs w:val="18"/>
          <w:lang w:val="es-ES_tradnl"/>
        </w:rPr>
        <w:br w:type="page"/>
      </w:r>
    </w:p>
    <w:p w:rsidR="00A91BB0" w:rsidRPr="00053375" w:rsidRDefault="00A91BB0" w:rsidP="00AE5305">
      <w:pPr>
        <w:spacing w:after="0" w:line="240" w:lineRule="auto"/>
        <w:jc w:val="both"/>
        <w:rPr>
          <w:sz w:val="18"/>
          <w:szCs w:val="18"/>
          <w:lang w:val="es-ES_tradnl"/>
        </w:rPr>
      </w:pPr>
      <w:r w:rsidRPr="00053375">
        <w:rPr>
          <w:sz w:val="18"/>
          <w:szCs w:val="18"/>
          <w:lang w:val="es-ES_tradnl"/>
        </w:rPr>
        <w:lastRenderedPageBreak/>
        <w:t>Leyenda</w:t>
      </w:r>
      <w:r>
        <w:rPr>
          <w:sz w:val="18"/>
          <w:szCs w:val="18"/>
          <w:lang w:val="es-ES_tradnl"/>
        </w:rPr>
        <w:t>s</w:t>
      </w:r>
      <w:r w:rsidRPr="00053375">
        <w:rPr>
          <w:sz w:val="18"/>
          <w:szCs w:val="18"/>
          <w:lang w:val="es-ES_tradnl"/>
        </w:rPr>
        <w:t xml:space="preserve"> de la Figura superior:</w:t>
      </w:r>
    </w:p>
    <w:p w:rsidR="00A91BB0" w:rsidRPr="00053375" w:rsidRDefault="00A91BB0" w:rsidP="00AE5305">
      <w:pPr>
        <w:spacing w:after="0" w:line="240" w:lineRule="auto"/>
        <w:jc w:val="both"/>
        <w:rPr>
          <w:sz w:val="18"/>
          <w:szCs w:val="18"/>
          <w:lang w:val="es-ES_tradnl"/>
        </w:rPr>
      </w:pPr>
      <w:r w:rsidRPr="00053375">
        <w:rPr>
          <w:sz w:val="18"/>
          <w:szCs w:val="18"/>
          <w:lang w:val="es-ES_tradnl"/>
        </w:rPr>
        <w:t>1 - Media mundial</w:t>
      </w:r>
    </w:p>
    <w:p w:rsidR="00A91BB0" w:rsidRPr="00053375" w:rsidRDefault="00A91BB0" w:rsidP="00AE5305">
      <w:pPr>
        <w:spacing w:after="0" w:line="240" w:lineRule="auto"/>
        <w:jc w:val="both"/>
        <w:rPr>
          <w:sz w:val="18"/>
          <w:szCs w:val="18"/>
          <w:lang w:val="es-ES_tradnl"/>
        </w:rPr>
      </w:pPr>
      <w:r w:rsidRPr="00053375">
        <w:rPr>
          <w:sz w:val="18"/>
          <w:szCs w:val="18"/>
          <w:lang w:val="es-ES_tradnl"/>
        </w:rPr>
        <w:t>2 - Canadá</w:t>
      </w:r>
    </w:p>
    <w:p w:rsidR="00A91BB0" w:rsidRPr="00053375" w:rsidRDefault="00A91BB0" w:rsidP="00AE5305">
      <w:pPr>
        <w:spacing w:after="0" w:line="240" w:lineRule="auto"/>
        <w:jc w:val="both"/>
        <w:rPr>
          <w:sz w:val="18"/>
          <w:szCs w:val="18"/>
          <w:lang w:val="es-ES_tradnl"/>
        </w:rPr>
      </w:pPr>
      <w:r w:rsidRPr="00053375">
        <w:rPr>
          <w:sz w:val="18"/>
          <w:szCs w:val="18"/>
          <w:lang w:val="es-ES_tradnl"/>
        </w:rPr>
        <w:t>3 - Antigua y Barbuda</w:t>
      </w:r>
    </w:p>
    <w:p w:rsidR="00A91BB0" w:rsidRPr="00053375" w:rsidRDefault="00A91BB0" w:rsidP="00AE5305">
      <w:pPr>
        <w:spacing w:after="0" w:line="240" w:lineRule="auto"/>
        <w:jc w:val="both"/>
        <w:rPr>
          <w:sz w:val="18"/>
          <w:szCs w:val="18"/>
          <w:lang w:val="es-ES_tradnl"/>
        </w:rPr>
      </w:pPr>
      <w:r w:rsidRPr="00053375">
        <w:rPr>
          <w:sz w:val="18"/>
          <w:szCs w:val="18"/>
          <w:lang w:val="es-ES_tradnl"/>
        </w:rPr>
        <w:t>4 - Estados Unidos de América</w:t>
      </w:r>
    </w:p>
    <w:p w:rsidR="00A91BB0" w:rsidRPr="00053375" w:rsidRDefault="00A91BB0" w:rsidP="00AE5305">
      <w:pPr>
        <w:spacing w:after="0" w:line="240" w:lineRule="auto"/>
        <w:jc w:val="both"/>
        <w:rPr>
          <w:sz w:val="18"/>
          <w:szCs w:val="18"/>
          <w:lang w:val="es-ES_tradnl"/>
        </w:rPr>
      </w:pPr>
      <w:r w:rsidRPr="00053375">
        <w:rPr>
          <w:sz w:val="18"/>
          <w:szCs w:val="18"/>
          <w:lang w:val="es-ES_tradnl"/>
        </w:rPr>
        <w:t xml:space="preserve">5 - Saint </w:t>
      </w:r>
      <w:proofErr w:type="spellStart"/>
      <w:r w:rsidRPr="00053375">
        <w:rPr>
          <w:sz w:val="18"/>
          <w:szCs w:val="18"/>
          <w:lang w:val="es-ES_tradnl"/>
        </w:rPr>
        <w:t>Kitts</w:t>
      </w:r>
      <w:proofErr w:type="spellEnd"/>
      <w:r w:rsidRPr="00053375">
        <w:rPr>
          <w:sz w:val="18"/>
          <w:szCs w:val="18"/>
          <w:lang w:val="es-ES_tradnl"/>
        </w:rPr>
        <w:t xml:space="preserve"> y </w:t>
      </w:r>
      <w:proofErr w:type="spellStart"/>
      <w:r w:rsidRPr="00053375">
        <w:rPr>
          <w:sz w:val="18"/>
          <w:szCs w:val="18"/>
          <w:lang w:val="es-ES_tradnl"/>
        </w:rPr>
        <w:t>Nevis</w:t>
      </w:r>
      <w:proofErr w:type="spellEnd"/>
    </w:p>
    <w:p w:rsidR="00A91BB0" w:rsidRPr="00053375" w:rsidRDefault="00A91BB0" w:rsidP="00AE5305">
      <w:pPr>
        <w:spacing w:after="0" w:line="240" w:lineRule="auto"/>
        <w:jc w:val="both"/>
        <w:rPr>
          <w:sz w:val="18"/>
          <w:szCs w:val="18"/>
          <w:lang w:val="es-ES_tradnl"/>
        </w:rPr>
      </w:pPr>
      <w:r w:rsidRPr="00053375">
        <w:rPr>
          <w:sz w:val="18"/>
          <w:szCs w:val="18"/>
          <w:lang w:val="es-ES_tradnl"/>
        </w:rPr>
        <w:t>6 - Barbados</w:t>
      </w:r>
    </w:p>
    <w:p w:rsidR="00A91BB0" w:rsidRPr="00053375" w:rsidRDefault="00A91BB0" w:rsidP="00AE5305">
      <w:pPr>
        <w:spacing w:after="0" w:line="240" w:lineRule="auto"/>
        <w:jc w:val="both"/>
        <w:rPr>
          <w:sz w:val="18"/>
          <w:szCs w:val="18"/>
          <w:lang w:val="es-ES_tradnl"/>
        </w:rPr>
      </w:pPr>
      <w:r w:rsidRPr="00053375">
        <w:rPr>
          <w:sz w:val="18"/>
          <w:szCs w:val="18"/>
          <w:lang w:val="es-ES_tradnl"/>
        </w:rPr>
        <w:t>7 - Bahamas</w:t>
      </w:r>
    </w:p>
    <w:p w:rsidR="00A91BB0" w:rsidRPr="00053375" w:rsidRDefault="00A91BB0" w:rsidP="00AE5305">
      <w:pPr>
        <w:spacing w:after="0" w:line="240" w:lineRule="auto"/>
        <w:jc w:val="both"/>
        <w:rPr>
          <w:sz w:val="18"/>
          <w:szCs w:val="18"/>
          <w:lang w:val="es-ES_tradnl"/>
        </w:rPr>
      </w:pPr>
      <w:r w:rsidRPr="00053375">
        <w:rPr>
          <w:sz w:val="18"/>
          <w:szCs w:val="18"/>
          <w:lang w:val="es-ES_tradnl"/>
        </w:rPr>
        <w:t>8 - Chile</w:t>
      </w:r>
    </w:p>
    <w:p w:rsidR="00A91BB0" w:rsidRPr="00053375" w:rsidRDefault="00A91BB0" w:rsidP="00AE5305">
      <w:pPr>
        <w:spacing w:after="0" w:line="240" w:lineRule="auto"/>
        <w:jc w:val="both"/>
        <w:rPr>
          <w:sz w:val="18"/>
          <w:szCs w:val="18"/>
          <w:lang w:val="es-ES_tradnl"/>
        </w:rPr>
      </w:pPr>
      <w:r w:rsidRPr="00053375">
        <w:rPr>
          <w:sz w:val="18"/>
          <w:szCs w:val="18"/>
          <w:lang w:val="es-ES_tradnl"/>
        </w:rPr>
        <w:t xml:space="preserve">9 - Trinidad y </w:t>
      </w:r>
      <w:proofErr w:type="spellStart"/>
      <w:r w:rsidRPr="00053375">
        <w:rPr>
          <w:sz w:val="18"/>
          <w:szCs w:val="18"/>
          <w:lang w:val="es-ES_tradnl"/>
        </w:rPr>
        <w:t>Tabago</w:t>
      </w:r>
      <w:proofErr w:type="spellEnd"/>
    </w:p>
    <w:p w:rsidR="00A91BB0" w:rsidRPr="00053375" w:rsidRDefault="00A91BB0" w:rsidP="00AE5305">
      <w:pPr>
        <w:spacing w:after="0" w:line="240" w:lineRule="auto"/>
        <w:jc w:val="both"/>
        <w:rPr>
          <w:sz w:val="18"/>
          <w:szCs w:val="18"/>
          <w:lang w:val="es-ES_tradnl"/>
        </w:rPr>
      </w:pPr>
      <w:r w:rsidRPr="00053375">
        <w:rPr>
          <w:sz w:val="18"/>
          <w:szCs w:val="18"/>
          <w:lang w:val="es-ES_tradnl"/>
        </w:rPr>
        <w:t>10 - Dominica</w:t>
      </w:r>
    </w:p>
    <w:p w:rsidR="00A91BB0" w:rsidRPr="00053375" w:rsidRDefault="00A91BB0" w:rsidP="00AE5305">
      <w:pPr>
        <w:spacing w:after="0" w:line="240" w:lineRule="auto"/>
        <w:jc w:val="both"/>
        <w:rPr>
          <w:sz w:val="18"/>
          <w:szCs w:val="18"/>
          <w:lang w:val="es-ES_tradnl"/>
        </w:rPr>
      </w:pPr>
      <w:r w:rsidRPr="00053375">
        <w:rPr>
          <w:sz w:val="18"/>
          <w:szCs w:val="18"/>
          <w:lang w:val="es-ES_tradnl"/>
        </w:rPr>
        <w:t>11 - Uruguay</w:t>
      </w:r>
    </w:p>
    <w:p w:rsidR="00A91BB0" w:rsidRPr="00053375" w:rsidRDefault="00A91BB0" w:rsidP="00AE5305">
      <w:pPr>
        <w:spacing w:after="0" w:line="240" w:lineRule="auto"/>
        <w:jc w:val="both"/>
        <w:rPr>
          <w:sz w:val="18"/>
          <w:szCs w:val="18"/>
          <w:lang w:val="es-ES_tradnl"/>
        </w:rPr>
      </w:pPr>
      <w:r w:rsidRPr="00053375">
        <w:rPr>
          <w:sz w:val="18"/>
          <w:szCs w:val="18"/>
          <w:lang w:val="es-ES_tradnl"/>
        </w:rPr>
        <w:t>12 - Argentina</w:t>
      </w:r>
    </w:p>
    <w:p w:rsidR="00A91BB0" w:rsidRPr="00053375" w:rsidRDefault="00A91BB0" w:rsidP="00AE5305">
      <w:pPr>
        <w:spacing w:after="0" w:line="240" w:lineRule="auto"/>
        <w:jc w:val="both"/>
        <w:rPr>
          <w:sz w:val="18"/>
          <w:szCs w:val="18"/>
          <w:lang w:val="es-ES_tradnl"/>
        </w:rPr>
      </w:pPr>
      <w:r w:rsidRPr="00053375">
        <w:rPr>
          <w:sz w:val="18"/>
          <w:szCs w:val="18"/>
          <w:lang w:val="es-ES_tradnl"/>
        </w:rPr>
        <w:t>13 - Brasil</w:t>
      </w:r>
    </w:p>
    <w:p w:rsidR="00A91BB0" w:rsidRPr="00053375" w:rsidRDefault="00A91BB0" w:rsidP="00AE5305">
      <w:pPr>
        <w:spacing w:after="0" w:line="240" w:lineRule="auto"/>
        <w:jc w:val="both"/>
        <w:rPr>
          <w:sz w:val="18"/>
          <w:szCs w:val="18"/>
          <w:lang w:val="es-ES_tradnl"/>
        </w:rPr>
      </w:pPr>
      <w:r w:rsidRPr="00053375">
        <w:rPr>
          <w:sz w:val="18"/>
          <w:szCs w:val="18"/>
          <w:lang w:val="es-ES_tradnl"/>
        </w:rPr>
        <w:t>14 - Colombia</w:t>
      </w:r>
    </w:p>
    <w:p w:rsidR="00A91BB0" w:rsidRPr="00053375" w:rsidRDefault="00A91BB0" w:rsidP="00AE5305">
      <w:pPr>
        <w:spacing w:after="0" w:line="240" w:lineRule="auto"/>
        <w:jc w:val="both"/>
        <w:rPr>
          <w:sz w:val="18"/>
          <w:szCs w:val="18"/>
          <w:lang w:val="es-ES_tradnl"/>
        </w:rPr>
      </w:pPr>
      <w:r w:rsidRPr="00053375">
        <w:rPr>
          <w:sz w:val="18"/>
          <w:szCs w:val="18"/>
          <w:lang w:val="es-ES_tradnl"/>
        </w:rPr>
        <w:t>15 - Santa Lucía</w:t>
      </w:r>
    </w:p>
    <w:p w:rsidR="00A91BB0" w:rsidRPr="00053375" w:rsidRDefault="00A91BB0" w:rsidP="00AE5305">
      <w:pPr>
        <w:spacing w:after="0" w:line="240" w:lineRule="auto"/>
        <w:jc w:val="both"/>
        <w:rPr>
          <w:sz w:val="18"/>
          <w:szCs w:val="18"/>
          <w:lang w:val="es-ES_tradnl"/>
        </w:rPr>
      </w:pPr>
      <w:r w:rsidRPr="00053375">
        <w:rPr>
          <w:sz w:val="18"/>
          <w:szCs w:val="18"/>
          <w:lang w:val="es-ES_tradnl"/>
        </w:rPr>
        <w:t>16 - San Vicente y las Granadinas</w:t>
      </w:r>
    </w:p>
    <w:p w:rsidR="00A91BB0" w:rsidRPr="00053375" w:rsidRDefault="00A91BB0" w:rsidP="00AE5305">
      <w:pPr>
        <w:spacing w:after="0" w:line="240" w:lineRule="auto"/>
        <w:jc w:val="both"/>
        <w:rPr>
          <w:sz w:val="18"/>
          <w:szCs w:val="18"/>
          <w:lang w:val="es-ES_tradnl"/>
        </w:rPr>
      </w:pPr>
      <w:r w:rsidRPr="00053375">
        <w:rPr>
          <w:sz w:val="18"/>
          <w:szCs w:val="18"/>
          <w:lang w:val="es-ES_tradnl"/>
        </w:rPr>
        <w:t>17 - Costa Rica</w:t>
      </w:r>
    </w:p>
    <w:p w:rsidR="00A91BB0" w:rsidRPr="00053375" w:rsidRDefault="00A91BB0" w:rsidP="00AE5305">
      <w:pPr>
        <w:spacing w:after="0" w:line="240" w:lineRule="auto"/>
        <w:jc w:val="both"/>
        <w:rPr>
          <w:sz w:val="18"/>
          <w:szCs w:val="18"/>
          <w:lang w:val="es-ES_tradnl"/>
        </w:rPr>
      </w:pPr>
      <w:r w:rsidRPr="00053375">
        <w:rPr>
          <w:sz w:val="18"/>
          <w:szCs w:val="18"/>
          <w:lang w:val="es-ES_tradnl"/>
        </w:rPr>
        <w:t>18 - Jamaica</w:t>
      </w:r>
    </w:p>
    <w:p w:rsidR="00A91BB0" w:rsidRPr="00053375" w:rsidRDefault="00A91BB0" w:rsidP="00AE5305">
      <w:pPr>
        <w:spacing w:after="0" w:line="240" w:lineRule="auto"/>
        <w:jc w:val="both"/>
        <w:rPr>
          <w:sz w:val="18"/>
          <w:szCs w:val="18"/>
          <w:lang w:val="es-ES_tradnl"/>
        </w:rPr>
      </w:pPr>
      <w:r w:rsidRPr="00053375">
        <w:rPr>
          <w:sz w:val="18"/>
          <w:szCs w:val="18"/>
          <w:lang w:val="es-ES_tradnl"/>
        </w:rPr>
        <w:t>19 - Panamá</w:t>
      </w:r>
    </w:p>
    <w:p w:rsidR="00A91BB0" w:rsidRPr="00053375" w:rsidRDefault="00A91BB0" w:rsidP="00AE5305">
      <w:pPr>
        <w:spacing w:after="0" w:line="240" w:lineRule="auto"/>
        <w:jc w:val="both"/>
        <w:rPr>
          <w:sz w:val="18"/>
          <w:szCs w:val="18"/>
          <w:lang w:val="es-ES_tradnl"/>
        </w:rPr>
      </w:pPr>
      <w:r w:rsidRPr="00053375">
        <w:rPr>
          <w:sz w:val="18"/>
          <w:szCs w:val="18"/>
          <w:lang w:val="es-ES_tradnl"/>
        </w:rPr>
        <w:t>20 - República Dominicana</w:t>
      </w:r>
    </w:p>
    <w:p w:rsidR="00A91BB0" w:rsidRPr="00053375" w:rsidRDefault="00A91BB0" w:rsidP="00AE5305">
      <w:pPr>
        <w:spacing w:after="0" w:line="240" w:lineRule="auto"/>
        <w:jc w:val="both"/>
        <w:rPr>
          <w:sz w:val="18"/>
          <w:szCs w:val="18"/>
          <w:lang w:val="es-ES_tradnl"/>
        </w:rPr>
      </w:pPr>
      <w:r w:rsidRPr="00053375">
        <w:rPr>
          <w:sz w:val="18"/>
          <w:szCs w:val="18"/>
          <w:lang w:val="es-ES_tradnl"/>
        </w:rPr>
        <w:t>21 - Venezuela</w:t>
      </w:r>
    </w:p>
    <w:p w:rsidR="00A91BB0" w:rsidRPr="00053375" w:rsidRDefault="00A91BB0" w:rsidP="00AE5305">
      <w:pPr>
        <w:spacing w:after="0" w:line="240" w:lineRule="auto"/>
        <w:jc w:val="both"/>
        <w:rPr>
          <w:sz w:val="18"/>
          <w:szCs w:val="18"/>
          <w:lang w:val="es-ES_tradnl"/>
        </w:rPr>
      </w:pPr>
      <w:r w:rsidRPr="00053375">
        <w:rPr>
          <w:sz w:val="18"/>
          <w:szCs w:val="18"/>
          <w:lang w:val="es-ES_tradnl"/>
        </w:rPr>
        <w:t>22 - Granada</w:t>
      </w:r>
    </w:p>
    <w:p w:rsidR="00A91BB0" w:rsidRPr="00053375" w:rsidRDefault="00A91BB0" w:rsidP="00AE5305">
      <w:pPr>
        <w:spacing w:after="0" w:line="240" w:lineRule="auto"/>
        <w:jc w:val="both"/>
        <w:rPr>
          <w:sz w:val="18"/>
          <w:szCs w:val="18"/>
          <w:lang w:val="es-ES_tradnl"/>
        </w:rPr>
      </w:pPr>
      <w:r w:rsidRPr="00053375">
        <w:rPr>
          <w:sz w:val="18"/>
          <w:szCs w:val="18"/>
          <w:lang w:val="es-ES_tradnl"/>
        </w:rPr>
        <w:t>23 - México</w:t>
      </w:r>
    </w:p>
    <w:p w:rsidR="00A91BB0" w:rsidRPr="00053375" w:rsidRDefault="00A91BB0" w:rsidP="00AE5305">
      <w:pPr>
        <w:spacing w:after="0" w:line="240" w:lineRule="auto"/>
        <w:jc w:val="both"/>
        <w:rPr>
          <w:sz w:val="18"/>
          <w:szCs w:val="18"/>
          <w:lang w:val="es-ES_tradnl"/>
        </w:rPr>
      </w:pPr>
      <w:r w:rsidRPr="00053375">
        <w:rPr>
          <w:sz w:val="18"/>
          <w:szCs w:val="18"/>
          <w:lang w:val="es-ES_tradnl"/>
        </w:rPr>
        <w:t>24 - Perú</w:t>
      </w:r>
    </w:p>
    <w:p w:rsidR="00A91BB0" w:rsidRPr="00053375" w:rsidRDefault="00A91BB0" w:rsidP="00AE5305">
      <w:pPr>
        <w:spacing w:after="0" w:line="240" w:lineRule="auto"/>
        <w:jc w:val="both"/>
        <w:rPr>
          <w:sz w:val="18"/>
          <w:szCs w:val="18"/>
          <w:lang w:val="es-ES_tradnl"/>
        </w:rPr>
      </w:pPr>
      <w:r w:rsidRPr="00053375">
        <w:rPr>
          <w:sz w:val="18"/>
          <w:szCs w:val="18"/>
          <w:lang w:val="es-ES_tradnl"/>
        </w:rPr>
        <w:t>25 - Ecuador</w:t>
      </w:r>
    </w:p>
    <w:p w:rsidR="00A91BB0" w:rsidRPr="00053375" w:rsidRDefault="00A91BB0" w:rsidP="00AE5305">
      <w:pPr>
        <w:spacing w:after="0" w:line="240" w:lineRule="auto"/>
        <w:jc w:val="both"/>
        <w:rPr>
          <w:sz w:val="18"/>
          <w:szCs w:val="18"/>
          <w:lang w:val="es-ES_tradnl"/>
        </w:rPr>
      </w:pPr>
      <w:r w:rsidRPr="00053375">
        <w:rPr>
          <w:sz w:val="18"/>
          <w:szCs w:val="18"/>
          <w:lang w:val="es-ES_tradnl"/>
        </w:rPr>
        <w:t xml:space="preserve">26 - </w:t>
      </w:r>
      <w:proofErr w:type="spellStart"/>
      <w:r w:rsidRPr="00053375">
        <w:rPr>
          <w:sz w:val="18"/>
          <w:szCs w:val="18"/>
          <w:lang w:val="es-ES_tradnl"/>
        </w:rPr>
        <w:t>Suriname</w:t>
      </w:r>
      <w:proofErr w:type="spellEnd"/>
    </w:p>
    <w:p w:rsidR="00A91BB0" w:rsidRPr="00053375" w:rsidRDefault="00A91BB0" w:rsidP="00AE5305">
      <w:pPr>
        <w:spacing w:after="0" w:line="240" w:lineRule="auto"/>
        <w:jc w:val="both"/>
        <w:rPr>
          <w:sz w:val="18"/>
          <w:szCs w:val="18"/>
          <w:lang w:val="es-ES_tradnl"/>
        </w:rPr>
      </w:pPr>
      <w:r w:rsidRPr="00053375">
        <w:rPr>
          <w:sz w:val="18"/>
          <w:szCs w:val="18"/>
          <w:lang w:val="es-ES_tradnl"/>
        </w:rPr>
        <w:t>27 - Guyana</w:t>
      </w:r>
    </w:p>
    <w:p w:rsidR="00A91BB0" w:rsidRPr="00053375" w:rsidRDefault="00A91BB0" w:rsidP="00AE5305">
      <w:pPr>
        <w:spacing w:after="0" w:line="240" w:lineRule="auto"/>
        <w:jc w:val="both"/>
        <w:rPr>
          <w:sz w:val="18"/>
          <w:szCs w:val="18"/>
          <w:lang w:val="es-ES_tradnl"/>
        </w:rPr>
      </w:pPr>
      <w:r w:rsidRPr="00053375">
        <w:rPr>
          <w:sz w:val="18"/>
          <w:szCs w:val="18"/>
          <w:lang w:val="es-ES_tradnl"/>
        </w:rPr>
        <w:t>28 - Bolivia</w:t>
      </w:r>
    </w:p>
    <w:p w:rsidR="00A91BB0" w:rsidRPr="00053375" w:rsidRDefault="00A91BB0" w:rsidP="00AE5305">
      <w:pPr>
        <w:spacing w:after="0" w:line="240" w:lineRule="auto"/>
        <w:jc w:val="both"/>
        <w:rPr>
          <w:sz w:val="18"/>
          <w:szCs w:val="18"/>
          <w:lang w:val="es-ES_tradnl"/>
        </w:rPr>
      </w:pPr>
      <w:r w:rsidRPr="00053375">
        <w:rPr>
          <w:sz w:val="18"/>
          <w:szCs w:val="18"/>
          <w:lang w:val="es-ES_tradnl"/>
        </w:rPr>
        <w:t>29 - Paraguay</w:t>
      </w:r>
    </w:p>
    <w:p w:rsidR="00A91BB0" w:rsidRPr="00053375" w:rsidRDefault="00A91BB0" w:rsidP="00AE5305">
      <w:pPr>
        <w:spacing w:after="0" w:line="240" w:lineRule="auto"/>
        <w:jc w:val="both"/>
        <w:rPr>
          <w:sz w:val="18"/>
          <w:szCs w:val="18"/>
          <w:lang w:val="es-ES_tradnl"/>
        </w:rPr>
      </w:pPr>
      <w:r w:rsidRPr="00053375">
        <w:rPr>
          <w:sz w:val="18"/>
          <w:szCs w:val="18"/>
          <w:lang w:val="es-ES_tradnl"/>
        </w:rPr>
        <w:t>30 - Cuba</w:t>
      </w:r>
    </w:p>
    <w:p w:rsidR="00A91BB0" w:rsidRPr="00053375" w:rsidRDefault="00A91BB0" w:rsidP="00AE5305">
      <w:pPr>
        <w:spacing w:after="0" w:line="240" w:lineRule="auto"/>
        <w:jc w:val="both"/>
        <w:rPr>
          <w:sz w:val="18"/>
          <w:szCs w:val="18"/>
          <w:lang w:val="es-ES_tradnl"/>
        </w:rPr>
      </w:pPr>
      <w:r w:rsidRPr="00053375">
        <w:rPr>
          <w:sz w:val="18"/>
          <w:szCs w:val="18"/>
          <w:lang w:val="es-ES_tradnl"/>
        </w:rPr>
        <w:t>31 - El Salvador</w:t>
      </w:r>
    </w:p>
    <w:p w:rsidR="00A91BB0" w:rsidRPr="00053375" w:rsidRDefault="00A91BB0" w:rsidP="00AE5305">
      <w:pPr>
        <w:spacing w:after="0" w:line="240" w:lineRule="auto"/>
        <w:jc w:val="both"/>
        <w:rPr>
          <w:sz w:val="18"/>
          <w:szCs w:val="18"/>
          <w:lang w:val="es-ES_tradnl"/>
        </w:rPr>
      </w:pPr>
      <w:r w:rsidRPr="00053375">
        <w:rPr>
          <w:sz w:val="18"/>
          <w:szCs w:val="18"/>
          <w:lang w:val="es-ES_tradnl"/>
        </w:rPr>
        <w:t>32 - Belice</w:t>
      </w:r>
    </w:p>
    <w:p w:rsidR="00A91BB0" w:rsidRPr="00053375" w:rsidRDefault="00A91BB0" w:rsidP="00AE5305">
      <w:pPr>
        <w:spacing w:after="0" w:line="240" w:lineRule="auto"/>
        <w:jc w:val="both"/>
        <w:rPr>
          <w:sz w:val="18"/>
          <w:szCs w:val="18"/>
          <w:lang w:val="es-ES_tradnl"/>
        </w:rPr>
      </w:pPr>
      <w:r w:rsidRPr="00053375">
        <w:rPr>
          <w:sz w:val="18"/>
          <w:szCs w:val="18"/>
          <w:lang w:val="es-ES_tradnl"/>
        </w:rPr>
        <w:t>33 - Honduras</w:t>
      </w:r>
    </w:p>
    <w:p w:rsidR="00A91BB0" w:rsidRPr="00053375" w:rsidRDefault="00A91BB0" w:rsidP="00AE5305">
      <w:pPr>
        <w:spacing w:after="0" w:line="240" w:lineRule="auto"/>
        <w:jc w:val="both"/>
        <w:rPr>
          <w:sz w:val="18"/>
          <w:szCs w:val="18"/>
          <w:lang w:val="es-ES_tradnl"/>
        </w:rPr>
      </w:pPr>
      <w:r w:rsidRPr="00053375">
        <w:rPr>
          <w:sz w:val="18"/>
          <w:szCs w:val="18"/>
          <w:lang w:val="es-ES_tradnl"/>
        </w:rPr>
        <w:t>34 - Guatemala</w:t>
      </w:r>
    </w:p>
    <w:p w:rsidR="00A91BB0" w:rsidRPr="00053375" w:rsidRDefault="00A91BB0" w:rsidP="00AE5305">
      <w:pPr>
        <w:spacing w:after="0" w:line="240" w:lineRule="auto"/>
        <w:jc w:val="both"/>
        <w:rPr>
          <w:sz w:val="18"/>
          <w:szCs w:val="18"/>
          <w:lang w:val="es-ES_tradnl"/>
        </w:rPr>
      </w:pPr>
      <w:r w:rsidRPr="00053375">
        <w:rPr>
          <w:sz w:val="18"/>
          <w:szCs w:val="18"/>
          <w:lang w:val="es-ES_tradnl"/>
        </w:rPr>
        <w:t>35 - Nicaragua</w:t>
      </w:r>
    </w:p>
    <w:p w:rsidR="00A91BB0" w:rsidRPr="00053375" w:rsidRDefault="00A91BB0" w:rsidP="00AE5305">
      <w:pPr>
        <w:spacing w:after="0" w:line="240" w:lineRule="auto"/>
        <w:jc w:val="both"/>
        <w:rPr>
          <w:sz w:val="18"/>
          <w:szCs w:val="18"/>
          <w:lang w:val="es-ES_tradnl"/>
        </w:rPr>
      </w:pPr>
      <w:r w:rsidRPr="00053375">
        <w:rPr>
          <w:sz w:val="18"/>
          <w:szCs w:val="18"/>
          <w:lang w:val="es-ES_tradnl"/>
        </w:rPr>
        <w:t>36 - Haití</w:t>
      </w:r>
    </w:p>
    <w:p w:rsidR="00A91BB0" w:rsidRPr="00053375" w:rsidRDefault="00A91BB0" w:rsidP="00F60529">
      <w:pPr>
        <w:spacing w:after="0" w:line="240" w:lineRule="auto"/>
        <w:jc w:val="both"/>
        <w:rPr>
          <w:sz w:val="18"/>
          <w:szCs w:val="18"/>
          <w:lang w:val="es-ES_tradnl"/>
        </w:rPr>
      </w:pPr>
      <w:r w:rsidRPr="00053375">
        <w:rPr>
          <w:sz w:val="18"/>
          <w:szCs w:val="18"/>
          <w:lang w:val="es-ES_tradnl"/>
        </w:rPr>
        <w:t>37 - Por 100 habitantes</w:t>
      </w:r>
    </w:p>
    <w:p w:rsidR="00A91BB0" w:rsidRPr="00053375" w:rsidRDefault="00A91BB0" w:rsidP="00AE5305">
      <w:pPr>
        <w:spacing w:after="0" w:line="240" w:lineRule="auto"/>
        <w:jc w:val="both"/>
        <w:rPr>
          <w:sz w:val="18"/>
          <w:szCs w:val="18"/>
          <w:lang w:val="es-ES_tradnl"/>
        </w:rPr>
      </w:pPr>
    </w:p>
    <w:p w:rsidR="00A91BB0" w:rsidRPr="00053375" w:rsidRDefault="00A91BB0" w:rsidP="00AE5305">
      <w:pPr>
        <w:contextualSpacing/>
        <w:rPr>
          <w:sz w:val="18"/>
          <w:szCs w:val="18"/>
          <w:lang w:val="es-ES_tradnl"/>
        </w:rPr>
      </w:pPr>
      <w:r w:rsidRPr="00053375">
        <w:rPr>
          <w:sz w:val="18"/>
          <w:szCs w:val="18"/>
          <w:lang w:val="es-ES_tradnl"/>
        </w:rPr>
        <w:t>Leyenda</w:t>
      </w:r>
      <w:r>
        <w:rPr>
          <w:sz w:val="18"/>
          <w:szCs w:val="18"/>
          <w:lang w:val="es-ES_tradnl"/>
        </w:rPr>
        <w:t>s</w:t>
      </w:r>
      <w:r w:rsidRPr="00053375">
        <w:rPr>
          <w:sz w:val="18"/>
          <w:szCs w:val="18"/>
          <w:lang w:val="es-ES_tradnl"/>
        </w:rPr>
        <w:t xml:space="preserve"> de la Figura inferior:</w:t>
      </w:r>
    </w:p>
    <w:p w:rsidR="00A91BB0" w:rsidRPr="00053375" w:rsidRDefault="00A91BB0" w:rsidP="00270AB9">
      <w:pPr>
        <w:contextualSpacing/>
        <w:rPr>
          <w:sz w:val="18"/>
          <w:szCs w:val="18"/>
          <w:lang w:val="es-ES_tradnl"/>
        </w:rPr>
      </w:pPr>
      <w:r w:rsidRPr="00053375">
        <w:rPr>
          <w:sz w:val="18"/>
          <w:szCs w:val="18"/>
          <w:lang w:val="es-ES_tradnl"/>
        </w:rPr>
        <w:t>1 - Por 100 habitantes</w:t>
      </w:r>
    </w:p>
    <w:p w:rsidR="00A91BB0" w:rsidRPr="00053375" w:rsidRDefault="00A91BB0" w:rsidP="00AE5305">
      <w:pPr>
        <w:contextualSpacing/>
        <w:rPr>
          <w:sz w:val="18"/>
          <w:szCs w:val="18"/>
          <w:lang w:val="es-ES_tradnl"/>
        </w:rPr>
      </w:pPr>
      <w:r w:rsidRPr="00053375">
        <w:rPr>
          <w:sz w:val="18"/>
          <w:szCs w:val="18"/>
          <w:lang w:val="es-ES_tradnl"/>
        </w:rPr>
        <w:t>2 - África</w:t>
      </w:r>
    </w:p>
    <w:p w:rsidR="00A91BB0" w:rsidRPr="00053375" w:rsidRDefault="00A91BB0" w:rsidP="00F60529">
      <w:pPr>
        <w:contextualSpacing/>
        <w:rPr>
          <w:sz w:val="18"/>
          <w:szCs w:val="18"/>
          <w:lang w:val="es-ES_tradnl"/>
        </w:rPr>
      </w:pPr>
      <w:r w:rsidRPr="00053375">
        <w:rPr>
          <w:sz w:val="18"/>
          <w:szCs w:val="18"/>
          <w:lang w:val="es-ES_tradnl"/>
        </w:rPr>
        <w:t>3 - Asia y el Pacífico</w:t>
      </w:r>
    </w:p>
    <w:p w:rsidR="00A91BB0" w:rsidRPr="00053375" w:rsidRDefault="00A91BB0" w:rsidP="00F60529">
      <w:pPr>
        <w:contextualSpacing/>
        <w:rPr>
          <w:sz w:val="18"/>
          <w:szCs w:val="18"/>
          <w:lang w:val="es-ES_tradnl"/>
        </w:rPr>
      </w:pPr>
      <w:r w:rsidRPr="00053375">
        <w:rPr>
          <w:sz w:val="18"/>
          <w:szCs w:val="18"/>
          <w:lang w:val="es-ES_tradnl"/>
        </w:rPr>
        <w:t xml:space="preserve">4 - Estados Árabes </w:t>
      </w:r>
    </w:p>
    <w:p w:rsidR="00A91BB0" w:rsidRPr="00053375" w:rsidRDefault="00A91BB0" w:rsidP="00AE5305">
      <w:pPr>
        <w:contextualSpacing/>
        <w:rPr>
          <w:sz w:val="18"/>
          <w:szCs w:val="18"/>
          <w:lang w:val="es-ES_tradnl"/>
        </w:rPr>
      </w:pPr>
      <w:r w:rsidRPr="00053375">
        <w:rPr>
          <w:sz w:val="18"/>
          <w:szCs w:val="18"/>
          <w:lang w:val="es-ES_tradnl"/>
        </w:rPr>
        <w:t>5 - CEI</w:t>
      </w:r>
    </w:p>
    <w:p w:rsidR="00A91BB0" w:rsidRPr="00053375" w:rsidRDefault="00A91BB0" w:rsidP="00AE5305">
      <w:pPr>
        <w:contextualSpacing/>
        <w:rPr>
          <w:sz w:val="18"/>
          <w:szCs w:val="18"/>
          <w:lang w:val="es-ES_tradnl"/>
        </w:rPr>
      </w:pPr>
      <w:r w:rsidRPr="00053375">
        <w:rPr>
          <w:sz w:val="18"/>
          <w:szCs w:val="18"/>
          <w:lang w:val="es-ES_tradnl"/>
        </w:rPr>
        <w:t>6 - Las Américas</w:t>
      </w:r>
    </w:p>
    <w:p w:rsidR="00A91BB0" w:rsidRPr="00053375" w:rsidRDefault="00A91BB0" w:rsidP="00AE5305">
      <w:pPr>
        <w:contextualSpacing/>
        <w:rPr>
          <w:sz w:val="18"/>
          <w:szCs w:val="18"/>
          <w:lang w:val="es-ES_tradnl"/>
        </w:rPr>
      </w:pPr>
      <w:r w:rsidRPr="00053375">
        <w:rPr>
          <w:sz w:val="18"/>
          <w:szCs w:val="18"/>
          <w:lang w:val="es-ES_tradnl"/>
        </w:rPr>
        <w:t>7 - América Latina y el Caribe</w:t>
      </w:r>
    </w:p>
    <w:p w:rsidR="00A91BB0" w:rsidRPr="00053375" w:rsidRDefault="00A91BB0" w:rsidP="00AE5305">
      <w:pPr>
        <w:contextualSpacing/>
        <w:rPr>
          <w:sz w:val="18"/>
          <w:szCs w:val="18"/>
          <w:lang w:val="es-ES_tradnl"/>
        </w:rPr>
      </w:pPr>
      <w:r w:rsidRPr="00053375">
        <w:rPr>
          <w:sz w:val="18"/>
          <w:szCs w:val="18"/>
          <w:lang w:val="es-ES_tradnl"/>
        </w:rPr>
        <w:t>8 - Europa</w:t>
      </w:r>
    </w:p>
    <w:p w:rsidR="00A91BB0" w:rsidRPr="00053375" w:rsidRDefault="00A91BB0" w:rsidP="00AE5305">
      <w:pPr>
        <w:contextualSpacing/>
        <w:rPr>
          <w:sz w:val="18"/>
          <w:szCs w:val="18"/>
          <w:lang w:val="es-ES_tradnl"/>
        </w:rPr>
      </w:pPr>
      <w:r w:rsidRPr="00053375">
        <w:rPr>
          <w:sz w:val="18"/>
          <w:szCs w:val="18"/>
          <w:lang w:val="es-ES_tradnl"/>
        </w:rPr>
        <w:t>9 - Países en desarrollo</w:t>
      </w:r>
    </w:p>
    <w:p w:rsidR="00A91BB0" w:rsidRPr="00053375" w:rsidRDefault="00A91BB0" w:rsidP="00AE5305">
      <w:pPr>
        <w:contextualSpacing/>
        <w:rPr>
          <w:sz w:val="18"/>
          <w:szCs w:val="18"/>
          <w:lang w:val="es-ES_tradnl"/>
        </w:rPr>
      </w:pPr>
      <w:r w:rsidRPr="00053375">
        <w:rPr>
          <w:sz w:val="18"/>
          <w:szCs w:val="18"/>
          <w:lang w:val="es-ES_tradnl"/>
        </w:rPr>
        <w:t>10 - Mundo</w:t>
      </w:r>
    </w:p>
    <w:p w:rsidR="00A91BB0" w:rsidRPr="00053375" w:rsidRDefault="00A91BB0" w:rsidP="00F60529">
      <w:pPr>
        <w:spacing w:after="0" w:line="240" w:lineRule="auto"/>
        <w:jc w:val="both"/>
        <w:rPr>
          <w:sz w:val="18"/>
          <w:szCs w:val="18"/>
          <w:lang w:val="es-ES_tradnl"/>
        </w:rPr>
      </w:pPr>
      <w:r w:rsidRPr="00053375">
        <w:rPr>
          <w:sz w:val="18"/>
          <w:szCs w:val="18"/>
          <w:lang w:val="es-ES_tradnl"/>
        </w:rPr>
        <w:t>11 - Países desarrollados</w:t>
      </w:r>
    </w:p>
    <w:p w:rsidR="00A91BB0" w:rsidRPr="00053375" w:rsidRDefault="00A91BB0" w:rsidP="00F60529">
      <w:pPr>
        <w:spacing w:before="120" w:after="0" w:line="240" w:lineRule="auto"/>
        <w:rPr>
          <w:lang w:val="es-ES_tradnl"/>
        </w:rPr>
      </w:pPr>
      <w:r w:rsidRPr="00053375">
        <w:rPr>
          <w:lang w:val="es-ES_tradnl"/>
        </w:rPr>
        <w:t>La probabilidad de que sean los jóvenes, y no otros grupos de población, los que estén conectados es mayor en la Región de las Américas, una tendencia que también se observa en otras regiones. En la mayoría de países en desarrollo que aparecen en la Figura 2.7, las tasas de penetración en el grupo de edad de 15 a 24 años duplica la correspondiente al grupo de entre 25 y 74 años. En el Ecuador, por ejemplo, el 60% de las personas de entre 15 y 24 años de edad estaban conectadas en</w:t>
      </w:r>
      <w:r>
        <w:rPr>
          <w:lang w:val="es-ES_tradnl"/>
        </w:rPr>
        <w:t> </w:t>
      </w:r>
      <w:r w:rsidRPr="00053375">
        <w:rPr>
          <w:lang w:val="es-ES_tradnl"/>
        </w:rPr>
        <w:t xml:space="preserve">2011, en comparación con el 22% de las personas de entre 25 y 74 años, y la tasa penetración de Internet entre la población más joven prácticamente triplica la del otro grupo de población, una diferencia que no es tan pronunciada en las economías desarrolladas de la región con unas elevadas </w:t>
      </w:r>
      <w:r w:rsidRPr="00053375">
        <w:rPr>
          <w:lang w:val="es-ES_tradnl"/>
        </w:rPr>
        <w:lastRenderedPageBreak/>
        <w:t>tasas de penetración. En el Canadá, prácticamente todas las personas de entre 15 y 24 años de edad estaban conectadas en 2010, por el 82% de las personas de entre 25 y 74 años (Figura 2.7).</w:t>
      </w:r>
    </w:p>
    <w:p w:rsidR="00A91BB0" w:rsidRPr="00053375" w:rsidRDefault="00A91BB0" w:rsidP="00F60529">
      <w:pPr>
        <w:keepNext/>
        <w:keepLines/>
        <w:spacing w:before="240" w:after="0" w:line="240" w:lineRule="auto"/>
        <w:rPr>
          <w:b/>
          <w:bCs/>
          <w:lang w:val="es-ES_tradnl"/>
        </w:rPr>
      </w:pPr>
      <w:r w:rsidRPr="00053375">
        <w:rPr>
          <w:b/>
          <w:bCs/>
          <w:lang w:val="es-ES_tradnl"/>
        </w:rPr>
        <w:t>Figura 2.7: Porcentaje de usuarios de Internet en países seleccionados de la Región de las Américas en el último año del que se disponen datos, desglosados por edad</w:t>
      </w:r>
    </w:p>
    <w:p w:rsidR="00A91BB0" w:rsidRPr="00053375" w:rsidRDefault="00A91BB0" w:rsidP="008D7CF1">
      <w:pPr>
        <w:keepNext/>
        <w:keepLines/>
        <w:spacing w:after="0" w:line="360" w:lineRule="auto"/>
        <w:jc w:val="center"/>
        <w:rPr>
          <w:highlight w:val="yellow"/>
          <w:lang w:val="es-ES_tradnl"/>
        </w:rPr>
      </w:pPr>
      <w:r w:rsidRPr="00053375">
        <w:rPr>
          <w:noProof/>
          <w:lang w:eastAsia="en-US"/>
        </w:rPr>
        <w:drawing>
          <wp:inline distT="0" distB="0" distL="0" distR="0" wp14:anchorId="2597416E" wp14:editId="36B5DC79">
            <wp:extent cx="3697200" cy="2610000"/>
            <wp:effectExtent l="19050" t="19050" r="1778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97200" cy="2610000"/>
                    </a:xfrm>
                    <a:prstGeom prst="rect">
                      <a:avLst/>
                    </a:prstGeom>
                    <a:noFill/>
                    <a:ln w="3175">
                      <a:solidFill>
                        <a:schemeClr val="tx1"/>
                      </a:solidFill>
                    </a:ln>
                  </pic:spPr>
                </pic:pic>
              </a:graphicData>
            </a:graphic>
          </wp:inline>
        </w:drawing>
      </w:r>
    </w:p>
    <w:p w:rsidR="00A91BB0" w:rsidRPr="00053375" w:rsidRDefault="00A91BB0" w:rsidP="00004E00">
      <w:pPr>
        <w:keepNext/>
        <w:keepLines/>
        <w:spacing w:after="0" w:line="360" w:lineRule="auto"/>
        <w:jc w:val="both"/>
        <w:rPr>
          <w:sz w:val="18"/>
          <w:szCs w:val="18"/>
          <w:lang w:val="es-ES_tradnl"/>
        </w:rPr>
      </w:pPr>
      <w:r w:rsidRPr="00053375">
        <w:rPr>
          <w:sz w:val="18"/>
          <w:szCs w:val="18"/>
          <w:lang w:val="es-ES_tradnl"/>
        </w:rPr>
        <w:t>Origen: B</w:t>
      </w:r>
      <w:r w:rsidRPr="00215D37">
        <w:rPr>
          <w:sz w:val="18"/>
          <w:szCs w:val="18"/>
          <w:lang w:val="es-ES_tradnl"/>
        </w:rPr>
        <w:t>ase de datos de la UIT sobre Indicadores mundiales de las telecomunicaciones/TIC</w:t>
      </w:r>
      <w:r w:rsidRPr="00053375">
        <w:rPr>
          <w:sz w:val="18"/>
          <w:szCs w:val="18"/>
          <w:lang w:val="es-ES_tradnl"/>
        </w:rPr>
        <w:t>.</w:t>
      </w:r>
    </w:p>
    <w:p w:rsidR="00A91BB0" w:rsidRPr="00053375" w:rsidRDefault="00A91BB0" w:rsidP="00F60529">
      <w:pPr>
        <w:contextualSpacing/>
        <w:rPr>
          <w:sz w:val="18"/>
          <w:szCs w:val="18"/>
          <w:lang w:val="es-ES_tradnl"/>
        </w:rPr>
      </w:pPr>
      <w:r w:rsidRPr="00053375">
        <w:rPr>
          <w:sz w:val="18"/>
          <w:szCs w:val="18"/>
          <w:lang w:val="es-ES_tradnl"/>
        </w:rPr>
        <w:t>Leyend</w:t>
      </w:r>
      <w:r>
        <w:rPr>
          <w:sz w:val="18"/>
          <w:szCs w:val="18"/>
          <w:lang w:val="es-ES_tradnl"/>
        </w:rPr>
        <w:t>as</w:t>
      </w:r>
      <w:r w:rsidRPr="00053375">
        <w:rPr>
          <w:sz w:val="18"/>
          <w:szCs w:val="18"/>
          <w:lang w:val="es-ES_tradnl"/>
        </w:rPr>
        <w:t xml:space="preserve"> de la Figura:</w:t>
      </w:r>
    </w:p>
    <w:p w:rsidR="00A91BB0" w:rsidRPr="00053375" w:rsidRDefault="00A91BB0" w:rsidP="00F60529">
      <w:pPr>
        <w:contextualSpacing/>
        <w:rPr>
          <w:sz w:val="18"/>
          <w:szCs w:val="18"/>
          <w:lang w:val="es-ES_tradnl"/>
        </w:rPr>
      </w:pPr>
      <w:r w:rsidRPr="00053375">
        <w:rPr>
          <w:sz w:val="18"/>
          <w:szCs w:val="18"/>
          <w:lang w:val="es-ES_tradnl"/>
        </w:rPr>
        <w:t>1 - 15-24 años</w:t>
      </w:r>
    </w:p>
    <w:p w:rsidR="00A91BB0" w:rsidRPr="00053375" w:rsidRDefault="00A91BB0" w:rsidP="00F60529">
      <w:pPr>
        <w:contextualSpacing/>
        <w:rPr>
          <w:sz w:val="18"/>
          <w:szCs w:val="18"/>
          <w:lang w:val="es-ES_tradnl"/>
        </w:rPr>
      </w:pPr>
      <w:r w:rsidRPr="00053375">
        <w:rPr>
          <w:sz w:val="18"/>
          <w:szCs w:val="18"/>
          <w:lang w:val="es-ES_tradnl"/>
        </w:rPr>
        <w:t>2 - 25-74 años</w:t>
      </w:r>
    </w:p>
    <w:p w:rsidR="00A91BB0" w:rsidRPr="00053375" w:rsidRDefault="00A91BB0" w:rsidP="00F60529">
      <w:pPr>
        <w:contextualSpacing/>
        <w:rPr>
          <w:sz w:val="18"/>
          <w:szCs w:val="18"/>
          <w:lang w:val="es-ES_tradnl"/>
        </w:rPr>
      </w:pPr>
      <w:r w:rsidRPr="00053375">
        <w:rPr>
          <w:sz w:val="18"/>
          <w:szCs w:val="18"/>
          <w:lang w:val="es-ES_tradnl"/>
        </w:rPr>
        <w:t>3 - El Salvador</w:t>
      </w:r>
    </w:p>
    <w:p w:rsidR="00A91BB0" w:rsidRPr="00053375" w:rsidRDefault="00A91BB0" w:rsidP="00F60529">
      <w:pPr>
        <w:contextualSpacing/>
        <w:rPr>
          <w:sz w:val="18"/>
          <w:szCs w:val="18"/>
          <w:lang w:val="es-ES_tradnl"/>
        </w:rPr>
      </w:pPr>
      <w:r w:rsidRPr="00053375">
        <w:rPr>
          <w:sz w:val="18"/>
          <w:szCs w:val="18"/>
          <w:lang w:val="es-ES_tradnl"/>
        </w:rPr>
        <w:t>4 - Paraguay</w:t>
      </w:r>
    </w:p>
    <w:p w:rsidR="00A91BB0" w:rsidRPr="00053375" w:rsidRDefault="00A91BB0" w:rsidP="00F60529">
      <w:pPr>
        <w:contextualSpacing/>
        <w:rPr>
          <w:sz w:val="18"/>
          <w:szCs w:val="18"/>
          <w:lang w:val="es-ES_tradnl"/>
        </w:rPr>
      </w:pPr>
      <w:r w:rsidRPr="00053375">
        <w:rPr>
          <w:sz w:val="18"/>
          <w:szCs w:val="18"/>
          <w:lang w:val="es-ES_tradnl"/>
        </w:rPr>
        <w:t>5 - Jamaica</w:t>
      </w:r>
    </w:p>
    <w:p w:rsidR="00A91BB0" w:rsidRPr="00053375" w:rsidRDefault="00A91BB0" w:rsidP="00F60529">
      <w:pPr>
        <w:contextualSpacing/>
        <w:rPr>
          <w:sz w:val="18"/>
          <w:szCs w:val="18"/>
          <w:lang w:val="es-ES_tradnl"/>
        </w:rPr>
      </w:pPr>
      <w:r w:rsidRPr="00053375">
        <w:rPr>
          <w:sz w:val="18"/>
          <w:szCs w:val="18"/>
          <w:lang w:val="es-ES_tradnl"/>
        </w:rPr>
        <w:t>6 - Bolivia</w:t>
      </w:r>
    </w:p>
    <w:p w:rsidR="00A91BB0" w:rsidRPr="00053375" w:rsidRDefault="00A91BB0" w:rsidP="00F60529">
      <w:pPr>
        <w:contextualSpacing/>
        <w:rPr>
          <w:sz w:val="18"/>
          <w:szCs w:val="18"/>
          <w:lang w:val="es-ES_tradnl"/>
        </w:rPr>
      </w:pPr>
      <w:r w:rsidRPr="00053375">
        <w:rPr>
          <w:sz w:val="18"/>
          <w:szCs w:val="18"/>
          <w:lang w:val="es-ES_tradnl"/>
        </w:rPr>
        <w:t>7 - Perú</w:t>
      </w:r>
    </w:p>
    <w:p w:rsidR="00A91BB0" w:rsidRPr="00053375" w:rsidRDefault="00A91BB0" w:rsidP="00F60529">
      <w:pPr>
        <w:contextualSpacing/>
        <w:rPr>
          <w:sz w:val="18"/>
          <w:szCs w:val="18"/>
          <w:lang w:val="es-ES_tradnl"/>
        </w:rPr>
      </w:pPr>
      <w:r w:rsidRPr="00053375">
        <w:rPr>
          <w:sz w:val="18"/>
          <w:szCs w:val="18"/>
          <w:lang w:val="es-ES_tradnl"/>
        </w:rPr>
        <w:t>8 - Ecuador</w:t>
      </w:r>
    </w:p>
    <w:p w:rsidR="00A91BB0" w:rsidRPr="00053375" w:rsidRDefault="00A91BB0" w:rsidP="00F60529">
      <w:pPr>
        <w:contextualSpacing/>
        <w:rPr>
          <w:sz w:val="18"/>
          <w:szCs w:val="18"/>
          <w:lang w:val="es-ES_tradnl"/>
        </w:rPr>
      </w:pPr>
      <w:r w:rsidRPr="00053375">
        <w:rPr>
          <w:sz w:val="18"/>
          <w:szCs w:val="18"/>
          <w:lang w:val="es-ES_tradnl"/>
        </w:rPr>
        <w:t>9 - México</w:t>
      </w:r>
    </w:p>
    <w:p w:rsidR="00A91BB0" w:rsidRPr="00053375" w:rsidRDefault="00A91BB0" w:rsidP="00F60529">
      <w:pPr>
        <w:contextualSpacing/>
        <w:rPr>
          <w:sz w:val="18"/>
          <w:szCs w:val="18"/>
          <w:lang w:val="es-ES_tradnl"/>
        </w:rPr>
      </w:pPr>
      <w:r w:rsidRPr="00053375">
        <w:rPr>
          <w:sz w:val="18"/>
          <w:szCs w:val="18"/>
          <w:lang w:val="es-ES_tradnl"/>
        </w:rPr>
        <w:t>10 - Uruguay</w:t>
      </w:r>
    </w:p>
    <w:p w:rsidR="00A91BB0" w:rsidRPr="00053375" w:rsidRDefault="00A91BB0" w:rsidP="00F60529">
      <w:pPr>
        <w:contextualSpacing/>
        <w:rPr>
          <w:sz w:val="18"/>
          <w:szCs w:val="18"/>
          <w:lang w:val="es-ES_tradnl"/>
        </w:rPr>
      </w:pPr>
      <w:r w:rsidRPr="00053375">
        <w:rPr>
          <w:sz w:val="18"/>
          <w:szCs w:val="18"/>
          <w:lang w:val="es-ES_tradnl"/>
        </w:rPr>
        <w:t>11 - Brasil</w:t>
      </w:r>
    </w:p>
    <w:p w:rsidR="00A91BB0" w:rsidRPr="00053375" w:rsidRDefault="00A91BB0" w:rsidP="00F60529">
      <w:pPr>
        <w:contextualSpacing/>
        <w:rPr>
          <w:sz w:val="18"/>
          <w:szCs w:val="18"/>
          <w:lang w:val="es-ES_tradnl"/>
        </w:rPr>
      </w:pPr>
      <w:r w:rsidRPr="00053375">
        <w:rPr>
          <w:sz w:val="18"/>
          <w:szCs w:val="18"/>
          <w:lang w:val="es-ES_tradnl"/>
        </w:rPr>
        <w:t>12 - Chile</w:t>
      </w:r>
    </w:p>
    <w:p w:rsidR="00A91BB0" w:rsidRPr="00053375" w:rsidRDefault="00A91BB0" w:rsidP="00F60529">
      <w:pPr>
        <w:contextualSpacing/>
        <w:rPr>
          <w:sz w:val="18"/>
          <w:szCs w:val="18"/>
          <w:lang w:val="es-ES_tradnl"/>
        </w:rPr>
      </w:pPr>
      <w:r w:rsidRPr="00053375">
        <w:rPr>
          <w:sz w:val="18"/>
          <w:szCs w:val="18"/>
          <w:lang w:val="es-ES_tradnl"/>
        </w:rPr>
        <w:t>13 - Estados Unidos de América</w:t>
      </w:r>
    </w:p>
    <w:p w:rsidR="00A91BB0" w:rsidRPr="00053375" w:rsidRDefault="00A91BB0" w:rsidP="00F60529">
      <w:pPr>
        <w:contextualSpacing/>
        <w:rPr>
          <w:sz w:val="18"/>
          <w:szCs w:val="18"/>
          <w:lang w:val="es-ES_tradnl"/>
        </w:rPr>
      </w:pPr>
      <w:r w:rsidRPr="00053375">
        <w:rPr>
          <w:sz w:val="18"/>
          <w:szCs w:val="18"/>
          <w:lang w:val="es-ES_tradnl"/>
        </w:rPr>
        <w:t>14 - Canadá</w:t>
      </w:r>
    </w:p>
    <w:p w:rsidR="00A91BB0" w:rsidRPr="00053375" w:rsidRDefault="00A91BB0" w:rsidP="00F60529">
      <w:pPr>
        <w:spacing w:before="120" w:after="0" w:line="240" w:lineRule="auto"/>
        <w:rPr>
          <w:lang w:val="es-ES_tradnl"/>
        </w:rPr>
      </w:pPr>
      <w:r w:rsidRPr="00053375">
        <w:rPr>
          <w:lang w:val="es-ES_tradnl"/>
        </w:rPr>
        <w:t xml:space="preserve">A finales de 2013, la UIT estima que el porcentaje de hogares de la Región de las Américas que tendrán acceso a Internet, que es del 60,8%, estará por encima del porcentaje en todo el mundo (41,3%) y duplicará la media de los países en desarrollo (28,0%). No obstante, los países en desarrollo de la región tienen margen de mejora, como se desprende de la media, notablemente inferior, de hogares de la subregión de América Latina y el Caribe con acceso a Internet (39,8%). En los dos países desarrollados de la región, Canadá y los Estados Unidos de América, el porcentaje de hogares con acceso a Internet en 2012 alcanzó unos niveles récord: 83% y 75% respectivamente. En seis de los 33 países en desarrollo de la región, el porcentaje de hogares con acceso a Internet no llega al 10%. Son varios los países en desarrollo de la región en los que la tasa de penetración es elevada: en 2012, el número de hogares con acceso a Internet superaba la media mundial en Barbados, San Vicente y las Granadinas, Uruguay, Antigua y Barbuda, Argentina, Costa Rica, Brasil, Chile y Trinidad y </w:t>
      </w:r>
      <w:proofErr w:type="spellStart"/>
      <w:r w:rsidRPr="00053375">
        <w:rPr>
          <w:lang w:val="es-ES_tradnl"/>
        </w:rPr>
        <w:t>Tabago</w:t>
      </w:r>
      <w:proofErr w:type="spellEnd"/>
      <w:r w:rsidRPr="00053375">
        <w:rPr>
          <w:lang w:val="es-ES_tradnl"/>
        </w:rPr>
        <w:t xml:space="preserve"> (Figura 2.8). </w:t>
      </w:r>
    </w:p>
    <w:p w:rsidR="00A91BB0" w:rsidRPr="00053375" w:rsidRDefault="00A91BB0" w:rsidP="00F60529">
      <w:pPr>
        <w:keepNext/>
        <w:keepLines/>
        <w:spacing w:before="240" w:after="0" w:line="240" w:lineRule="auto"/>
        <w:rPr>
          <w:lang w:val="es-ES_tradnl"/>
        </w:rPr>
      </w:pPr>
      <w:r w:rsidRPr="00053375">
        <w:rPr>
          <w:b/>
          <w:bCs/>
          <w:lang w:val="es-ES_tradnl"/>
        </w:rPr>
        <w:lastRenderedPageBreak/>
        <w:t xml:space="preserve">Figura 2.8: Hogares con acceso a Internet en la </w:t>
      </w:r>
      <w:r>
        <w:rPr>
          <w:b/>
          <w:bCs/>
          <w:lang w:val="es-ES_tradnl"/>
        </w:rPr>
        <w:t>R</w:t>
      </w:r>
      <w:r w:rsidRPr="00053375">
        <w:rPr>
          <w:b/>
          <w:bCs/>
          <w:lang w:val="es-ES_tradnl"/>
        </w:rPr>
        <w:t>egión de las Américas, 2012 (arriba), y desglosados por región y nivel de desarrollo, 2013* (abajo)</w:t>
      </w:r>
    </w:p>
    <w:p w:rsidR="00A91BB0" w:rsidRPr="00053375" w:rsidRDefault="00A91BB0" w:rsidP="008D7CF1">
      <w:pPr>
        <w:keepNext/>
        <w:keepLines/>
        <w:spacing w:before="120" w:after="0" w:line="240" w:lineRule="auto"/>
        <w:jc w:val="center"/>
        <w:rPr>
          <w:sz w:val="18"/>
          <w:szCs w:val="18"/>
          <w:lang w:val="es-ES_tradnl"/>
        </w:rPr>
      </w:pPr>
      <w:r w:rsidRPr="00053375">
        <w:rPr>
          <w:noProof/>
          <w:sz w:val="18"/>
          <w:szCs w:val="18"/>
          <w:lang w:eastAsia="en-US"/>
        </w:rPr>
        <w:drawing>
          <wp:inline distT="0" distB="0" distL="0" distR="0" wp14:anchorId="79D7DAAE" wp14:editId="68ED4569">
            <wp:extent cx="3549342" cy="4476737"/>
            <wp:effectExtent l="19050" t="19050" r="13335"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1047" cy="4504113"/>
                    </a:xfrm>
                    <a:prstGeom prst="rect">
                      <a:avLst/>
                    </a:prstGeom>
                    <a:noFill/>
                    <a:ln w="3175">
                      <a:solidFill>
                        <a:schemeClr val="tx1"/>
                      </a:solidFill>
                    </a:ln>
                  </pic:spPr>
                </pic:pic>
              </a:graphicData>
            </a:graphic>
          </wp:inline>
        </w:drawing>
      </w:r>
      <w:r w:rsidRPr="00053375">
        <w:rPr>
          <w:noProof/>
          <w:sz w:val="18"/>
          <w:szCs w:val="18"/>
          <w:lang w:eastAsia="en-US"/>
        </w:rPr>
        <w:drawing>
          <wp:inline distT="0" distB="0" distL="0" distR="0" wp14:anchorId="718CC540" wp14:editId="40782EF9">
            <wp:extent cx="5097600" cy="2826000"/>
            <wp:effectExtent l="19050" t="19050" r="27305"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7600" cy="2826000"/>
                    </a:xfrm>
                    <a:prstGeom prst="rect">
                      <a:avLst/>
                    </a:prstGeom>
                    <a:noFill/>
                    <a:ln w="3175">
                      <a:solidFill>
                        <a:schemeClr val="tx1"/>
                      </a:solidFill>
                    </a:ln>
                  </pic:spPr>
                </pic:pic>
              </a:graphicData>
            </a:graphic>
          </wp:inline>
        </w:drawing>
      </w:r>
    </w:p>
    <w:p w:rsidR="00A91BB0" w:rsidRPr="00053375" w:rsidRDefault="00A91BB0" w:rsidP="005563D0">
      <w:pPr>
        <w:keepNext/>
        <w:keepLines/>
        <w:spacing w:after="0" w:line="240" w:lineRule="auto"/>
        <w:jc w:val="both"/>
        <w:rPr>
          <w:sz w:val="18"/>
          <w:szCs w:val="18"/>
          <w:lang w:val="es-ES_tradnl"/>
        </w:rPr>
      </w:pPr>
      <w:r w:rsidRPr="00053375">
        <w:rPr>
          <w:sz w:val="18"/>
          <w:szCs w:val="18"/>
          <w:lang w:val="es-ES_tradnl"/>
        </w:rPr>
        <w:t>Origen: B</w:t>
      </w:r>
      <w:r w:rsidRPr="0062794F">
        <w:rPr>
          <w:sz w:val="18"/>
          <w:szCs w:val="18"/>
          <w:lang w:val="es-ES_tradnl"/>
        </w:rPr>
        <w:t>ase de datos de la UIT sobre Indicadores mundiales de las telecomunicaciones/TIC</w:t>
      </w:r>
      <w:r w:rsidRPr="00053375">
        <w:rPr>
          <w:sz w:val="18"/>
          <w:szCs w:val="18"/>
          <w:lang w:val="es-ES_tradnl"/>
        </w:rPr>
        <w:t>.</w:t>
      </w:r>
    </w:p>
    <w:p w:rsidR="00A91BB0" w:rsidRPr="00053375" w:rsidRDefault="00A91BB0" w:rsidP="00D36B24">
      <w:pPr>
        <w:spacing w:after="0" w:line="240" w:lineRule="auto"/>
        <w:jc w:val="both"/>
        <w:rPr>
          <w:sz w:val="18"/>
          <w:szCs w:val="18"/>
          <w:lang w:val="es-ES_tradnl"/>
        </w:rPr>
      </w:pPr>
      <w:r w:rsidRPr="00053375">
        <w:rPr>
          <w:sz w:val="18"/>
          <w:szCs w:val="18"/>
          <w:lang w:val="es-ES_tradnl"/>
        </w:rPr>
        <w:t xml:space="preserve">Nota: *Estimaciones. </w:t>
      </w:r>
      <w:r w:rsidRPr="00053375">
        <w:rPr>
          <w:rFonts w:ascii="Calibri" w:eastAsia="Times New Roman" w:hAnsi="Calibri" w:cs="Times New Roman"/>
          <w:color w:val="000000"/>
          <w:sz w:val="18"/>
          <w:szCs w:val="18"/>
          <w:lang w:val="es-ES_tradnl" w:eastAsia="fr-FR"/>
        </w:rPr>
        <w:t xml:space="preserve">Los datos correspondientes a Bahamas, Belice, Dominica, Granada y Saint </w:t>
      </w:r>
      <w:proofErr w:type="spellStart"/>
      <w:r w:rsidRPr="00053375">
        <w:rPr>
          <w:rFonts w:ascii="Calibri" w:eastAsia="Times New Roman" w:hAnsi="Calibri" w:cs="Times New Roman"/>
          <w:color w:val="000000"/>
          <w:sz w:val="18"/>
          <w:szCs w:val="18"/>
          <w:lang w:val="es-ES_tradnl" w:eastAsia="fr-FR"/>
        </w:rPr>
        <w:t>Kitts</w:t>
      </w:r>
      <w:proofErr w:type="spellEnd"/>
      <w:r w:rsidRPr="00053375">
        <w:rPr>
          <w:rFonts w:ascii="Calibri" w:eastAsia="Times New Roman" w:hAnsi="Calibri" w:cs="Times New Roman"/>
          <w:color w:val="000000"/>
          <w:sz w:val="18"/>
          <w:szCs w:val="18"/>
          <w:lang w:val="es-ES_tradnl" w:eastAsia="fr-FR"/>
        </w:rPr>
        <w:t xml:space="preserve"> y </w:t>
      </w:r>
      <w:proofErr w:type="spellStart"/>
      <w:r w:rsidRPr="00053375">
        <w:rPr>
          <w:rFonts w:ascii="Calibri" w:eastAsia="Times New Roman" w:hAnsi="Calibri" w:cs="Times New Roman"/>
          <w:color w:val="000000"/>
          <w:sz w:val="18"/>
          <w:szCs w:val="18"/>
          <w:lang w:val="es-ES_tradnl" w:eastAsia="fr-FR"/>
        </w:rPr>
        <w:t>Nevis</w:t>
      </w:r>
      <w:proofErr w:type="spellEnd"/>
      <w:r w:rsidRPr="00053375">
        <w:rPr>
          <w:rFonts w:ascii="Calibri" w:eastAsia="Times New Roman" w:hAnsi="Calibri" w:cs="Times New Roman"/>
          <w:color w:val="000000"/>
          <w:sz w:val="18"/>
          <w:szCs w:val="18"/>
          <w:lang w:val="es-ES_tradnl" w:eastAsia="fr-FR"/>
        </w:rPr>
        <w:t xml:space="preserve"> no están disponibles. </w:t>
      </w:r>
      <w:r w:rsidRPr="00053375">
        <w:rPr>
          <w:sz w:val="18"/>
          <w:szCs w:val="18"/>
          <w:lang w:val="es-ES_tradnl"/>
        </w:rPr>
        <w:t>La línea roja del gráfico superior muestra la media mundial en 2012.</w:t>
      </w:r>
    </w:p>
    <w:p w:rsidR="00A91BB0" w:rsidRPr="00053375" w:rsidRDefault="00A91BB0" w:rsidP="0017378D">
      <w:pPr>
        <w:spacing w:after="0" w:line="240" w:lineRule="auto"/>
        <w:jc w:val="both"/>
        <w:rPr>
          <w:sz w:val="18"/>
          <w:szCs w:val="18"/>
          <w:lang w:val="es-ES_tradnl"/>
        </w:rPr>
      </w:pPr>
    </w:p>
    <w:p w:rsidR="00A91BB0" w:rsidRPr="00053375" w:rsidRDefault="00A91BB0" w:rsidP="0017378D">
      <w:pPr>
        <w:spacing w:after="0" w:line="240" w:lineRule="auto"/>
        <w:jc w:val="both"/>
        <w:rPr>
          <w:sz w:val="18"/>
          <w:szCs w:val="18"/>
          <w:lang w:val="es-ES_tradnl"/>
        </w:rPr>
      </w:pPr>
      <w:r w:rsidRPr="00053375">
        <w:rPr>
          <w:sz w:val="18"/>
          <w:szCs w:val="18"/>
          <w:lang w:val="es-ES_tradnl"/>
        </w:rPr>
        <w:t>Leyenda</w:t>
      </w:r>
      <w:r>
        <w:rPr>
          <w:sz w:val="18"/>
          <w:szCs w:val="18"/>
          <w:lang w:val="es-ES_tradnl"/>
        </w:rPr>
        <w:t>s</w:t>
      </w:r>
      <w:r w:rsidRPr="00053375">
        <w:rPr>
          <w:sz w:val="18"/>
          <w:szCs w:val="18"/>
          <w:lang w:val="es-ES_tradnl"/>
        </w:rPr>
        <w:t xml:space="preserve"> de la Figura:</w:t>
      </w:r>
    </w:p>
    <w:p w:rsidR="00A91BB0" w:rsidRPr="00053375" w:rsidRDefault="00A91BB0" w:rsidP="0017378D">
      <w:pPr>
        <w:spacing w:after="0" w:line="240" w:lineRule="auto"/>
        <w:jc w:val="both"/>
        <w:rPr>
          <w:sz w:val="18"/>
          <w:szCs w:val="18"/>
          <w:lang w:val="es-ES_tradnl"/>
        </w:rPr>
      </w:pPr>
      <w:r w:rsidRPr="00053375">
        <w:rPr>
          <w:sz w:val="18"/>
          <w:szCs w:val="18"/>
          <w:lang w:val="es-ES_tradnl"/>
        </w:rPr>
        <w:t>1 - Media mundial</w:t>
      </w:r>
    </w:p>
    <w:p w:rsidR="00A91BB0" w:rsidRPr="00053375" w:rsidRDefault="00A91BB0" w:rsidP="0017378D">
      <w:pPr>
        <w:spacing w:after="0" w:line="240" w:lineRule="auto"/>
        <w:jc w:val="both"/>
        <w:rPr>
          <w:sz w:val="18"/>
          <w:szCs w:val="18"/>
          <w:lang w:val="es-ES_tradnl"/>
        </w:rPr>
      </w:pPr>
      <w:r w:rsidRPr="00053375">
        <w:rPr>
          <w:sz w:val="18"/>
          <w:szCs w:val="18"/>
          <w:lang w:val="es-ES_tradnl"/>
        </w:rPr>
        <w:t>2 - Canadá</w:t>
      </w:r>
    </w:p>
    <w:p w:rsidR="00A91BB0" w:rsidRPr="00053375" w:rsidRDefault="00A91BB0" w:rsidP="0017378D">
      <w:pPr>
        <w:spacing w:after="0" w:line="240" w:lineRule="auto"/>
        <w:jc w:val="both"/>
        <w:rPr>
          <w:sz w:val="18"/>
          <w:szCs w:val="18"/>
          <w:lang w:val="es-ES_tradnl"/>
        </w:rPr>
      </w:pPr>
      <w:r w:rsidRPr="00053375">
        <w:rPr>
          <w:sz w:val="18"/>
          <w:szCs w:val="18"/>
          <w:lang w:val="es-ES_tradnl"/>
        </w:rPr>
        <w:t>3 - Estados Unidos de América</w:t>
      </w:r>
    </w:p>
    <w:p w:rsidR="00A91BB0" w:rsidRPr="00053375" w:rsidRDefault="00A91BB0" w:rsidP="0017378D">
      <w:pPr>
        <w:spacing w:after="0" w:line="240" w:lineRule="auto"/>
        <w:jc w:val="both"/>
        <w:rPr>
          <w:sz w:val="18"/>
          <w:szCs w:val="18"/>
          <w:lang w:val="es-ES_tradnl"/>
        </w:rPr>
      </w:pPr>
      <w:r w:rsidRPr="00053375">
        <w:rPr>
          <w:sz w:val="18"/>
          <w:szCs w:val="18"/>
          <w:lang w:val="es-ES_tradnl"/>
        </w:rPr>
        <w:t>4 - Barbados</w:t>
      </w:r>
    </w:p>
    <w:p w:rsidR="00A91BB0" w:rsidRPr="00053375" w:rsidRDefault="00A91BB0" w:rsidP="0017378D">
      <w:pPr>
        <w:spacing w:after="0" w:line="240" w:lineRule="auto"/>
        <w:jc w:val="both"/>
        <w:rPr>
          <w:sz w:val="18"/>
          <w:szCs w:val="18"/>
          <w:lang w:val="es-ES_tradnl"/>
        </w:rPr>
      </w:pPr>
      <w:r w:rsidRPr="00053375">
        <w:rPr>
          <w:sz w:val="18"/>
          <w:szCs w:val="18"/>
          <w:lang w:val="es-ES_tradnl"/>
        </w:rPr>
        <w:lastRenderedPageBreak/>
        <w:t>5 - San Vicente y las Granadinas</w:t>
      </w:r>
    </w:p>
    <w:p w:rsidR="00A91BB0" w:rsidRPr="00053375" w:rsidRDefault="00A91BB0" w:rsidP="0017378D">
      <w:pPr>
        <w:spacing w:after="0" w:line="240" w:lineRule="auto"/>
        <w:jc w:val="both"/>
        <w:rPr>
          <w:sz w:val="18"/>
          <w:szCs w:val="18"/>
          <w:lang w:val="es-ES_tradnl"/>
        </w:rPr>
      </w:pPr>
      <w:r w:rsidRPr="00053375">
        <w:rPr>
          <w:sz w:val="18"/>
          <w:szCs w:val="18"/>
          <w:lang w:val="es-ES_tradnl"/>
        </w:rPr>
        <w:t>6 - Uruguay</w:t>
      </w:r>
    </w:p>
    <w:p w:rsidR="00A91BB0" w:rsidRPr="00053375" w:rsidRDefault="00A91BB0" w:rsidP="0017378D">
      <w:pPr>
        <w:spacing w:after="0" w:line="240" w:lineRule="auto"/>
        <w:jc w:val="both"/>
        <w:rPr>
          <w:sz w:val="18"/>
          <w:szCs w:val="18"/>
          <w:lang w:val="es-ES_tradnl"/>
        </w:rPr>
      </w:pPr>
      <w:r w:rsidRPr="00053375">
        <w:rPr>
          <w:sz w:val="18"/>
          <w:szCs w:val="18"/>
          <w:lang w:val="es-ES_tradnl"/>
        </w:rPr>
        <w:t>7 - Antigua y Barbuda</w:t>
      </w:r>
    </w:p>
    <w:p w:rsidR="00A91BB0" w:rsidRPr="00053375" w:rsidRDefault="00A91BB0" w:rsidP="0017378D">
      <w:pPr>
        <w:spacing w:after="0" w:line="240" w:lineRule="auto"/>
        <w:jc w:val="both"/>
        <w:rPr>
          <w:sz w:val="18"/>
          <w:szCs w:val="18"/>
          <w:lang w:val="es-ES_tradnl"/>
        </w:rPr>
      </w:pPr>
      <w:r w:rsidRPr="00053375">
        <w:rPr>
          <w:sz w:val="18"/>
          <w:szCs w:val="18"/>
          <w:lang w:val="es-ES_tradnl"/>
        </w:rPr>
        <w:t>8 - Argentina</w:t>
      </w:r>
    </w:p>
    <w:p w:rsidR="00A91BB0" w:rsidRPr="00053375" w:rsidRDefault="00A91BB0" w:rsidP="0017378D">
      <w:pPr>
        <w:spacing w:after="0" w:line="240" w:lineRule="auto"/>
        <w:jc w:val="both"/>
        <w:rPr>
          <w:sz w:val="18"/>
          <w:szCs w:val="18"/>
          <w:lang w:val="es-ES_tradnl"/>
        </w:rPr>
      </w:pPr>
      <w:r w:rsidRPr="00053375">
        <w:rPr>
          <w:sz w:val="18"/>
          <w:szCs w:val="18"/>
          <w:lang w:val="es-ES_tradnl"/>
        </w:rPr>
        <w:t>9 - Costa Rica</w:t>
      </w:r>
    </w:p>
    <w:p w:rsidR="00A91BB0" w:rsidRPr="00053375" w:rsidRDefault="00A91BB0" w:rsidP="0017378D">
      <w:pPr>
        <w:spacing w:after="0" w:line="240" w:lineRule="auto"/>
        <w:jc w:val="both"/>
        <w:rPr>
          <w:sz w:val="18"/>
          <w:szCs w:val="18"/>
          <w:lang w:val="es-ES_tradnl"/>
        </w:rPr>
      </w:pPr>
      <w:r w:rsidRPr="00053375">
        <w:rPr>
          <w:sz w:val="18"/>
          <w:szCs w:val="18"/>
          <w:lang w:val="es-ES_tradnl"/>
        </w:rPr>
        <w:t>10 - Brasil</w:t>
      </w:r>
    </w:p>
    <w:p w:rsidR="00A91BB0" w:rsidRPr="00053375" w:rsidRDefault="00A91BB0" w:rsidP="0017378D">
      <w:pPr>
        <w:spacing w:after="0" w:line="240" w:lineRule="auto"/>
        <w:jc w:val="both"/>
        <w:rPr>
          <w:sz w:val="18"/>
          <w:szCs w:val="18"/>
          <w:lang w:val="es-ES_tradnl"/>
        </w:rPr>
      </w:pPr>
      <w:r w:rsidRPr="00053375">
        <w:rPr>
          <w:sz w:val="18"/>
          <w:szCs w:val="18"/>
          <w:lang w:val="es-ES_tradnl"/>
        </w:rPr>
        <w:t>11 - Chile</w:t>
      </w:r>
    </w:p>
    <w:p w:rsidR="00A91BB0" w:rsidRPr="00053375" w:rsidRDefault="00A91BB0" w:rsidP="0017378D">
      <w:pPr>
        <w:spacing w:after="0" w:line="240" w:lineRule="auto"/>
        <w:jc w:val="both"/>
        <w:rPr>
          <w:sz w:val="18"/>
          <w:szCs w:val="18"/>
          <w:lang w:val="es-ES_tradnl"/>
        </w:rPr>
      </w:pPr>
      <w:r w:rsidRPr="00053375">
        <w:rPr>
          <w:sz w:val="18"/>
          <w:szCs w:val="18"/>
          <w:lang w:val="es-ES_tradnl"/>
        </w:rPr>
        <w:t xml:space="preserve">12 - Trinidad y </w:t>
      </w:r>
      <w:proofErr w:type="spellStart"/>
      <w:r w:rsidRPr="00053375">
        <w:rPr>
          <w:sz w:val="18"/>
          <w:szCs w:val="18"/>
          <w:lang w:val="es-ES_tradnl"/>
        </w:rPr>
        <w:t>Tabago</w:t>
      </w:r>
      <w:proofErr w:type="spellEnd"/>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13 - Santa Lucía</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14 - Colombia</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15 - Panamá</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16 - México</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17 - Jamaica</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18 - Paraguay</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19 - Ecuador</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 xml:space="preserve">20 - </w:t>
      </w:r>
      <w:proofErr w:type="spellStart"/>
      <w:r w:rsidRPr="00053375">
        <w:rPr>
          <w:rFonts w:ascii="Calibri" w:eastAsia="Times New Roman" w:hAnsi="Calibri" w:cs="Times New Roman"/>
          <w:color w:val="000000"/>
          <w:sz w:val="18"/>
          <w:szCs w:val="18"/>
          <w:lang w:val="es-ES_tradnl" w:eastAsia="fr-FR"/>
        </w:rPr>
        <w:t>Suriname</w:t>
      </w:r>
      <w:proofErr w:type="spellEnd"/>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21 - Venezuela</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22 - Perú</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23 - El Salvador</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24 - República Dominicana</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25 - Honduras</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26 - Bolivia</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27 - Guatemala</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28 - Guyana</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29 - Nicaragua</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30 - Cuba</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31 - Haití</w:t>
      </w:r>
    </w:p>
    <w:p w:rsidR="00A91BB0" w:rsidRPr="00053375" w:rsidRDefault="00A91BB0" w:rsidP="00F60529">
      <w:pPr>
        <w:spacing w:after="0" w:line="240" w:lineRule="auto"/>
        <w:jc w:val="both"/>
        <w:rPr>
          <w:rFonts w:ascii="Calibri" w:eastAsia="Times New Roman" w:hAnsi="Calibri" w:cs="Times New Roman"/>
          <w:color w:val="000000"/>
          <w:sz w:val="18"/>
          <w:szCs w:val="18"/>
          <w:lang w:val="es-ES_tradnl" w:eastAsia="fr-FR"/>
        </w:rPr>
      </w:pPr>
      <w:r w:rsidRPr="00053375">
        <w:rPr>
          <w:rFonts w:ascii="Calibri" w:eastAsia="Times New Roman" w:hAnsi="Calibri" w:cs="Times New Roman"/>
          <w:color w:val="000000"/>
          <w:sz w:val="18"/>
          <w:szCs w:val="18"/>
          <w:lang w:val="es-ES_tradnl" w:eastAsia="fr-FR"/>
        </w:rPr>
        <w:t>32 - Por 100 habitantes</w:t>
      </w:r>
    </w:p>
    <w:p w:rsidR="00A91BB0" w:rsidRPr="00053375" w:rsidRDefault="00A91BB0" w:rsidP="0017378D">
      <w:pPr>
        <w:spacing w:after="0" w:line="240" w:lineRule="auto"/>
        <w:jc w:val="both"/>
        <w:rPr>
          <w:rFonts w:ascii="Calibri" w:eastAsia="Times New Roman" w:hAnsi="Calibri" w:cs="Times New Roman"/>
          <w:color w:val="000000"/>
          <w:sz w:val="18"/>
          <w:szCs w:val="18"/>
          <w:lang w:val="es-ES_tradnl" w:eastAsia="fr-FR"/>
        </w:rPr>
      </w:pPr>
    </w:p>
    <w:p w:rsidR="00A91BB0" w:rsidRPr="00053375" w:rsidRDefault="00A91BB0" w:rsidP="00F60529">
      <w:pPr>
        <w:contextualSpacing/>
        <w:rPr>
          <w:sz w:val="18"/>
          <w:szCs w:val="18"/>
          <w:lang w:val="es-ES_tradnl"/>
        </w:rPr>
      </w:pPr>
      <w:r w:rsidRPr="00053375">
        <w:rPr>
          <w:sz w:val="18"/>
          <w:szCs w:val="18"/>
          <w:lang w:val="es-ES_tradnl"/>
        </w:rPr>
        <w:t>Leyenda</w:t>
      </w:r>
      <w:r>
        <w:rPr>
          <w:sz w:val="18"/>
          <w:szCs w:val="18"/>
          <w:lang w:val="es-ES_tradnl"/>
        </w:rPr>
        <w:t>s</w:t>
      </w:r>
      <w:r w:rsidRPr="00053375">
        <w:rPr>
          <w:sz w:val="18"/>
          <w:szCs w:val="18"/>
          <w:lang w:val="es-ES_tradnl"/>
        </w:rPr>
        <w:t xml:space="preserve"> de la Figura inferior:</w:t>
      </w:r>
    </w:p>
    <w:p w:rsidR="00A91BB0" w:rsidRPr="00053375" w:rsidRDefault="00A91BB0" w:rsidP="00004E00">
      <w:pPr>
        <w:contextualSpacing/>
        <w:rPr>
          <w:sz w:val="18"/>
          <w:szCs w:val="18"/>
          <w:lang w:val="es-ES_tradnl"/>
        </w:rPr>
      </w:pPr>
      <w:r w:rsidRPr="00053375">
        <w:rPr>
          <w:sz w:val="18"/>
          <w:szCs w:val="18"/>
          <w:lang w:val="es-ES_tradnl"/>
        </w:rPr>
        <w:t>1 - Por 100 habitantes</w:t>
      </w:r>
    </w:p>
    <w:p w:rsidR="00A91BB0" w:rsidRPr="00053375" w:rsidRDefault="00A91BB0" w:rsidP="0017378D">
      <w:pPr>
        <w:contextualSpacing/>
        <w:rPr>
          <w:sz w:val="18"/>
          <w:szCs w:val="18"/>
          <w:lang w:val="es-ES_tradnl"/>
        </w:rPr>
      </w:pPr>
      <w:r w:rsidRPr="00053375">
        <w:rPr>
          <w:sz w:val="18"/>
          <w:szCs w:val="18"/>
          <w:lang w:val="es-ES_tradnl"/>
        </w:rPr>
        <w:t>2 - África</w:t>
      </w:r>
    </w:p>
    <w:p w:rsidR="00A91BB0" w:rsidRPr="00053375" w:rsidRDefault="00A91BB0" w:rsidP="00F60529">
      <w:pPr>
        <w:contextualSpacing/>
        <w:rPr>
          <w:sz w:val="18"/>
          <w:szCs w:val="18"/>
          <w:lang w:val="es-ES_tradnl"/>
        </w:rPr>
      </w:pPr>
      <w:r w:rsidRPr="00053375">
        <w:rPr>
          <w:sz w:val="18"/>
          <w:szCs w:val="18"/>
          <w:lang w:val="es-ES_tradnl"/>
        </w:rPr>
        <w:t>3 - Asia y  el Pacífico</w:t>
      </w:r>
    </w:p>
    <w:p w:rsidR="00A91BB0" w:rsidRPr="00053375" w:rsidRDefault="00A91BB0" w:rsidP="00F60529">
      <w:pPr>
        <w:contextualSpacing/>
        <w:rPr>
          <w:sz w:val="18"/>
          <w:szCs w:val="18"/>
          <w:lang w:val="es-ES_tradnl"/>
        </w:rPr>
      </w:pPr>
      <w:r w:rsidRPr="00053375">
        <w:rPr>
          <w:sz w:val="18"/>
          <w:szCs w:val="18"/>
          <w:lang w:val="es-ES_tradnl"/>
        </w:rPr>
        <w:t xml:space="preserve">4 - Estados Árabes </w:t>
      </w:r>
    </w:p>
    <w:p w:rsidR="00A91BB0" w:rsidRPr="00053375" w:rsidRDefault="00A91BB0" w:rsidP="0017378D">
      <w:pPr>
        <w:contextualSpacing/>
        <w:rPr>
          <w:sz w:val="18"/>
          <w:szCs w:val="18"/>
          <w:lang w:val="es-ES_tradnl"/>
        </w:rPr>
      </w:pPr>
      <w:r w:rsidRPr="00053375">
        <w:rPr>
          <w:sz w:val="18"/>
          <w:szCs w:val="18"/>
          <w:lang w:val="es-ES_tradnl"/>
        </w:rPr>
        <w:t>5 - CEI</w:t>
      </w:r>
    </w:p>
    <w:p w:rsidR="00A91BB0" w:rsidRPr="00053375" w:rsidRDefault="00A91BB0" w:rsidP="0017378D">
      <w:pPr>
        <w:contextualSpacing/>
        <w:rPr>
          <w:sz w:val="18"/>
          <w:szCs w:val="18"/>
          <w:lang w:val="es-ES_tradnl"/>
        </w:rPr>
      </w:pPr>
      <w:r w:rsidRPr="00053375">
        <w:rPr>
          <w:sz w:val="18"/>
          <w:szCs w:val="18"/>
          <w:lang w:val="es-ES_tradnl"/>
        </w:rPr>
        <w:t>6 - Las Américas</w:t>
      </w:r>
    </w:p>
    <w:p w:rsidR="00A91BB0" w:rsidRPr="00053375" w:rsidRDefault="00A91BB0" w:rsidP="0017378D">
      <w:pPr>
        <w:contextualSpacing/>
        <w:rPr>
          <w:sz w:val="18"/>
          <w:szCs w:val="18"/>
          <w:lang w:val="es-ES_tradnl"/>
        </w:rPr>
      </w:pPr>
      <w:r w:rsidRPr="00053375">
        <w:rPr>
          <w:sz w:val="18"/>
          <w:szCs w:val="18"/>
          <w:lang w:val="es-ES_tradnl"/>
        </w:rPr>
        <w:t>7 - América Latina y el Caribe</w:t>
      </w:r>
    </w:p>
    <w:p w:rsidR="00A91BB0" w:rsidRPr="00053375" w:rsidRDefault="00A91BB0" w:rsidP="0017378D">
      <w:pPr>
        <w:contextualSpacing/>
        <w:rPr>
          <w:sz w:val="18"/>
          <w:szCs w:val="18"/>
          <w:lang w:val="es-ES_tradnl"/>
        </w:rPr>
      </w:pPr>
      <w:r w:rsidRPr="00053375">
        <w:rPr>
          <w:sz w:val="18"/>
          <w:szCs w:val="18"/>
          <w:lang w:val="es-ES_tradnl"/>
        </w:rPr>
        <w:t>8 - Europa</w:t>
      </w:r>
    </w:p>
    <w:p w:rsidR="00A91BB0" w:rsidRPr="00053375" w:rsidRDefault="00A91BB0" w:rsidP="0017378D">
      <w:pPr>
        <w:contextualSpacing/>
        <w:rPr>
          <w:sz w:val="18"/>
          <w:szCs w:val="18"/>
          <w:lang w:val="es-ES_tradnl"/>
        </w:rPr>
      </w:pPr>
      <w:r w:rsidRPr="00053375">
        <w:rPr>
          <w:sz w:val="18"/>
          <w:szCs w:val="18"/>
          <w:lang w:val="es-ES_tradnl"/>
        </w:rPr>
        <w:t>9 - Países en desarrollo</w:t>
      </w:r>
    </w:p>
    <w:p w:rsidR="00A91BB0" w:rsidRPr="00053375" w:rsidRDefault="00A91BB0" w:rsidP="0017378D">
      <w:pPr>
        <w:contextualSpacing/>
        <w:rPr>
          <w:sz w:val="18"/>
          <w:szCs w:val="18"/>
          <w:lang w:val="es-ES_tradnl"/>
        </w:rPr>
      </w:pPr>
      <w:r w:rsidRPr="00053375">
        <w:rPr>
          <w:sz w:val="18"/>
          <w:szCs w:val="18"/>
          <w:lang w:val="es-ES_tradnl"/>
        </w:rPr>
        <w:t>10 - Mundo</w:t>
      </w:r>
    </w:p>
    <w:p w:rsidR="00A91BB0" w:rsidRPr="00053375" w:rsidRDefault="00A91BB0" w:rsidP="00F60529">
      <w:pPr>
        <w:spacing w:after="0" w:line="240" w:lineRule="auto"/>
        <w:jc w:val="both"/>
        <w:rPr>
          <w:sz w:val="18"/>
          <w:szCs w:val="18"/>
          <w:lang w:val="es-ES_tradnl"/>
        </w:rPr>
      </w:pPr>
      <w:r w:rsidRPr="00053375">
        <w:rPr>
          <w:sz w:val="18"/>
          <w:szCs w:val="18"/>
          <w:lang w:val="es-ES_tradnl"/>
        </w:rPr>
        <w:t>11 - Países desarrollados</w:t>
      </w:r>
    </w:p>
    <w:p w:rsidR="00A91BB0" w:rsidRPr="00053375" w:rsidRDefault="00A91BB0" w:rsidP="00F60529">
      <w:pPr>
        <w:spacing w:before="120" w:after="0" w:line="240" w:lineRule="auto"/>
        <w:rPr>
          <w:lang w:val="es-ES_tradnl"/>
        </w:rPr>
      </w:pPr>
      <w:r w:rsidRPr="00053375">
        <w:rPr>
          <w:lang w:val="es-ES_tradnl"/>
        </w:rPr>
        <w:t>En las dos secciones siguientes se ofrece un análisis regional del Índice de Desarrollo de las TIC (IDI) y de la Cesta de Precios de las TIC (IPB), dos herramientas de referencia de las TIC que la UIT publicó en 2012 (UIT, 2012).</w:t>
      </w:r>
    </w:p>
    <w:p w:rsidR="00A91BB0" w:rsidRPr="00053375" w:rsidRDefault="00A91BB0" w:rsidP="0017378D">
      <w:pPr>
        <w:pStyle w:val="Heading2"/>
        <w:numPr>
          <w:ilvl w:val="0"/>
          <w:numId w:val="3"/>
        </w:numPr>
        <w:jc w:val="both"/>
        <w:rPr>
          <w:lang w:val="es-ES_tradnl"/>
        </w:rPr>
      </w:pPr>
      <w:bookmarkStart w:id="7" w:name="_Toc351122023"/>
      <w:bookmarkStart w:id="8" w:name="_Toc358028710"/>
      <w:bookmarkStart w:id="9" w:name="_Toc359935895"/>
      <w:r w:rsidRPr="00053375">
        <w:rPr>
          <w:rFonts w:asciiTheme="minorHAnsi" w:hAnsiTheme="minorHAnsi"/>
          <w:lang w:val="es-ES_tradnl"/>
        </w:rPr>
        <w:t>Índice de Desarrollo de las TIC (IDI) en la Región de las Américas</w:t>
      </w:r>
      <w:r w:rsidRPr="00053375">
        <w:rPr>
          <w:rStyle w:val="FootnoteReference"/>
          <w:rFonts w:asciiTheme="minorHAnsi" w:hAnsiTheme="minorHAnsi"/>
          <w:lang w:val="es-ES_tradnl"/>
        </w:rPr>
        <w:footnoteReference w:id="19"/>
      </w:r>
      <w:bookmarkEnd w:id="7"/>
      <w:bookmarkEnd w:id="8"/>
      <w:bookmarkEnd w:id="9"/>
    </w:p>
    <w:p w:rsidR="00A91BB0" w:rsidRPr="00053375" w:rsidRDefault="00A91BB0" w:rsidP="00F60529">
      <w:pPr>
        <w:spacing w:before="120" w:after="0" w:line="240" w:lineRule="auto"/>
        <w:jc w:val="both"/>
        <w:rPr>
          <w:lang w:val="es-ES_tradnl"/>
        </w:rPr>
      </w:pPr>
      <w:r w:rsidRPr="00053375">
        <w:rPr>
          <w:lang w:val="es-ES_tradnl"/>
        </w:rPr>
        <w:t>El Índice de Desarrollo de las TIC (IDI) es un índice compuesto que combina 11 indicadores en una medida de referencia cuya finalidad es vigilar y comparar los avances en materia de tecnologías de la información y la comunicación (TIC) en distintos países. El IDI se divide en los siguientes tres subíndices y utiliza para sus mediciones una escala que va del 0 (mínimo/valor más bajo) al 10 (máximo/valor más alto):</w:t>
      </w:r>
    </w:p>
    <w:p w:rsidR="00A91BB0" w:rsidRPr="00053375" w:rsidRDefault="00A91BB0" w:rsidP="00F60529">
      <w:pPr>
        <w:pStyle w:val="NormalWeb"/>
        <w:numPr>
          <w:ilvl w:val="0"/>
          <w:numId w:val="2"/>
        </w:numPr>
        <w:spacing w:before="60" w:after="0" w:line="240" w:lineRule="auto"/>
        <w:ind w:left="714" w:hanging="357"/>
        <w:rPr>
          <w:rFonts w:asciiTheme="minorHAnsi" w:hAnsiTheme="minorHAnsi"/>
          <w:sz w:val="22"/>
          <w:szCs w:val="22"/>
          <w:lang w:val="es-ES_tradnl"/>
        </w:rPr>
      </w:pPr>
      <w:r w:rsidRPr="00053375">
        <w:rPr>
          <w:rFonts w:asciiTheme="minorHAnsi" w:hAnsiTheme="minorHAnsi"/>
          <w:i/>
          <w:iCs/>
          <w:sz w:val="22"/>
          <w:szCs w:val="22"/>
          <w:lang w:val="es-ES_tradnl"/>
        </w:rPr>
        <w:t>Subíndice acceso</w:t>
      </w:r>
      <w:r w:rsidRPr="00053375">
        <w:rPr>
          <w:rFonts w:asciiTheme="minorHAnsi" w:hAnsiTheme="minorHAnsi"/>
          <w:sz w:val="22"/>
          <w:szCs w:val="22"/>
          <w:lang w:val="es-ES_tradnl"/>
        </w:rPr>
        <w:t>: este subíndice recoge el nivel de preparación en materia de TIC e incluye cinco indicadores relacionados con las infraestructuras y el acceso (abonos a telefonía fija, abonos a telefonía móvil celular, anchura de banda internacional para Internet por usuario de Internet, porcentaje de hogares en los que hay un computador y porcentaje de hogares con acceso a Internet).</w:t>
      </w:r>
    </w:p>
    <w:p w:rsidR="00A91BB0" w:rsidRPr="00053375" w:rsidRDefault="00A91BB0" w:rsidP="00F60529">
      <w:pPr>
        <w:pStyle w:val="NormalWeb"/>
        <w:numPr>
          <w:ilvl w:val="0"/>
          <w:numId w:val="2"/>
        </w:numPr>
        <w:spacing w:before="80" w:after="0" w:line="240" w:lineRule="auto"/>
        <w:ind w:left="714" w:hanging="357"/>
        <w:rPr>
          <w:rFonts w:asciiTheme="minorHAnsi" w:hAnsiTheme="minorHAnsi"/>
          <w:sz w:val="22"/>
          <w:szCs w:val="22"/>
          <w:lang w:val="es-ES_tradnl"/>
        </w:rPr>
      </w:pPr>
      <w:r w:rsidRPr="00053375">
        <w:rPr>
          <w:rFonts w:asciiTheme="minorHAnsi" w:hAnsiTheme="minorHAnsi"/>
          <w:i/>
          <w:iCs/>
          <w:sz w:val="22"/>
          <w:szCs w:val="22"/>
          <w:lang w:val="es-ES_tradnl"/>
        </w:rPr>
        <w:lastRenderedPageBreak/>
        <w:t>Subíndice uso</w:t>
      </w:r>
      <w:r w:rsidRPr="00053375">
        <w:rPr>
          <w:rFonts w:asciiTheme="minorHAnsi" w:hAnsiTheme="minorHAnsi"/>
          <w:sz w:val="22"/>
          <w:szCs w:val="22"/>
          <w:lang w:val="es-ES_tradnl"/>
        </w:rPr>
        <w:t>: este subíndice recoge la intensidad de las TIC e incluye tres indicadores de la intensidad y el uso de las TIC (porcentaje de usuarios de Internet, abonos a banda ancha fija (cableada) y abonos activos a banda ancha móvil</w:t>
      </w:r>
      <w:r w:rsidRPr="00053375">
        <w:rPr>
          <w:rStyle w:val="FootnoteReference"/>
          <w:rFonts w:asciiTheme="minorHAnsi" w:hAnsiTheme="minorHAnsi"/>
          <w:sz w:val="22"/>
          <w:szCs w:val="22"/>
          <w:lang w:val="es-ES_tradnl"/>
        </w:rPr>
        <w:footnoteReference w:id="20"/>
      </w:r>
      <w:r w:rsidRPr="00053375">
        <w:rPr>
          <w:rFonts w:asciiTheme="minorHAnsi" w:hAnsiTheme="minorHAnsi"/>
          <w:sz w:val="22"/>
          <w:szCs w:val="22"/>
          <w:lang w:val="es-ES_tradnl"/>
        </w:rPr>
        <w:t xml:space="preserve">). </w:t>
      </w:r>
    </w:p>
    <w:p w:rsidR="00A91BB0" w:rsidRPr="00053375" w:rsidRDefault="00A91BB0" w:rsidP="00F60529">
      <w:pPr>
        <w:pStyle w:val="NormalWeb"/>
        <w:numPr>
          <w:ilvl w:val="0"/>
          <w:numId w:val="2"/>
        </w:numPr>
        <w:spacing w:before="80" w:after="0" w:line="240" w:lineRule="auto"/>
        <w:ind w:left="714" w:hanging="357"/>
        <w:rPr>
          <w:rFonts w:asciiTheme="minorHAnsi" w:hAnsiTheme="minorHAnsi"/>
          <w:sz w:val="22"/>
          <w:szCs w:val="22"/>
          <w:lang w:val="es-ES_tradnl"/>
        </w:rPr>
      </w:pPr>
      <w:r w:rsidRPr="00053375">
        <w:rPr>
          <w:rFonts w:asciiTheme="minorHAnsi" w:hAnsiTheme="minorHAnsi"/>
          <w:i/>
          <w:iCs/>
          <w:sz w:val="22"/>
          <w:szCs w:val="22"/>
          <w:lang w:val="es-ES_tradnl"/>
        </w:rPr>
        <w:t>Subíndice aptitudes</w:t>
      </w:r>
      <w:r w:rsidRPr="00053375">
        <w:rPr>
          <w:rFonts w:asciiTheme="minorHAnsi" w:hAnsiTheme="minorHAnsi"/>
          <w:sz w:val="22"/>
          <w:szCs w:val="22"/>
          <w:lang w:val="es-ES_tradnl"/>
        </w:rPr>
        <w:t>: este subíndice captura la capacidad o las aptitudes en materia de TIC en cuanto que indicadores indispensables para medir la producción. Incluye tres indicadores intermedios (alfabetización de la población adulta, tasa bruta de matriculación en la enseñanza secundaria y tasa bruta de matriculación en la enseñanza terciaria) y, en consecuencia, tiene menos peso en el cálculo del IDI que los otros dos subíndices</w:t>
      </w:r>
      <w:r w:rsidRPr="00053375">
        <w:rPr>
          <w:rStyle w:val="FootnoteReference"/>
          <w:rFonts w:asciiTheme="minorHAnsi" w:hAnsiTheme="minorHAnsi"/>
          <w:sz w:val="22"/>
          <w:szCs w:val="22"/>
          <w:lang w:val="es-ES_tradnl"/>
        </w:rPr>
        <w:footnoteReference w:id="21"/>
      </w:r>
      <w:r w:rsidRPr="00053375">
        <w:rPr>
          <w:rFonts w:asciiTheme="minorHAnsi" w:hAnsiTheme="minorHAnsi"/>
          <w:sz w:val="22"/>
          <w:szCs w:val="22"/>
          <w:lang w:val="es-ES_tradnl"/>
        </w:rPr>
        <w:t>.</w:t>
      </w:r>
    </w:p>
    <w:p w:rsidR="00A91BB0" w:rsidRPr="00053375" w:rsidRDefault="00A91BB0" w:rsidP="00F60529">
      <w:pPr>
        <w:spacing w:before="120" w:after="0" w:line="240" w:lineRule="auto"/>
        <w:rPr>
          <w:lang w:val="es-ES_tradnl"/>
        </w:rPr>
      </w:pPr>
      <w:r w:rsidRPr="00053375">
        <w:rPr>
          <w:lang w:val="es-ES_tradnl"/>
        </w:rPr>
        <w:t>Un análisis del IDI muestra las diferencias en los avances en materia de TIC a escala mundial y regional. Si nos fijamos en el nivel regional, es posible destacar las tendencias e identificar los motivos por los cuales algunos países obtienen mejores resultados que otros o por qué se están quedando rezagados. De las seis regiones, las Américas</w:t>
      </w:r>
      <w:r w:rsidRPr="00053375">
        <w:rPr>
          <w:rStyle w:val="FootnoteReference"/>
          <w:lang w:val="es-ES_tradnl"/>
        </w:rPr>
        <w:footnoteReference w:id="22"/>
      </w:r>
      <w:r w:rsidRPr="00053375">
        <w:rPr>
          <w:lang w:val="es-ES_tradnl"/>
        </w:rPr>
        <w:t xml:space="preserve"> ocupa el tercer lugar en términos de IDI, con un valor medio en 2011 de 4,26, por detrás de Europa y de la CEI y por delante de Asia y el Pacífico, los Estados Árabes y África. El valor medio de las Américas en términos de IDI es ligeramente superior a la media mundial, que es de 4,15 (Figura 3.1). </w:t>
      </w:r>
    </w:p>
    <w:p w:rsidR="00A91BB0" w:rsidRPr="00053375" w:rsidRDefault="00A91BB0" w:rsidP="00F60529">
      <w:pPr>
        <w:keepNext/>
        <w:keepLines/>
        <w:spacing w:before="240" w:after="0" w:line="240" w:lineRule="auto"/>
        <w:jc w:val="both"/>
        <w:rPr>
          <w:b/>
          <w:bCs/>
          <w:lang w:val="es-ES_tradnl"/>
        </w:rPr>
      </w:pPr>
      <w:r w:rsidRPr="00053375">
        <w:rPr>
          <w:b/>
          <w:bCs/>
          <w:lang w:val="es-ES_tradnl"/>
        </w:rPr>
        <w:t xml:space="preserve">Figura 3.1: IDI desglosado por región, gama y promedio, 2011 </w:t>
      </w:r>
    </w:p>
    <w:p w:rsidR="00A91BB0" w:rsidRPr="00053375" w:rsidRDefault="00A91BB0" w:rsidP="008D7CF1">
      <w:pPr>
        <w:keepNext/>
        <w:keepLines/>
        <w:spacing w:after="0" w:line="360" w:lineRule="auto"/>
        <w:jc w:val="center"/>
        <w:rPr>
          <w:b/>
          <w:bCs/>
          <w:lang w:val="es-ES_tradnl"/>
        </w:rPr>
      </w:pPr>
      <w:r w:rsidRPr="00053375">
        <w:rPr>
          <w:b/>
          <w:bCs/>
          <w:noProof/>
          <w:lang w:eastAsia="en-US"/>
        </w:rPr>
        <w:drawing>
          <wp:inline distT="0" distB="0" distL="0" distR="0" wp14:anchorId="5DAED08F" wp14:editId="1683F071">
            <wp:extent cx="5169600" cy="2826000"/>
            <wp:effectExtent l="19050" t="19050" r="1206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69600" cy="2826000"/>
                    </a:xfrm>
                    <a:prstGeom prst="rect">
                      <a:avLst/>
                    </a:prstGeom>
                    <a:noFill/>
                    <a:ln w="3175">
                      <a:solidFill>
                        <a:schemeClr val="tx1"/>
                      </a:solidFill>
                    </a:ln>
                  </pic:spPr>
                </pic:pic>
              </a:graphicData>
            </a:graphic>
          </wp:inline>
        </w:drawing>
      </w:r>
    </w:p>
    <w:p w:rsidR="00A91BB0" w:rsidRPr="00053375" w:rsidRDefault="00A91BB0" w:rsidP="001C690E">
      <w:pPr>
        <w:keepNext/>
        <w:keepLines/>
        <w:spacing w:after="0" w:line="240" w:lineRule="auto"/>
        <w:jc w:val="both"/>
        <w:rPr>
          <w:sz w:val="18"/>
          <w:szCs w:val="18"/>
          <w:lang w:val="es-ES_tradnl"/>
        </w:rPr>
      </w:pPr>
      <w:r w:rsidRPr="00053375">
        <w:rPr>
          <w:sz w:val="18"/>
          <w:szCs w:val="18"/>
          <w:lang w:val="es-ES_tradnl"/>
        </w:rPr>
        <w:t>Origen: B</w:t>
      </w:r>
      <w:r w:rsidRPr="00EB3F15">
        <w:rPr>
          <w:sz w:val="18"/>
          <w:szCs w:val="18"/>
          <w:lang w:val="es-ES_tradnl"/>
        </w:rPr>
        <w:t>ase de datos de la UIT sobre Indicadores mundiales de las telecomunicaciones/TIC</w:t>
      </w:r>
      <w:r w:rsidRPr="00053375">
        <w:rPr>
          <w:sz w:val="18"/>
          <w:szCs w:val="18"/>
          <w:lang w:val="es-ES_tradnl"/>
        </w:rPr>
        <w:t>.</w:t>
      </w:r>
    </w:p>
    <w:p w:rsidR="00A91BB0" w:rsidRPr="00053375" w:rsidRDefault="00A91BB0" w:rsidP="001C690E">
      <w:pPr>
        <w:spacing w:after="0" w:line="240" w:lineRule="auto"/>
        <w:jc w:val="both"/>
        <w:rPr>
          <w:sz w:val="18"/>
          <w:szCs w:val="18"/>
          <w:lang w:val="es-ES_tradnl"/>
        </w:rPr>
      </w:pPr>
      <w:r w:rsidRPr="00053375">
        <w:rPr>
          <w:sz w:val="18"/>
          <w:szCs w:val="18"/>
          <w:lang w:val="es-ES_tradnl"/>
        </w:rPr>
        <w:t>Nota: medias simples.</w:t>
      </w:r>
    </w:p>
    <w:p w:rsidR="00A91BB0" w:rsidRPr="00053375" w:rsidRDefault="00A91BB0" w:rsidP="001C690E">
      <w:pPr>
        <w:spacing w:after="0" w:line="240" w:lineRule="auto"/>
        <w:jc w:val="both"/>
        <w:rPr>
          <w:sz w:val="18"/>
          <w:szCs w:val="18"/>
          <w:lang w:val="es-ES_tradnl"/>
        </w:rPr>
      </w:pPr>
    </w:p>
    <w:p w:rsidR="00A91BB0" w:rsidRPr="00053375" w:rsidRDefault="00A91BB0" w:rsidP="001C690E">
      <w:pPr>
        <w:spacing w:after="0" w:line="240" w:lineRule="auto"/>
        <w:jc w:val="both"/>
        <w:rPr>
          <w:sz w:val="18"/>
          <w:szCs w:val="18"/>
          <w:lang w:val="es-ES_tradnl"/>
        </w:rPr>
      </w:pPr>
      <w:r w:rsidRPr="00053375">
        <w:rPr>
          <w:sz w:val="18"/>
          <w:szCs w:val="18"/>
          <w:lang w:val="es-ES_tradnl"/>
        </w:rPr>
        <w:t>Leyenda</w:t>
      </w:r>
      <w:r>
        <w:rPr>
          <w:sz w:val="18"/>
          <w:szCs w:val="18"/>
          <w:lang w:val="es-ES_tradnl"/>
        </w:rPr>
        <w:t>s</w:t>
      </w:r>
      <w:r w:rsidRPr="00053375">
        <w:rPr>
          <w:sz w:val="18"/>
          <w:szCs w:val="18"/>
          <w:lang w:val="es-ES_tradnl"/>
        </w:rPr>
        <w:t xml:space="preserve"> de la Figura:</w:t>
      </w:r>
    </w:p>
    <w:p w:rsidR="00A91BB0" w:rsidRPr="00053375" w:rsidRDefault="00A91BB0" w:rsidP="001C690E">
      <w:pPr>
        <w:spacing w:after="0" w:line="240" w:lineRule="auto"/>
        <w:jc w:val="both"/>
        <w:rPr>
          <w:sz w:val="18"/>
          <w:szCs w:val="18"/>
          <w:lang w:val="es-ES_tradnl"/>
        </w:rPr>
      </w:pPr>
      <w:r w:rsidRPr="00053375">
        <w:rPr>
          <w:sz w:val="18"/>
          <w:szCs w:val="18"/>
          <w:lang w:val="es-ES_tradnl"/>
        </w:rPr>
        <w:t>1 - Media mundial IDI 2011</w:t>
      </w:r>
    </w:p>
    <w:p w:rsidR="00A91BB0" w:rsidRPr="00053375" w:rsidRDefault="00A91BB0" w:rsidP="001C690E">
      <w:pPr>
        <w:spacing w:after="0" w:line="240" w:lineRule="auto"/>
        <w:jc w:val="both"/>
        <w:rPr>
          <w:sz w:val="18"/>
          <w:szCs w:val="18"/>
          <w:lang w:val="es-ES_tradnl"/>
        </w:rPr>
      </w:pPr>
      <w:r w:rsidRPr="00053375">
        <w:rPr>
          <w:sz w:val="18"/>
          <w:szCs w:val="18"/>
          <w:lang w:val="es-ES_tradnl"/>
        </w:rPr>
        <w:t>2 - Media regional IDI 2011</w:t>
      </w:r>
    </w:p>
    <w:p w:rsidR="00A91BB0" w:rsidRPr="00053375" w:rsidRDefault="00A91BB0" w:rsidP="001C690E">
      <w:pPr>
        <w:spacing w:after="0" w:line="240" w:lineRule="auto"/>
        <w:jc w:val="both"/>
        <w:rPr>
          <w:sz w:val="18"/>
          <w:szCs w:val="18"/>
          <w:lang w:val="es-ES_tradnl"/>
        </w:rPr>
      </w:pPr>
      <w:r w:rsidRPr="00053375">
        <w:rPr>
          <w:sz w:val="18"/>
          <w:szCs w:val="18"/>
          <w:lang w:val="es-ES_tradnl"/>
        </w:rPr>
        <w:t>3 - Europa</w:t>
      </w:r>
    </w:p>
    <w:p w:rsidR="00A91BB0" w:rsidRPr="00053375" w:rsidRDefault="00A91BB0" w:rsidP="001C690E">
      <w:pPr>
        <w:spacing w:after="0" w:line="240" w:lineRule="auto"/>
        <w:jc w:val="both"/>
        <w:rPr>
          <w:sz w:val="18"/>
          <w:szCs w:val="18"/>
          <w:lang w:val="es-ES_tradnl"/>
        </w:rPr>
      </w:pPr>
      <w:r w:rsidRPr="00053375">
        <w:rPr>
          <w:sz w:val="18"/>
          <w:szCs w:val="18"/>
          <w:lang w:val="es-ES_tradnl"/>
        </w:rPr>
        <w:t>4 - CEI</w:t>
      </w:r>
    </w:p>
    <w:p w:rsidR="00A91BB0" w:rsidRPr="00053375" w:rsidRDefault="00A91BB0" w:rsidP="005445FE">
      <w:pPr>
        <w:spacing w:after="0" w:line="240" w:lineRule="auto"/>
        <w:jc w:val="both"/>
        <w:rPr>
          <w:sz w:val="18"/>
          <w:szCs w:val="18"/>
          <w:lang w:val="es-ES_tradnl"/>
        </w:rPr>
      </w:pPr>
      <w:r w:rsidRPr="00053375">
        <w:rPr>
          <w:sz w:val="18"/>
          <w:szCs w:val="18"/>
          <w:lang w:val="es-ES_tradnl"/>
        </w:rPr>
        <w:t>5 - Las Américas</w:t>
      </w:r>
    </w:p>
    <w:p w:rsidR="00A91BB0" w:rsidRPr="00053375" w:rsidRDefault="00A91BB0" w:rsidP="001C690E">
      <w:pPr>
        <w:spacing w:after="0" w:line="240" w:lineRule="auto"/>
        <w:jc w:val="both"/>
        <w:rPr>
          <w:sz w:val="18"/>
          <w:szCs w:val="18"/>
          <w:lang w:val="es-ES_tradnl"/>
        </w:rPr>
      </w:pPr>
      <w:r w:rsidRPr="00053375">
        <w:rPr>
          <w:sz w:val="18"/>
          <w:szCs w:val="18"/>
          <w:lang w:val="es-ES_tradnl"/>
        </w:rPr>
        <w:t>6 - Asia y el Pacífico</w:t>
      </w:r>
    </w:p>
    <w:p w:rsidR="00A91BB0" w:rsidRPr="00053375" w:rsidRDefault="00A91BB0" w:rsidP="001C690E">
      <w:pPr>
        <w:spacing w:after="0" w:line="240" w:lineRule="auto"/>
        <w:jc w:val="both"/>
        <w:rPr>
          <w:sz w:val="18"/>
          <w:szCs w:val="18"/>
          <w:lang w:val="es-ES_tradnl"/>
        </w:rPr>
      </w:pPr>
      <w:r w:rsidRPr="00053375">
        <w:rPr>
          <w:sz w:val="18"/>
          <w:szCs w:val="18"/>
          <w:lang w:val="es-ES_tradnl"/>
        </w:rPr>
        <w:t>7 - Estados Árabes</w:t>
      </w:r>
    </w:p>
    <w:p w:rsidR="00A91BB0" w:rsidRPr="00053375" w:rsidRDefault="00A91BB0" w:rsidP="001C690E">
      <w:pPr>
        <w:spacing w:after="0" w:line="240" w:lineRule="auto"/>
        <w:jc w:val="both"/>
        <w:rPr>
          <w:sz w:val="18"/>
          <w:szCs w:val="18"/>
          <w:lang w:val="es-ES_tradnl"/>
        </w:rPr>
      </w:pPr>
      <w:r>
        <w:rPr>
          <w:sz w:val="18"/>
          <w:szCs w:val="18"/>
          <w:lang w:val="es-ES_tradnl"/>
        </w:rPr>
        <w:t>8 - África</w:t>
      </w:r>
    </w:p>
    <w:p w:rsidR="00A91BB0" w:rsidRPr="00053375" w:rsidRDefault="00A91BB0" w:rsidP="00F60529">
      <w:pPr>
        <w:spacing w:before="120" w:after="0" w:line="240" w:lineRule="auto"/>
        <w:jc w:val="both"/>
        <w:rPr>
          <w:highlight w:val="yellow"/>
          <w:lang w:val="es-ES_tradnl"/>
        </w:rPr>
      </w:pPr>
      <w:r w:rsidRPr="00053375">
        <w:rPr>
          <w:lang w:val="es-ES_tradnl"/>
        </w:rPr>
        <w:lastRenderedPageBreak/>
        <w:t xml:space="preserve">Un análisis de las gamas de los IDI regionales, que se calculan restando el valor más bajo del más alto, y de los coeficientes de variación proporciona información adicional sobre las diferencias en cuanto al nivel de las TIC en cada región (Cuadro 3.1). El valor del coeficiente de variación en la Región de las Américas es de 30,05, superior al de Europa y la CEI, aunque ligeramente inferior al de regiones con unas diferencias considerables en términos de desarrollo de las TIC, como Asia y el Pacífico. Con todo, la gama de los valores del IDI es bastante alta (5,04), hecho que muestra que los países de la región se encuentran en etapas muy distintas en cuanto al desarrollo de las TIC. </w:t>
      </w:r>
    </w:p>
    <w:p w:rsidR="00A91BB0" w:rsidRPr="00053375" w:rsidRDefault="00A91BB0" w:rsidP="00A7049A">
      <w:pPr>
        <w:spacing w:after="0" w:line="360" w:lineRule="auto"/>
        <w:jc w:val="both"/>
        <w:rPr>
          <w:highlight w:val="yellow"/>
          <w:lang w:val="es-ES_tradnl"/>
        </w:rPr>
      </w:pPr>
    </w:p>
    <w:p w:rsidR="00A91BB0" w:rsidRPr="00053375" w:rsidRDefault="00A91BB0" w:rsidP="00F60529">
      <w:pPr>
        <w:keepNext/>
        <w:keepLines/>
        <w:spacing w:after="0" w:line="360" w:lineRule="auto"/>
        <w:rPr>
          <w:b/>
          <w:bCs/>
          <w:lang w:val="es-ES_tradnl"/>
        </w:rPr>
      </w:pPr>
      <w:r w:rsidRPr="00053375">
        <w:rPr>
          <w:b/>
          <w:bCs/>
          <w:lang w:val="es-ES_tradnl"/>
        </w:rPr>
        <w:t>Cuadro 3.1: IDI desglosado por región, 2010 y 2011</w:t>
      </w:r>
    </w:p>
    <w:p w:rsidR="00A91BB0" w:rsidRPr="00053375" w:rsidRDefault="00A91BB0" w:rsidP="004C0157">
      <w:pPr>
        <w:keepNext/>
        <w:keepLines/>
        <w:spacing w:after="0" w:line="240" w:lineRule="auto"/>
        <w:jc w:val="both"/>
        <w:rPr>
          <w:sz w:val="18"/>
          <w:szCs w:val="18"/>
          <w:lang w:val="es-ES_tradnl"/>
        </w:rPr>
      </w:pPr>
      <w:r>
        <w:rPr>
          <w:noProof/>
          <w:sz w:val="18"/>
          <w:szCs w:val="18"/>
          <w:lang w:eastAsia="en-US"/>
        </w:rPr>
        <w:drawing>
          <wp:inline distT="0" distB="0" distL="0" distR="0">
            <wp:extent cx="5732780" cy="144716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780" cy="1447165"/>
                    </a:xfrm>
                    <a:prstGeom prst="rect">
                      <a:avLst/>
                    </a:prstGeom>
                    <a:noFill/>
                    <a:ln>
                      <a:noFill/>
                    </a:ln>
                  </pic:spPr>
                </pic:pic>
              </a:graphicData>
            </a:graphic>
          </wp:inline>
        </w:drawing>
      </w:r>
      <w:r w:rsidRPr="00053375">
        <w:rPr>
          <w:sz w:val="18"/>
          <w:szCs w:val="18"/>
          <w:lang w:val="es-ES_tradnl"/>
        </w:rPr>
        <w:t>Origen: UIT.</w:t>
      </w:r>
    </w:p>
    <w:p w:rsidR="00A91BB0" w:rsidRPr="00053375" w:rsidRDefault="00A91BB0" w:rsidP="004C0157">
      <w:pPr>
        <w:keepNext/>
        <w:keepLines/>
        <w:spacing w:after="0" w:line="240" w:lineRule="auto"/>
        <w:jc w:val="both"/>
        <w:rPr>
          <w:sz w:val="18"/>
          <w:szCs w:val="18"/>
          <w:lang w:val="es-ES_tradnl"/>
        </w:rPr>
      </w:pPr>
      <w:r w:rsidRPr="00053375">
        <w:rPr>
          <w:sz w:val="18"/>
          <w:szCs w:val="18"/>
          <w:lang w:val="es-ES_tradnl"/>
        </w:rPr>
        <w:t xml:space="preserve">Nota: </w:t>
      </w:r>
      <w:proofErr w:type="spellStart"/>
      <w:r w:rsidRPr="00053375">
        <w:rPr>
          <w:sz w:val="18"/>
          <w:szCs w:val="18"/>
          <w:lang w:val="es-ES_tradnl"/>
        </w:rPr>
        <w:t>StDev</w:t>
      </w:r>
      <w:proofErr w:type="spellEnd"/>
      <w:r w:rsidRPr="00053375">
        <w:rPr>
          <w:sz w:val="18"/>
          <w:szCs w:val="18"/>
          <w:lang w:val="es-ES_tradnl"/>
        </w:rPr>
        <w:t>= desviación típica; CV= coeficiente de variación</w:t>
      </w:r>
    </w:p>
    <w:p w:rsidR="00A91BB0" w:rsidRPr="00CB164C" w:rsidRDefault="00A91BB0" w:rsidP="00F60529">
      <w:pPr>
        <w:spacing w:before="120" w:after="0" w:line="240" w:lineRule="auto"/>
        <w:jc w:val="both"/>
        <w:rPr>
          <w:sz w:val="18"/>
          <w:szCs w:val="18"/>
          <w:lang w:val="es-ES_tradnl"/>
        </w:rPr>
      </w:pPr>
      <w:r w:rsidRPr="00CB164C">
        <w:rPr>
          <w:sz w:val="18"/>
          <w:szCs w:val="18"/>
          <w:lang w:val="es-ES_tradnl"/>
        </w:rPr>
        <w:t>Leyenda</w:t>
      </w:r>
      <w:r>
        <w:rPr>
          <w:sz w:val="18"/>
          <w:szCs w:val="18"/>
          <w:lang w:val="es-ES_tradnl"/>
        </w:rPr>
        <w:t>s</w:t>
      </w:r>
      <w:r w:rsidRPr="00CB164C">
        <w:rPr>
          <w:sz w:val="18"/>
          <w:szCs w:val="18"/>
          <w:lang w:val="es-ES_tradnl"/>
        </w:rPr>
        <w:t xml:space="preserve"> del cuadro:</w:t>
      </w:r>
    </w:p>
    <w:p w:rsidR="00A91BB0" w:rsidRPr="00CB164C" w:rsidRDefault="00A91BB0" w:rsidP="00F60529">
      <w:pPr>
        <w:spacing w:after="0" w:line="240" w:lineRule="auto"/>
        <w:jc w:val="both"/>
        <w:rPr>
          <w:sz w:val="18"/>
          <w:szCs w:val="18"/>
          <w:lang w:val="es-ES_tradnl"/>
        </w:rPr>
      </w:pPr>
      <w:r w:rsidRPr="00CB164C">
        <w:rPr>
          <w:sz w:val="18"/>
          <w:szCs w:val="18"/>
          <w:lang w:val="es-ES_tradnl"/>
        </w:rPr>
        <w:t>1 - Región</w:t>
      </w:r>
    </w:p>
    <w:p w:rsidR="00A91BB0" w:rsidRPr="00CB164C" w:rsidRDefault="00A91BB0" w:rsidP="00F60529">
      <w:pPr>
        <w:spacing w:after="0" w:line="240" w:lineRule="auto"/>
        <w:jc w:val="both"/>
        <w:rPr>
          <w:sz w:val="18"/>
          <w:szCs w:val="18"/>
          <w:lang w:val="es-ES_tradnl"/>
        </w:rPr>
      </w:pPr>
      <w:r w:rsidRPr="00CB164C">
        <w:rPr>
          <w:sz w:val="18"/>
          <w:szCs w:val="18"/>
          <w:lang w:val="es-ES_tradnl"/>
        </w:rPr>
        <w:t>2 - Europa</w:t>
      </w:r>
    </w:p>
    <w:p w:rsidR="00A91BB0" w:rsidRPr="00CB164C" w:rsidRDefault="00A91BB0" w:rsidP="00F60529">
      <w:pPr>
        <w:spacing w:after="0" w:line="240" w:lineRule="auto"/>
        <w:jc w:val="both"/>
        <w:rPr>
          <w:sz w:val="18"/>
          <w:szCs w:val="18"/>
          <w:lang w:val="es-ES_tradnl"/>
        </w:rPr>
      </w:pPr>
      <w:r w:rsidRPr="00CB164C">
        <w:rPr>
          <w:sz w:val="18"/>
          <w:szCs w:val="18"/>
          <w:lang w:val="es-ES_tradnl"/>
        </w:rPr>
        <w:t>3 - CEI</w:t>
      </w:r>
    </w:p>
    <w:p w:rsidR="00A91BB0" w:rsidRPr="00CB164C" w:rsidRDefault="00A91BB0" w:rsidP="00F60529">
      <w:pPr>
        <w:spacing w:after="0" w:line="240" w:lineRule="auto"/>
        <w:jc w:val="both"/>
        <w:rPr>
          <w:sz w:val="18"/>
          <w:szCs w:val="18"/>
          <w:lang w:val="es-ES_tradnl"/>
        </w:rPr>
      </w:pPr>
      <w:r w:rsidRPr="00CB164C">
        <w:rPr>
          <w:sz w:val="18"/>
          <w:szCs w:val="18"/>
          <w:lang w:val="es-ES_tradnl"/>
        </w:rPr>
        <w:t>4 - Las Américas</w:t>
      </w:r>
    </w:p>
    <w:p w:rsidR="00A91BB0" w:rsidRPr="00CB164C" w:rsidRDefault="00A91BB0" w:rsidP="00F60529">
      <w:pPr>
        <w:spacing w:after="0" w:line="240" w:lineRule="auto"/>
        <w:jc w:val="both"/>
        <w:rPr>
          <w:sz w:val="18"/>
          <w:szCs w:val="18"/>
          <w:lang w:val="es-ES_tradnl"/>
        </w:rPr>
      </w:pPr>
      <w:r w:rsidRPr="00CB164C">
        <w:rPr>
          <w:sz w:val="18"/>
          <w:szCs w:val="18"/>
          <w:lang w:val="es-ES_tradnl"/>
        </w:rPr>
        <w:t>5 - Asia y el Pacífico</w:t>
      </w:r>
    </w:p>
    <w:p w:rsidR="00A91BB0" w:rsidRPr="00CB164C" w:rsidRDefault="00A91BB0" w:rsidP="00F60529">
      <w:pPr>
        <w:spacing w:after="0" w:line="240" w:lineRule="auto"/>
        <w:jc w:val="both"/>
        <w:rPr>
          <w:sz w:val="18"/>
          <w:szCs w:val="18"/>
          <w:lang w:val="es-ES_tradnl"/>
        </w:rPr>
      </w:pPr>
      <w:r w:rsidRPr="00CB164C">
        <w:rPr>
          <w:sz w:val="18"/>
          <w:szCs w:val="18"/>
          <w:lang w:val="es-ES_tradnl"/>
        </w:rPr>
        <w:t>6 - Estados Árabes</w:t>
      </w:r>
    </w:p>
    <w:p w:rsidR="00A91BB0" w:rsidRPr="00CB164C" w:rsidRDefault="00A91BB0" w:rsidP="00F60529">
      <w:pPr>
        <w:spacing w:after="0" w:line="240" w:lineRule="auto"/>
        <w:jc w:val="both"/>
        <w:rPr>
          <w:sz w:val="18"/>
          <w:szCs w:val="18"/>
          <w:lang w:val="es-ES_tradnl"/>
        </w:rPr>
      </w:pPr>
      <w:r w:rsidRPr="00CB164C">
        <w:rPr>
          <w:sz w:val="18"/>
          <w:szCs w:val="18"/>
          <w:lang w:val="es-ES_tradnl"/>
        </w:rPr>
        <w:t>7 - África</w:t>
      </w:r>
    </w:p>
    <w:p w:rsidR="00A91BB0" w:rsidRPr="00CB164C" w:rsidRDefault="00A91BB0" w:rsidP="00F60529">
      <w:pPr>
        <w:spacing w:after="0" w:line="240" w:lineRule="auto"/>
        <w:jc w:val="both"/>
        <w:rPr>
          <w:sz w:val="18"/>
          <w:szCs w:val="18"/>
          <w:lang w:val="es-ES_tradnl"/>
        </w:rPr>
      </w:pPr>
      <w:r w:rsidRPr="00CB164C">
        <w:rPr>
          <w:sz w:val="18"/>
          <w:szCs w:val="18"/>
          <w:lang w:val="es-ES_tradnl"/>
        </w:rPr>
        <w:t xml:space="preserve">8 - IDI </w:t>
      </w:r>
      <w:proofErr w:type="spellStart"/>
      <w:r w:rsidRPr="00CB164C">
        <w:rPr>
          <w:sz w:val="18"/>
          <w:szCs w:val="18"/>
          <w:lang w:val="es-ES_tradnl"/>
        </w:rPr>
        <w:t>máx</w:t>
      </w:r>
      <w:proofErr w:type="spellEnd"/>
    </w:p>
    <w:p w:rsidR="00A91BB0" w:rsidRPr="00CB164C" w:rsidRDefault="00A91BB0" w:rsidP="00F60529">
      <w:pPr>
        <w:spacing w:after="0" w:line="240" w:lineRule="auto"/>
        <w:jc w:val="both"/>
        <w:rPr>
          <w:sz w:val="18"/>
          <w:szCs w:val="18"/>
          <w:lang w:val="es-ES_tradnl"/>
        </w:rPr>
      </w:pPr>
      <w:r w:rsidRPr="00CB164C">
        <w:rPr>
          <w:sz w:val="18"/>
          <w:szCs w:val="18"/>
          <w:lang w:val="es-ES_tradnl"/>
        </w:rPr>
        <w:t xml:space="preserve">9 - IDI </w:t>
      </w:r>
      <w:proofErr w:type="spellStart"/>
      <w:r w:rsidRPr="00CB164C">
        <w:rPr>
          <w:sz w:val="18"/>
          <w:szCs w:val="18"/>
          <w:lang w:val="es-ES_tradnl"/>
        </w:rPr>
        <w:t>mín</w:t>
      </w:r>
      <w:proofErr w:type="spellEnd"/>
    </w:p>
    <w:p w:rsidR="00A91BB0" w:rsidRPr="00CB164C" w:rsidRDefault="00A91BB0" w:rsidP="00F60529">
      <w:pPr>
        <w:spacing w:after="0" w:line="240" w:lineRule="auto"/>
        <w:jc w:val="both"/>
        <w:rPr>
          <w:sz w:val="18"/>
          <w:szCs w:val="18"/>
          <w:lang w:val="es-ES_tradnl"/>
        </w:rPr>
      </w:pPr>
      <w:r w:rsidRPr="00CB164C">
        <w:rPr>
          <w:sz w:val="18"/>
          <w:szCs w:val="18"/>
          <w:lang w:val="es-ES_tradnl"/>
        </w:rPr>
        <w:t>10 - Gama</w:t>
      </w:r>
    </w:p>
    <w:p w:rsidR="00A91BB0" w:rsidRPr="00CB164C" w:rsidRDefault="00A91BB0" w:rsidP="00F60529">
      <w:pPr>
        <w:spacing w:after="0" w:line="240" w:lineRule="auto"/>
        <w:jc w:val="both"/>
        <w:rPr>
          <w:sz w:val="18"/>
          <w:szCs w:val="18"/>
          <w:lang w:val="es-ES_tradnl"/>
        </w:rPr>
      </w:pPr>
      <w:r w:rsidRPr="00CB164C">
        <w:rPr>
          <w:sz w:val="18"/>
          <w:szCs w:val="18"/>
          <w:lang w:val="es-ES_tradnl"/>
        </w:rPr>
        <w:t>11 - IDI medio</w:t>
      </w:r>
    </w:p>
    <w:p w:rsidR="00A91BB0" w:rsidRPr="00CB164C" w:rsidRDefault="00A91BB0" w:rsidP="00F60529">
      <w:pPr>
        <w:spacing w:after="0" w:line="240" w:lineRule="auto"/>
        <w:jc w:val="both"/>
        <w:rPr>
          <w:sz w:val="18"/>
          <w:szCs w:val="18"/>
          <w:lang w:val="es-ES_tradnl"/>
        </w:rPr>
      </w:pPr>
      <w:r w:rsidRPr="00CB164C">
        <w:rPr>
          <w:sz w:val="18"/>
          <w:szCs w:val="18"/>
          <w:lang w:val="es-ES_tradnl"/>
        </w:rPr>
        <w:t xml:space="preserve">12 - </w:t>
      </w:r>
      <w:proofErr w:type="spellStart"/>
      <w:r w:rsidRPr="00CB164C">
        <w:rPr>
          <w:sz w:val="18"/>
          <w:szCs w:val="18"/>
          <w:lang w:val="es-ES_tradnl"/>
        </w:rPr>
        <w:t>StDev</w:t>
      </w:r>
      <w:proofErr w:type="spellEnd"/>
    </w:p>
    <w:p w:rsidR="00A91BB0" w:rsidRPr="00CB164C" w:rsidRDefault="00A91BB0" w:rsidP="00F60529">
      <w:pPr>
        <w:spacing w:after="0" w:line="240" w:lineRule="auto"/>
        <w:jc w:val="both"/>
        <w:rPr>
          <w:sz w:val="18"/>
          <w:szCs w:val="18"/>
          <w:lang w:val="es-ES_tradnl"/>
        </w:rPr>
      </w:pPr>
      <w:r w:rsidRPr="00CB164C">
        <w:rPr>
          <w:sz w:val="18"/>
          <w:szCs w:val="18"/>
          <w:lang w:val="es-ES_tradnl"/>
        </w:rPr>
        <w:t>13 - CV</w:t>
      </w:r>
    </w:p>
    <w:p w:rsidR="00A91BB0" w:rsidRPr="00CB164C" w:rsidRDefault="00A91BB0" w:rsidP="00F60529">
      <w:pPr>
        <w:spacing w:after="0" w:line="240" w:lineRule="auto"/>
        <w:jc w:val="both"/>
        <w:rPr>
          <w:sz w:val="18"/>
          <w:szCs w:val="18"/>
          <w:lang w:val="es-ES_tradnl"/>
        </w:rPr>
      </w:pPr>
      <w:r w:rsidRPr="00CB164C">
        <w:rPr>
          <w:sz w:val="18"/>
          <w:szCs w:val="18"/>
          <w:lang w:val="es-ES_tradnl"/>
        </w:rPr>
        <w:t>14 - Diferencia 2010-2011</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 xml:space="preserve">La clasificación regional del IDI la encabezan, con un IDI superior a 7, los Estados Unidos de América y el Canadá, los países desarrollados de América del Norte, mientras que el del resto de países de la Región de las Américas está por debajo de 7 y cierran la clasificación El Salvador, Cuba, Honduras y Nicaragua, con un IDI inferior a 3 (véase el Cuadro 3.2). La Región de las Américas posee la segunda gama más alta de valores del IDI (después de Asia y el Pacífico), un resultado que refleja la diversidad de la región: en uno de los extremos de la clasificación encontramos a los dos países ricos y desarrollados (los Estados Unidos de América y el Canadá), muy avanzados en lo que respecta al desarrollo de las TIC, mientras que en el otro extremo aparecen los países en desarrollo con ingresos bajos. No obstante, en la región hay un numeroso núcleo de países con un IDI de entre 3 y 5, y la media regional del IDI, 4,26, supera la mundial, que es de 4,15 (véase el Gráfico 3.1). </w:t>
      </w:r>
    </w:p>
    <w:p w:rsidR="00A91BB0" w:rsidRPr="00053375" w:rsidRDefault="00A91BB0" w:rsidP="002A5C03">
      <w:pPr>
        <w:spacing w:after="0" w:line="360" w:lineRule="auto"/>
        <w:rPr>
          <w:rFonts w:eastAsiaTheme="minorHAnsi"/>
          <w:lang w:val="es-ES_tradnl" w:eastAsia="en-US"/>
        </w:rPr>
      </w:pPr>
    </w:p>
    <w:p w:rsidR="00A91BB0" w:rsidRPr="00053375" w:rsidRDefault="00A91BB0" w:rsidP="00893FA9">
      <w:pPr>
        <w:keepNext/>
        <w:keepLines/>
        <w:spacing w:after="0" w:line="360" w:lineRule="auto"/>
        <w:jc w:val="both"/>
        <w:rPr>
          <w:rFonts w:eastAsiaTheme="minorHAnsi"/>
          <w:b/>
          <w:bCs/>
          <w:lang w:val="es-ES_tradnl" w:eastAsia="en-US"/>
        </w:rPr>
      </w:pPr>
      <w:r w:rsidRPr="00053375">
        <w:rPr>
          <w:rFonts w:eastAsiaTheme="minorHAnsi"/>
          <w:b/>
          <w:bCs/>
          <w:lang w:val="es-ES_tradnl" w:eastAsia="en-US"/>
        </w:rPr>
        <w:lastRenderedPageBreak/>
        <w:t>Cuadro 3.2: IDI-Región de las Américas</w:t>
      </w:r>
    </w:p>
    <w:p w:rsidR="00A91BB0" w:rsidRPr="00053375" w:rsidRDefault="00A91BB0" w:rsidP="002A5C03">
      <w:pPr>
        <w:spacing w:after="0" w:line="360" w:lineRule="auto"/>
        <w:rPr>
          <w:rFonts w:eastAsiaTheme="minorHAnsi"/>
          <w:highlight w:val="red"/>
          <w:lang w:val="es-ES_tradnl" w:eastAsia="en-US"/>
        </w:rPr>
      </w:pPr>
      <w:r w:rsidRPr="00053375">
        <w:rPr>
          <w:rFonts w:eastAsiaTheme="minorHAnsi"/>
          <w:noProof/>
          <w:lang w:eastAsia="en-US"/>
        </w:rPr>
        <w:drawing>
          <wp:inline distT="0" distB="0" distL="0" distR="0" wp14:anchorId="57E75541" wp14:editId="60BE8903">
            <wp:extent cx="5760720" cy="3775101"/>
            <wp:effectExtent l="0" t="0" r="0" b="0"/>
            <wp:docPr id="4" name="Picture 4" descr="C:\Users\Lisa\Downloads\Tabl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Downloads\Table-2-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775101"/>
                    </a:xfrm>
                    <a:prstGeom prst="rect">
                      <a:avLst/>
                    </a:prstGeom>
                    <a:noFill/>
                    <a:ln>
                      <a:noFill/>
                    </a:ln>
                  </pic:spPr>
                </pic:pic>
              </a:graphicData>
            </a:graphic>
          </wp:inline>
        </w:drawing>
      </w:r>
    </w:p>
    <w:p w:rsidR="00A91BB0" w:rsidRPr="00053375" w:rsidRDefault="00A91BB0" w:rsidP="005D6F4F">
      <w:pPr>
        <w:keepNext/>
        <w:keepLines/>
        <w:spacing w:after="0" w:line="360" w:lineRule="auto"/>
        <w:jc w:val="both"/>
        <w:rPr>
          <w:rFonts w:eastAsiaTheme="minorHAnsi"/>
          <w:sz w:val="18"/>
          <w:szCs w:val="18"/>
          <w:lang w:val="es-ES_tradnl" w:eastAsia="en-US"/>
        </w:rPr>
      </w:pPr>
      <w:r w:rsidRPr="00053375">
        <w:rPr>
          <w:rFonts w:eastAsiaTheme="minorHAnsi"/>
          <w:sz w:val="18"/>
          <w:szCs w:val="18"/>
          <w:lang w:val="es-ES_tradnl" w:eastAsia="en-US"/>
        </w:rPr>
        <w:t>Origen: UIT.</w:t>
      </w:r>
    </w:p>
    <w:p w:rsidR="00A91BB0" w:rsidRPr="00AF5DE5" w:rsidRDefault="00A91BB0" w:rsidP="00F60529">
      <w:pPr>
        <w:spacing w:after="0" w:line="240" w:lineRule="auto"/>
        <w:jc w:val="both"/>
        <w:rPr>
          <w:sz w:val="18"/>
          <w:szCs w:val="18"/>
          <w:lang w:val="es-ES_tradnl"/>
        </w:rPr>
      </w:pPr>
      <w:r w:rsidRPr="00AF5DE5">
        <w:rPr>
          <w:sz w:val="18"/>
          <w:szCs w:val="18"/>
          <w:lang w:val="es-ES_tradnl"/>
        </w:rPr>
        <w:t>Leyenda</w:t>
      </w:r>
      <w:r>
        <w:rPr>
          <w:sz w:val="18"/>
          <w:szCs w:val="18"/>
          <w:lang w:val="es-ES_tradnl"/>
        </w:rPr>
        <w:t>s</w:t>
      </w:r>
      <w:r w:rsidRPr="00AF5DE5">
        <w:rPr>
          <w:sz w:val="18"/>
          <w:szCs w:val="18"/>
          <w:lang w:val="es-ES_tradnl"/>
        </w:rPr>
        <w:t xml:space="preserve"> de la Figura:</w:t>
      </w:r>
    </w:p>
    <w:p w:rsidR="00A91BB0" w:rsidRPr="00AF5DE5" w:rsidRDefault="00A91BB0" w:rsidP="00F60529">
      <w:pPr>
        <w:spacing w:after="0" w:line="240" w:lineRule="auto"/>
        <w:jc w:val="both"/>
        <w:rPr>
          <w:sz w:val="18"/>
          <w:szCs w:val="18"/>
          <w:lang w:val="es-ES_tradnl"/>
        </w:rPr>
      </w:pPr>
      <w:r w:rsidRPr="00AF5DE5">
        <w:rPr>
          <w:sz w:val="18"/>
          <w:szCs w:val="18"/>
          <w:lang w:val="es-ES_tradnl"/>
        </w:rPr>
        <w:t>1 - Economía</w:t>
      </w:r>
    </w:p>
    <w:p w:rsidR="00A91BB0" w:rsidRPr="00AF5DE5" w:rsidRDefault="00A91BB0" w:rsidP="00F60529">
      <w:pPr>
        <w:spacing w:after="0" w:line="240" w:lineRule="auto"/>
        <w:jc w:val="both"/>
        <w:rPr>
          <w:sz w:val="18"/>
          <w:szCs w:val="18"/>
          <w:lang w:val="es-ES_tradnl"/>
        </w:rPr>
      </w:pPr>
      <w:r w:rsidRPr="00AF5DE5">
        <w:rPr>
          <w:sz w:val="18"/>
          <w:szCs w:val="18"/>
          <w:lang w:val="es-ES_tradnl"/>
        </w:rPr>
        <w:t>2 - Estados Unidos de América</w:t>
      </w:r>
    </w:p>
    <w:p w:rsidR="00A91BB0" w:rsidRPr="00AF5DE5" w:rsidRDefault="00A91BB0" w:rsidP="00F60529">
      <w:pPr>
        <w:spacing w:after="0" w:line="240" w:lineRule="auto"/>
        <w:jc w:val="both"/>
        <w:rPr>
          <w:sz w:val="18"/>
          <w:szCs w:val="18"/>
          <w:lang w:val="es-ES_tradnl"/>
        </w:rPr>
      </w:pPr>
      <w:r w:rsidRPr="00AF5DE5">
        <w:rPr>
          <w:sz w:val="18"/>
          <w:szCs w:val="18"/>
          <w:lang w:val="es-ES_tradnl"/>
        </w:rPr>
        <w:t>3 - Canadá</w:t>
      </w:r>
    </w:p>
    <w:p w:rsidR="00A91BB0" w:rsidRPr="00AF5DE5" w:rsidRDefault="00A91BB0" w:rsidP="00F60529">
      <w:pPr>
        <w:spacing w:after="0" w:line="240" w:lineRule="auto"/>
        <w:jc w:val="both"/>
        <w:rPr>
          <w:sz w:val="18"/>
          <w:szCs w:val="18"/>
          <w:lang w:val="es-ES_tradnl"/>
        </w:rPr>
      </w:pPr>
      <w:r w:rsidRPr="00AF5DE5">
        <w:rPr>
          <w:sz w:val="18"/>
          <w:szCs w:val="18"/>
          <w:lang w:val="es-ES_tradnl"/>
        </w:rPr>
        <w:t>4 - Barbados</w:t>
      </w:r>
    </w:p>
    <w:p w:rsidR="00A91BB0" w:rsidRPr="00AF5DE5" w:rsidRDefault="00A91BB0" w:rsidP="00F60529">
      <w:pPr>
        <w:spacing w:after="0" w:line="240" w:lineRule="auto"/>
        <w:jc w:val="both"/>
        <w:rPr>
          <w:sz w:val="18"/>
          <w:szCs w:val="18"/>
          <w:lang w:val="es-ES_tradnl"/>
        </w:rPr>
      </w:pPr>
      <w:r w:rsidRPr="00AF5DE5">
        <w:rPr>
          <w:sz w:val="18"/>
          <w:szCs w:val="18"/>
          <w:lang w:val="es-ES_tradnl"/>
        </w:rPr>
        <w:t>5 - Antigua y Barbuda</w:t>
      </w:r>
    </w:p>
    <w:p w:rsidR="00A91BB0" w:rsidRPr="00AF5DE5" w:rsidRDefault="00A91BB0" w:rsidP="00F60529">
      <w:pPr>
        <w:spacing w:after="0" w:line="240" w:lineRule="auto"/>
        <w:jc w:val="both"/>
        <w:rPr>
          <w:sz w:val="18"/>
          <w:szCs w:val="18"/>
          <w:lang w:val="es-ES_tradnl"/>
        </w:rPr>
      </w:pPr>
      <w:r w:rsidRPr="00AF5DE5">
        <w:rPr>
          <w:sz w:val="18"/>
          <w:szCs w:val="18"/>
          <w:lang w:val="es-ES_tradnl"/>
        </w:rPr>
        <w:t>6 - Uruguay</w:t>
      </w:r>
    </w:p>
    <w:p w:rsidR="00A91BB0" w:rsidRPr="00AF5DE5" w:rsidRDefault="00A91BB0" w:rsidP="00F60529">
      <w:pPr>
        <w:spacing w:after="0" w:line="240" w:lineRule="auto"/>
        <w:jc w:val="both"/>
        <w:rPr>
          <w:sz w:val="18"/>
          <w:szCs w:val="18"/>
          <w:lang w:val="es-ES_tradnl"/>
        </w:rPr>
      </w:pPr>
      <w:r w:rsidRPr="00AF5DE5">
        <w:rPr>
          <w:sz w:val="18"/>
          <w:szCs w:val="18"/>
          <w:lang w:val="es-ES_tradnl"/>
        </w:rPr>
        <w:t>7 - Chile</w:t>
      </w:r>
    </w:p>
    <w:p w:rsidR="00A91BB0" w:rsidRPr="00AF5DE5" w:rsidRDefault="00A91BB0" w:rsidP="00F60529">
      <w:pPr>
        <w:spacing w:after="0" w:line="240" w:lineRule="auto"/>
        <w:jc w:val="both"/>
        <w:rPr>
          <w:sz w:val="18"/>
          <w:szCs w:val="18"/>
          <w:lang w:val="es-ES_tradnl"/>
        </w:rPr>
      </w:pPr>
      <w:r w:rsidRPr="00AF5DE5">
        <w:rPr>
          <w:sz w:val="18"/>
          <w:szCs w:val="18"/>
          <w:lang w:val="es-ES_tradnl"/>
        </w:rPr>
        <w:t>8 - Argentina</w:t>
      </w:r>
    </w:p>
    <w:p w:rsidR="00A91BB0" w:rsidRPr="00AF5DE5" w:rsidRDefault="00A91BB0" w:rsidP="00F60529">
      <w:pPr>
        <w:spacing w:after="0" w:line="240" w:lineRule="auto"/>
        <w:jc w:val="both"/>
        <w:rPr>
          <w:sz w:val="18"/>
          <w:szCs w:val="18"/>
          <w:lang w:val="es-ES_tradnl"/>
        </w:rPr>
      </w:pPr>
      <w:r w:rsidRPr="00AF5DE5">
        <w:rPr>
          <w:sz w:val="18"/>
          <w:szCs w:val="18"/>
          <w:lang w:val="es-ES_tradnl"/>
        </w:rPr>
        <w:t>9 - San Vicente y las Granadinas</w:t>
      </w:r>
    </w:p>
    <w:p w:rsidR="00A91BB0" w:rsidRPr="00AF5DE5" w:rsidRDefault="00A91BB0" w:rsidP="00F60529">
      <w:pPr>
        <w:spacing w:after="0" w:line="240" w:lineRule="auto"/>
        <w:jc w:val="both"/>
        <w:rPr>
          <w:sz w:val="18"/>
          <w:szCs w:val="18"/>
          <w:lang w:val="es-ES_tradnl"/>
        </w:rPr>
      </w:pPr>
      <w:r w:rsidRPr="00AF5DE5">
        <w:rPr>
          <w:sz w:val="18"/>
          <w:szCs w:val="18"/>
          <w:lang w:val="es-ES_tradnl"/>
        </w:rPr>
        <w:t>10 - Brasil</w:t>
      </w:r>
    </w:p>
    <w:p w:rsidR="00A91BB0" w:rsidRPr="00AF5DE5" w:rsidRDefault="00A91BB0" w:rsidP="00F60529">
      <w:pPr>
        <w:spacing w:after="0" w:line="240" w:lineRule="auto"/>
        <w:jc w:val="both"/>
        <w:rPr>
          <w:sz w:val="18"/>
          <w:szCs w:val="18"/>
          <w:lang w:val="es-ES_tradnl"/>
        </w:rPr>
      </w:pPr>
      <w:r w:rsidRPr="00AF5DE5">
        <w:rPr>
          <w:sz w:val="18"/>
          <w:szCs w:val="18"/>
          <w:lang w:val="es-ES_tradnl"/>
        </w:rPr>
        <w:t xml:space="preserve">11 - Trinidad y </w:t>
      </w:r>
      <w:proofErr w:type="spellStart"/>
      <w:r w:rsidRPr="00AF5DE5">
        <w:rPr>
          <w:sz w:val="18"/>
          <w:szCs w:val="18"/>
          <w:lang w:val="es-ES_tradnl"/>
        </w:rPr>
        <w:t>Tabago</w:t>
      </w:r>
      <w:proofErr w:type="spellEnd"/>
    </w:p>
    <w:p w:rsidR="00A91BB0" w:rsidRPr="00AF5DE5" w:rsidRDefault="00A91BB0" w:rsidP="00F60529">
      <w:pPr>
        <w:spacing w:after="0" w:line="240" w:lineRule="auto"/>
        <w:jc w:val="both"/>
        <w:rPr>
          <w:sz w:val="18"/>
          <w:szCs w:val="18"/>
          <w:lang w:val="es-ES_tradnl"/>
        </w:rPr>
      </w:pPr>
      <w:r w:rsidRPr="00AF5DE5">
        <w:rPr>
          <w:sz w:val="18"/>
          <w:szCs w:val="18"/>
          <w:lang w:val="es-ES_tradnl"/>
        </w:rPr>
        <w:t>12 - Santa Lucía</w:t>
      </w:r>
    </w:p>
    <w:p w:rsidR="00A91BB0" w:rsidRPr="00AF5DE5" w:rsidRDefault="00A91BB0" w:rsidP="00F60529">
      <w:pPr>
        <w:spacing w:after="0" w:line="240" w:lineRule="auto"/>
        <w:jc w:val="both"/>
        <w:rPr>
          <w:sz w:val="18"/>
          <w:szCs w:val="18"/>
          <w:lang w:val="es-ES_tradnl"/>
        </w:rPr>
      </w:pPr>
      <w:r w:rsidRPr="00AF5DE5">
        <w:rPr>
          <w:sz w:val="18"/>
          <w:szCs w:val="18"/>
          <w:lang w:val="es-ES_tradnl"/>
        </w:rPr>
        <w:t>13 - Panamá</w:t>
      </w:r>
    </w:p>
    <w:p w:rsidR="00A91BB0" w:rsidRPr="00AF5DE5" w:rsidRDefault="00A91BB0" w:rsidP="00F60529">
      <w:pPr>
        <w:spacing w:after="0" w:line="240" w:lineRule="auto"/>
        <w:jc w:val="both"/>
        <w:rPr>
          <w:sz w:val="18"/>
          <w:szCs w:val="18"/>
          <w:lang w:val="es-ES_tradnl"/>
        </w:rPr>
      </w:pPr>
      <w:r w:rsidRPr="00AF5DE5">
        <w:rPr>
          <w:sz w:val="18"/>
          <w:szCs w:val="18"/>
          <w:lang w:val="es-ES_tradnl"/>
        </w:rPr>
        <w:t>14 - Costa Rica</w:t>
      </w:r>
    </w:p>
    <w:p w:rsidR="00A91BB0" w:rsidRPr="00AF5DE5" w:rsidRDefault="00A91BB0" w:rsidP="00F60529">
      <w:pPr>
        <w:spacing w:after="0" w:line="240" w:lineRule="auto"/>
        <w:jc w:val="both"/>
        <w:rPr>
          <w:sz w:val="18"/>
          <w:szCs w:val="18"/>
          <w:lang w:val="es-ES_tradnl"/>
        </w:rPr>
      </w:pPr>
      <w:r w:rsidRPr="00AF5DE5">
        <w:rPr>
          <w:sz w:val="18"/>
          <w:szCs w:val="18"/>
          <w:lang w:val="es-ES_tradnl"/>
        </w:rPr>
        <w:t>15 - Colombia</w:t>
      </w:r>
    </w:p>
    <w:p w:rsidR="00A91BB0" w:rsidRPr="00AF5DE5" w:rsidRDefault="00A91BB0" w:rsidP="00F60529">
      <w:pPr>
        <w:spacing w:after="0" w:line="240" w:lineRule="auto"/>
        <w:jc w:val="both"/>
        <w:rPr>
          <w:sz w:val="18"/>
          <w:szCs w:val="18"/>
          <w:lang w:val="es-ES_tradnl"/>
        </w:rPr>
      </w:pPr>
      <w:r w:rsidRPr="00AF5DE5">
        <w:rPr>
          <w:sz w:val="18"/>
          <w:szCs w:val="18"/>
          <w:lang w:val="es-ES_tradnl"/>
        </w:rPr>
        <w:t>16 - Venezuela</w:t>
      </w:r>
    </w:p>
    <w:p w:rsidR="00A91BB0" w:rsidRPr="00AF5DE5" w:rsidRDefault="00A91BB0" w:rsidP="00F60529">
      <w:pPr>
        <w:spacing w:after="0" w:line="240" w:lineRule="auto"/>
        <w:jc w:val="both"/>
        <w:rPr>
          <w:sz w:val="18"/>
          <w:szCs w:val="18"/>
          <w:lang w:val="es-ES_tradnl"/>
        </w:rPr>
      </w:pPr>
      <w:r w:rsidRPr="00AF5DE5">
        <w:rPr>
          <w:sz w:val="18"/>
          <w:szCs w:val="18"/>
          <w:lang w:val="es-ES_tradnl"/>
        </w:rPr>
        <w:t>17 - México</w:t>
      </w:r>
    </w:p>
    <w:p w:rsidR="00A91BB0" w:rsidRPr="00AF5DE5" w:rsidRDefault="00A91BB0" w:rsidP="00F60529">
      <w:pPr>
        <w:spacing w:after="0" w:line="240" w:lineRule="auto"/>
        <w:jc w:val="both"/>
        <w:rPr>
          <w:sz w:val="18"/>
          <w:szCs w:val="18"/>
          <w:lang w:val="es-ES_tradnl"/>
        </w:rPr>
      </w:pPr>
      <w:r w:rsidRPr="00AF5DE5">
        <w:rPr>
          <w:sz w:val="18"/>
          <w:szCs w:val="18"/>
          <w:lang w:val="es-ES_tradnl"/>
        </w:rPr>
        <w:t>18 - Ecuador</w:t>
      </w:r>
    </w:p>
    <w:p w:rsidR="00A91BB0" w:rsidRPr="00AF5DE5" w:rsidRDefault="00A91BB0" w:rsidP="00F60529">
      <w:pPr>
        <w:spacing w:after="0" w:line="240" w:lineRule="auto"/>
        <w:jc w:val="both"/>
        <w:rPr>
          <w:sz w:val="18"/>
          <w:szCs w:val="18"/>
          <w:lang w:val="es-ES_tradnl"/>
        </w:rPr>
      </w:pPr>
      <w:r w:rsidRPr="00AF5DE5">
        <w:rPr>
          <w:sz w:val="18"/>
          <w:szCs w:val="18"/>
          <w:lang w:val="es-ES_tradnl"/>
        </w:rPr>
        <w:t>19 - Perú</w:t>
      </w:r>
    </w:p>
    <w:p w:rsidR="00A91BB0" w:rsidRPr="00AF5DE5" w:rsidRDefault="00A91BB0" w:rsidP="00F60529">
      <w:pPr>
        <w:spacing w:after="0" w:line="240" w:lineRule="auto"/>
        <w:jc w:val="both"/>
        <w:rPr>
          <w:sz w:val="18"/>
          <w:szCs w:val="18"/>
          <w:lang w:val="es-ES_tradnl"/>
        </w:rPr>
      </w:pPr>
      <w:r w:rsidRPr="00AF5DE5">
        <w:rPr>
          <w:sz w:val="18"/>
          <w:szCs w:val="18"/>
          <w:lang w:val="es-ES_tradnl"/>
        </w:rPr>
        <w:t>20 - Jamaica</w:t>
      </w:r>
    </w:p>
    <w:p w:rsidR="00A91BB0" w:rsidRPr="00AF5DE5" w:rsidRDefault="00A91BB0" w:rsidP="00F60529">
      <w:pPr>
        <w:spacing w:after="0" w:line="240" w:lineRule="auto"/>
        <w:jc w:val="both"/>
        <w:rPr>
          <w:sz w:val="18"/>
          <w:szCs w:val="18"/>
          <w:lang w:val="es-ES_tradnl"/>
        </w:rPr>
      </w:pPr>
      <w:r w:rsidRPr="00AF5DE5">
        <w:rPr>
          <w:sz w:val="18"/>
          <w:szCs w:val="18"/>
          <w:lang w:val="es-ES_tradnl"/>
        </w:rPr>
        <w:t>21 - República Dominicana</w:t>
      </w:r>
    </w:p>
    <w:p w:rsidR="00A91BB0" w:rsidRPr="00AF5DE5" w:rsidRDefault="00A91BB0" w:rsidP="00F60529">
      <w:pPr>
        <w:spacing w:after="0" w:line="240" w:lineRule="auto"/>
        <w:jc w:val="both"/>
        <w:rPr>
          <w:sz w:val="18"/>
          <w:szCs w:val="18"/>
          <w:lang w:val="es-ES_tradnl"/>
        </w:rPr>
      </w:pPr>
      <w:r w:rsidRPr="00AF5DE5">
        <w:rPr>
          <w:sz w:val="18"/>
          <w:szCs w:val="18"/>
          <w:lang w:val="es-ES_tradnl"/>
        </w:rPr>
        <w:t>22 - Paraguay</w:t>
      </w:r>
    </w:p>
    <w:p w:rsidR="00A91BB0" w:rsidRPr="00AF5DE5" w:rsidRDefault="00A91BB0" w:rsidP="00F60529">
      <w:pPr>
        <w:spacing w:after="0" w:line="240" w:lineRule="auto"/>
        <w:jc w:val="both"/>
        <w:rPr>
          <w:sz w:val="18"/>
          <w:szCs w:val="18"/>
          <w:lang w:val="es-ES_tradnl"/>
        </w:rPr>
      </w:pPr>
      <w:r w:rsidRPr="00AF5DE5">
        <w:rPr>
          <w:sz w:val="18"/>
          <w:szCs w:val="18"/>
          <w:lang w:val="es-ES_tradnl"/>
        </w:rPr>
        <w:t>23 - Bolivia</w:t>
      </w:r>
    </w:p>
    <w:p w:rsidR="00A91BB0" w:rsidRPr="00AF5DE5" w:rsidRDefault="00A91BB0" w:rsidP="00F60529">
      <w:pPr>
        <w:spacing w:after="0" w:line="240" w:lineRule="auto"/>
        <w:jc w:val="both"/>
        <w:rPr>
          <w:sz w:val="18"/>
          <w:szCs w:val="18"/>
          <w:lang w:val="es-ES_tradnl"/>
        </w:rPr>
      </w:pPr>
      <w:r w:rsidRPr="00AF5DE5">
        <w:rPr>
          <w:sz w:val="18"/>
          <w:szCs w:val="18"/>
          <w:lang w:val="es-ES_tradnl"/>
        </w:rPr>
        <w:t>24 - Guyana</w:t>
      </w:r>
    </w:p>
    <w:p w:rsidR="00A91BB0" w:rsidRPr="00AF5DE5" w:rsidRDefault="00A91BB0" w:rsidP="00F60529">
      <w:pPr>
        <w:spacing w:after="0" w:line="240" w:lineRule="auto"/>
        <w:jc w:val="both"/>
        <w:rPr>
          <w:sz w:val="18"/>
          <w:szCs w:val="18"/>
          <w:lang w:val="es-ES_tradnl"/>
        </w:rPr>
      </w:pPr>
      <w:r w:rsidRPr="00AF5DE5">
        <w:rPr>
          <w:sz w:val="18"/>
          <w:szCs w:val="18"/>
          <w:lang w:val="es-ES_tradnl"/>
        </w:rPr>
        <w:t>25 - El Salvador</w:t>
      </w:r>
    </w:p>
    <w:p w:rsidR="00A91BB0" w:rsidRPr="00AF5DE5" w:rsidRDefault="00A91BB0" w:rsidP="00F60529">
      <w:pPr>
        <w:spacing w:after="0" w:line="240" w:lineRule="auto"/>
        <w:jc w:val="both"/>
        <w:rPr>
          <w:sz w:val="18"/>
          <w:szCs w:val="18"/>
          <w:lang w:val="es-ES_tradnl"/>
        </w:rPr>
      </w:pPr>
      <w:r w:rsidRPr="00AF5DE5">
        <w:rPr>
          <w:sz w:val="18"/>
          <w:szCs w:val="18"/>
          <w:lang w:val="es-ES_tradnl"/>
        </w:rPr>
        <w:t>26 - Cuba</w:t>
      </w:r>
    </w:p>
    <w:p w:rsidR="00A91BB0" w:rsidRPr="00AF5DE5" w:rsidRDefault="00A91BB0" w:rsidP="00F60529">
      <w:pPr>
        <w:spacing w:after="0" w:line="240" w:lineRule="auto"/>
        <w:jc w:val="both"/>
        <w:rPr>
          <w:sz w:val="18"/>
          <w:szCs w:val="18"/>
          <w:lang w:val="es-ES_tradnl"/>
        </w:rPr>
      </w:pPr>
      <w:r w:rsidRPr="00AF5DE5">
        <w:rPr>
          <w:sz w:val="18"/>
          <w:szCs w:val="18"/>
          <w:lang w:val="es-ES_tradnl"/>
        </w:rPr>
        <w:t>27 - Honduras</w:t>
      </w:r>
    </w:p>
    <w:p w:rsidR="00A91BB0" w:rsidRPr="00AF5DE5" w:rsidRDefault="00A91BB0" w:rsidP="00F60529">
      <w:pPr>
        <w:spacing w:after="0" w:line="240" w:lineRule="auto"/>
        <w:jc w:val="both"/>
        <w:rPr>
          <w:sz w:val="18"/>
          <w:szCs w:val="18"/>
          <w:lang w:val="es-ES_tradnl"/>
        </w:rPr>
      </w:pPr>
      <w:r w:rsidRPr="00AF5DE5">
        <w:rPr>
          <w:sz w:val="18"/>
          <w:szCs w:val="18"/>
          <w:lang w:val="es-ES_tradnl"/>
        </w:rPr>
        <w:t>28 - Nicaragua</w:t>
      </w:r>
    </w:p>
    <w:p w:rsidR="00A91BB0" w:rsidRPr="00AF5DE5" w:rsidRDefault="00A91BB0" w:rsidP="00F60529">
      <w:pPr>
        <w:spacing w:after="0" w:line="240" w:lineRule="auto"/>
        <w:jc w:val="both"/>
        <w:rPr>
          <w:sz w:val="18"/>
          <w:szCs w:val="18"/>
          <w:lang w:val="es-ES_tradnl"/>
        </w:rPr>
      </w:pPr>
      <w:r w:rsidRPr="00AF5DE5">
        <w:rPr>
          <w:sz w:val="18"/>
          <w:szCs w:val="18"/>
          <w:lang w:val="es-ES_tradnl"/>
        </w:rPr>
        <w:t>29 - Media</w:t>
      </w:r>
    </w:p>
    <w:p w:rsidR="00A91BB0" w:rsidRPr="00AF5DE5" w:rsidRDefault="00A91BB0" w:rsidP="00F60529">
      <w:pPr>
        <w:spacing w:after="0" w:line="240" w:lineRule="auto"/>
        <w:jc w:val="both"/>
        <w:rPr>
          <w:sz w:val="18"/>
          <w:szCs w:val="18"/>
          <w:lang w:val="es-ES_tradnl"/>
        </w:rPr>
      </w:pPr>
      <w:r w:rsidRPr="00AF5DE5">
        <w:rPr>
          <w:sz w:val="18"/>
          <w:szCs w:val="18"/>
          <w:lang w:val="es-ES_tradnl"/>
        </w:rPr>
        <w:t>30 - Clasificación regional en 2011</w:t>
      </w:r>
    </w:p>
    <w:p w:rsidR="00A91BB0" w:rsidRPr="00AF5DE5" w:rsidRDefault="00A91BB0" w:rsidP="00F60529">
      <w:pPr>
        <w:spacing w:after="0" w:line="240" w:lineRule="auto"/>
        <w:jc w:val="both"/>
        <w:rPr>
          <w:sz w:val="18"/>
          <w:szCs w:val="18"/>
          <w:lang w:val="es-ES_tradnl"/>
        </w:rPr>
      </w:pPr>
      <w:r w:rsidRPr="00AF5DE5">
        <w:rPr>
          <w:sz w:val="18"/>
          <w:szCs w:val="18"/>
          <w:lang w:val="es-ES_tradnl"/>
        </w:rPr>
        <w:t>31 - Clasificación mundial en 2011</w:t>
      </w:r>
    </w:p>
    <w:p w:rsidR="00A91BB0" w:rsidRPr="00AF5DE5" w:rsidRDefault="00A91BB0" w:rsidP="00F60529">
      <w:pPr>
        <w:spacing w:after="0" w:line="240" w:lineRule="auto"/>
        <w:jc w:val="both"/>
        <w:rPr>
          <w:sz w:val="18"/>
          <w:szCs w:val="18"/>
          <w:lang w:val="es-ES_tradnl"/>
        </w:rPr>
      </w:pPr>
      <w:r w:rsidRPr="00AF5DE5">
        <w:rPr>
          <w:sz w:val="18"/>
          <w:szCs w:val="18"/>
          <w:lang w:val="es-ES_tradnl"/>
        </w:rPr>
        <w:t>32 - IDI en 2011</w:t>
      </w:r>
    </w:p>
    <w:p w:rsidR="00A91BB0" w:rsidRPr="00AF5DE5" w:rsidRDefault="00A91BB0" w:rsidP="00F60529">
      <w:pPr>
        <w:spacing w:after="0" w:line="240" w:lineRule="auto"/>
        <w:jc w:val="both"/>
        <w:rPr>
          <w:sz w:val="18"/>
          <w:szCs w:val="18"/>
          <w:lang w:val="es-ES_tradnl"/>
        </w:rPr>
      </w:pPr>
      <w:r w:rsidRPr="00AF5DE5">
        <w:rPr>
          <w:sz w:val="18"/>
          <w:szCs w:val="18"/>
          <w:lang w:val="es-ES_tradnl"/>
        </w:rPr>
        <w:lastRenderedPageBreak/>
        <w:t>33 - Clasificación mundial en 2010</w:t>
      </w:r>
    </w:p>
    <w:p w:rsidR="00A91BB0" w:rsidRPr="00AF5DE5" w:rsidRDefault="00A91BB0" w:rsidP="00F60529">
      <w:pPr>
        <w:spacing w:after="0" w:line="240" w:lineRule="auto"/>
        <w:jc w:val="both"/>
        <w:rPr>
          <w:sz w:val="18"/>
          <w:szCs w:val="18"/>
          <w:lang w:val="es-ES_tradnl"/>
        </w:rPr>
      </w:pPr>
      <w:r w:rsidRPr="00AF5DE5">
        <w:rPr>
          <w:sz w:val="18"/>
          <w:szCs w:val="18"/>
          <w:lang w:val="es-ES_tradnl"/>
        </w:rPr>
        <w:t>34 - IDI en 2010</w:t>
      </w:r>
    </w:p>
    <w:p w:rsidR="00A91BB0" w:rsidRPr="00AF5DE5" w:rsidRDefault="00A91BB0" w:rsidP="00F60529">
      <w:pPr>
        <w:spacing w:after="0" w:line="240" w:lineRule="auto"/>
        <w:jc w:val="both"/>
        <w:rPr>
          <w:sz w:val="18"/>
          <w:szCs w:val="18"/>
          <w:lang w:val="es-ES_tradnl"/>
        </w:rPr>
      </w:pPr>
      <w:r w:rsidRPr="00AF5DE5">
        <w:rPr>
          <w:sz w:val="18"/>
          <w:szCs w:val="18"/>
          <w:lang w:val="es-ES_tradnl"/>
        </w:rPr>
        <w:t>35 - Cambio en la clasificación mundial 2010-2011</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Dos países de la R</w:t>
      </w:r>
      <w:r>
        <w:rPr>
          <w:rFonts w:eastAsiaTheme="minorHAnsi"/>
          <w:lang w:val="es-ES_tradnl" w:eastAsia="en-US"/>
        </w:rPr>
        <w:t xml:space="preserve">egión de las Américas, </w:t>
      </w:r>
      <w:r w:rsidRPr="00053375">
        <w:rPr>
          <w:rFonts w:eastAsiaTheme="minorHAnsi"/>
          <w:lang w:val="es-ES_tradnl" w:eastAsia="en-US"/>
        </w:rPr>
        <w:t xml:space="preserve">Brasil y Costa Rica, figuran entre los que más han progresado en términos de IDI entre 2010 y 2011 (Recuadro 3.1). Ambos también se encuentran entre los más dinámicos en lo que respecta al subíndice acceso, al igual que Ecuador y Uruguay. Estos cuatro países han realizado unos avances considerables a la hora de conectar a más hogares a Internet, en particular Brasil, donde el porcentaje de hogares con acceso a Internet se disparó entre 2010 y 2011, pasando del 27% al 38%. También ha aumentado la penetración de la telefonía móvil celular, en particular en Costa Rica, donde el mercado de la telefonía móvil se liberalizó en 2011. En la mayoría de países de la región, la penetración de la telefonía móvil celular supera el 100%. Los Estados Unidos de América, donde la penetración llegó al 106% en 2011, fue uno de los últimos países desarrollados en cruzar ese umbral. Varios Estados insulares del Caribe, pequeños en términos de población y, por lo tanto, en número total de usuarios de Internet, cuentan con una anchura de banda Internet internacional por usuario de Internet muy elevada. Por ejemplo, San Vicente y las Granadinas ocupa el segundo lugar mundial, después de Hong Kong (China). La anchura de banda por usuario de Internet también es muy elevada en Antigua y Barbuda, Barbados y Costa Rica. </w:t>
      </w:r>
    </w:p>
    <w:p w:rsidR="00A91BB0" w:rsidRPr="00053375" w:rsidRDefault="00A91BB0" w:rsidP="00F60529">
      <w:pPr>
        <w:keepNext/>
        <w:keepLines/>
        <w:pBdr>
          <w:top w:val="single" w:sz="4" w:space="1" w:color="auto"/>
          <w:left w:val="single" w:sz="4" w:space="4" w:color="auto"/>
          <w:bottom w:val="single" w:sz="4" w:space="1" w:color="auto"/>
          <w:right w:val="single" w:sz="4" w:space="4" w:color="auto"/>
        </w:pBdr>
        <w:spacing w:before="120" w:after="0" w:line="240" w:lineRule="auto"/>
        <w:rPr>
          <w:b/>
          <w:bCs/>
          <w:lang w:val="es-ES_tradnl"/>
        </w:rPr>
      </w:pPr>
      <w:r w:rsidRPr="00053375">
        <w:rPr>
          <w:b/>
          <w:bCs/>
          <w:lang w:val="es-ES_tradnl"/>
        </w:rPr>
        <w:t>Recuadro 3.1: Brasil y Costa Rica son los países más dinámicos de la Región de las Américas en términos de IDI</w:t>
      </w:r>
    </w:p>
    <w:p w:rsidR="00A91BB0" w:rsidRPr="00053375" w:rsidRDefault="00A91BB0" w:rsidP="00F60529">
      <w:pPr>
        <w:keepNext/>
        <w:keepLines/>
        <w:pBdr>
          <w:top w:val="single" w:sz="4" w:space="1" w:color="auto"/>
          <w:left w:val="single" w:sz="4" w:space="4" w:color="auto"/>
          <w:bottom w:val="single" w:sz="4" w:space="1" w:color="auto"/>
          <w:right w:val="single" w:sz="4" w:space="4" w:color="auto"/>
        </w:pBdr>
        <w:spacing w:before="120" w:after="0" w:line="240" w:lineRule="auto"/>
        <w:rPr>
          <w:lang w:val="es-ES_tradnl"/>
        </w:rPr>
      </w:pPr>
      <w:r w:rsidRPr="00053375">
        <w:rPr>
          <w:lang w:val="es-ES_tradnl"/>
        </w:rPr>
        <w:t>Brasil y Costa Rica fueron los países más dinámicos si nos atenemos a los cambios de posición en la clasificación del IDI, así como a la variación tanto en términos absolutos como relativos del valor del IDI. Los gráficos radiales (Figura del recuadro 3.1) muestran los valores normalizados en estos países, los cambios entre 2010 y 2011 en cada uno de los 11 indicadores incluidos en el IDI y destacan los logros que han propiciado esta mejora:</w:t>
      </w:r>
    </w:p>
    <w:p w:rsidR="00A91BB0" w:rsidRPr="00053375" w:rsidRDefault="00A91BB0" w:rsidP="00F6052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rPr>
          <w:rFonts w:eastAsia="MyriadPro-Light" w:cs="MyriadPro-Light"/>
          <w:color w:val="000000"/>
          <w:lang w:val="es-ES_tradnl" w:eastAsia="en-US"/>
        </w:rPr>
      </w:pPr>
      <w:r w:rsidRPr="00053375">
        <w:rPr>
          <w:rFonts w:eastAsiaTheme="minorHAnsi" w:cs="MyriadPro-Regular"/>
          <w:b/>
          <w:lang w:val="es-ES_tradnl" w:eastAsia="en-US"/>
        </w:rPr>
        <w:t>Brasil</w:t>
      </w:r>
      <w:r w:rsidRPr="00053375">
        <w:rPr>
          <w:rFonts w:eastAsiaTheme="minorHAnsi" w:cs="MyriadPro-Regular"/>
          <w:lang w:val="es-ES_tradnl" w:eastAsia="en-US"/>
        </w:rPr>
        <w:t xml:space="preserve"> </w:t>
      </w:r>
      <w:r w:rsidRPr="00053375">
        <w:rPr>
          <w:rFonts w:eastAsia="MyriadPro-Light" w:cs="MyriadPro-Light"/>
          <w:lang w:val="es-ES_tradnl" w:eastAsia="en-US"/>
        </w:rPr>
        <w:t>escaló siete posiciones en la clasificación del IDI entre 2010 y 2011, hasta llegar al 60º lugar, con un aumento de 0,54 en el IDI. La penetración de la telefonía móvil celular registró un aumento impresionante, al igual que el porcentaje de hogares con una computadora y acceso a Internet, que se incrementó en más de 10 puntos porcentuales, hasta el 45% y el 38%, respectivamente</w:t>
      </w:r>
      <w:r w:rsidRPr="00053375">
        <w:rPr>
          <w:rFonts w:eastAsia="MyriadPro-Light" w:cs="MyriadPro-Light"/>
          <w:color w:val="000000"/>
          <w:lang w:val="es-ES_tradnl" w:eastAsia="en-US"/>
        </w:rPr>
        <w:t xml:space="preserve">. El aumento en el número de hogares con acceso a Internet es un primer resultado del plan nacional de banda ancha del Brasil, el </w:t>
      </w:r>
      <w:r w:rsidRPr="00053375">
        <w:rPr>
          <w:rFonts w:eastAsiaTheme="minorHAnsi" w:cs="MyriadPro-LightIt"/>
          <w:i/>
          <w:iCs/>
          <w:color w:val="000000"/>
          <w:lang w:val="es-ES_tradnl" w:eastAsia="en-US"/>
        </w:rPr>
        <w:t>Programa Nacional</w:t>
      </w:r>
      <w:r w:rsidRPr="00053375">
        <w:rPr>
          <w:rFonts w:eastAsia="MyriadPro-Light" w:cs="MyriadPro-Light"/>
          <w:color w:val="000000"/>
          <w:lang w:val="es-ES_tradnl" w:eastAsia="en-US"/>
        </w:rPr>
        <w:t xml:space="preserve"> </w:t>
      </w:r>
      <w:r w:rsidRPr="00053375">
        <w:rPr>
          <w:rFonts w:eastAsiaTheme="minorHAnsi" w:cs="MyriadPro-LightIt"/>
          <w:i/>
          <w:iCs/>
          <w:color w:val="000000"/>
          <w:lang w:val="es-ES_tradnl" w:eastAsia="en-US"/>
        </w:rPr>
        <w:t xml:space="preserve">de Banda Larga </w:t>
      </w:r>
      <w:r w:rsidRPr="00053375">
        <w:rPr>
          <w:rFonts w:eastAsia="MyriadPro-Light" w:cs="MyriadPro-Light"/>
          <w:color w:val="000000"/>
          <w:lang w:val="es-ES_tradnl" w:eastAsia="en-US"/>
        </w:rPr>
        <w:t>(PNBL), que se puso en marcha en mayo de 2010 y cuyo objetivo es ofrecer un acceso rápido (al menos 1 Mbit/s) y asequible a 40 millones de hogares del Brasil antes de que concluya 2014 (CGPID, 2010). El plan presta una atención especial a las zonas rurales, y a las que quiere hacer llegar tanto servicios gubernamentales como sanitarios como programas de educación virtual. Se ha llegado a acuerdos con distintos operadores del Brasil para ampliar el acceso de las comunidades a la banda ancha y limitar el precio de los abonos mensuales a una cantidad de entre 30 y 35 USD para conexiones de una velocidad de 1</w:t>
      </w:r>
      <w:r>
        <w:rPr>
          <w:rFonts w:eastAsia="MyriadPro-Light" w:cs="MyriadPro-Light"/>
          <w:color w:val="000000"/>
          <w:lang w:val="es-ES_tradnl" w:eastAsia="en-US"/>
        </w:rPr>
        <w:t> </w:t>
      </w:r>
      <w:r w:rsidRPr="00053375">
        <w:rPr>
          <w:rFonts w:eastAsia="MyriadPro-Light" w:cs="MyriadPro-Light"/>
          <w:color w:val="000000"/>
          <w:lang w:val="es-ES_tradnl" w:eastAsia="en-US"/>
        </w:rPr>
        <w:t>Mbit/s.</w:t>
      </w:r>
      <w:r w:rsidRPr="00053375">
        <w:rPr>
          <w:rFonts w:eastAsia="MyriadPro-Light" w:cs="MyriadPro-Light"/>
          <w:color w:val="000000"/>
          <w:vertAlign w:val="superscript"/>
          <w:lang w:val="es-ES_tradnl" w:eastAsia="en-US"/>
        </w:rPr>
        <w:footnoteReference w:id="23"/>
      </w:r>
      <w:r w:rsidRPr="00053375">
        <w:rPr>
          <w:rFonts w:eastAsia="MyriadPro-Light" w:cs="MyriadPro-Light"/>
          <w:color w:val="000000"/>
          <w:lang w:val="es-ES_tradnl" w:eastAsia="en-US"/>
        </w:rPr>
        <w:t xml:space="preserve"> En el subíndice uso del IDI, los parámetros que mejoraron fueron el número de usuarios de Internet, que en 2011 alcanzó el 45%, y la penetración de la banda ancha móvil, que prácticamente se duplicó, pasando de un 11% en 2010 a un 21% en 2011, y que es la más alta de América Latina y la tercera más alta de la Región de las Américas, después de los Estados Unidos de América y el Canadá. Muchos clientes están pasando de servicios 2G a servicios 3G. La cuota de abonos con acceso a la red GSM </w:t>
      </w:r>
      <w:r w:rsidRPr="00053375">
        <w:rPr>
          <w:rFonts w:eastAsia="MyriadPro-Light" w:cs="MyriadPro-Light"/>
          <w:bCs/>
          <w:color w:val="000000"/>
          <w:lang w:val="es-ES_tradnl" w:eastAsia="en-US"/>
        </w:rPr>
        <w:t>(2G)</w:t>
      </w:r>
      <w:r w:rsidRPr="00053375">
        <w:rPr>
          <w:rFonts w:eastAsia="MyriadPro-Light" w:cs="MyriadPro-Light"/>
          <w:color w:val="000000"/>
          <w:lang w:val="es-ES_tradnl" w:eastAsia="en-US"/>
        </w:rPr>
        <w:t xml:space="preserve"> alcanzó su máximo en noviembre de 2009 (90%), y desde entonces ha ido descendiendo, mientras que el número de abonos con acceso a la red 3G va en aumento</w:t>
      </w:r>
      <w:r w:rsidRPr="00053375">
        <w:rPr>
          <w:rFonts w:eastAsia="MyriadPro-Light" w:cs="MyriadPro-Light"/>
          <w:color w:val="000000"/>
          <w:vertAlign w:val="superscript"/>
          <w:lang w:val="es-ES_tradnl" w:eastAsia="en-US"/>
        </w:rPr>
        <w:footnoteReference w:id="24"/>
      </w:r>
      <w:r w:rsidRPr="00053375">
        <w:rPr>
          <w:rFonts w:eastAsia="MyriadPro-Light" w:cs="MyriadPro-Light"/>
          <w:color w:val="000000"/>
          <w:lang w:val="es-ES_tradnl" w:eastAsia="en-US"/>
        </w:rPr>
        <w:t xml:space="preserve">. </w:t>
      </w:r>
    </w:p>
    <w:p w:rsidR="00A91BB0" w:rsidRPr="00053375" w:rsidRDefault="00A91BB0" w:rsidP="00F60529">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rPr>
          <w:rFonts w:eastAsia="MyriadPro-Light" w:cs="MyriadPro-Light"/>
          <w:lang w:val="es-ES_tradnl" w:eastAsia="en-US"/>
        </w:rPr>
      </w:pPr>
      <w:r w:rsidRPr="00053375">
        <w:rPr>
          <w:rFonts w:eastAsiaTheme="minorHAnsi" w:cs="MyriadPro-Regular"/>
          <w:b/>
          <w:lang w:val="es-ES_tradnl" w:eastAsia="en-US"/>
        </w:rPr>
        <w:t>Costa Rica</w:t>
      </w:r>
      <w:r w:rsidRPr="00053375">
        <w:rPr>
          <w:rFonts w:eastAsiaTheme="minorHAnsi" w:cs="MyriadPro-Regular"/>
          <w:lang w:val="es-ES_tradnl" w:eastAsia="en-US"/>
        </w:rPr>
        <w:t xml:space="preserve"> </w:t>
      </w:r>
      <w:r w:rsidRPr="00053375">
        <w:rPr>
          <w:rFonts w:eastAsia="MyriadPro-Light" w:cs="MyriadPro-Light"/>
          <w:lang w:val="es-ES_tradnl" w:eastAsia="en-US"/>
        </w:rPr>
        <w:t xml:space="preserve">ocupaba el 71º lugar en la clasificación del IDI en 2011, con un aumento de 0,43 en su IDI, uno de los más altos en términos absolutos y que supera en más de dos veces la variación registrada </w:t>
      </w:r>
      <w:r w:rsidRPr="00053375">
        <w:rPr>
          <w:rFonts w:eastAsia="MyriadPro-Light" w:cs="MyriadPro-Light"/>
          <w:lang w:val="es-ES_tradnl" w:eastAsia="en-US"/>
        </w:rPr>
        <w:lastRenderedPageBreak/>
        <w:t>en la media mundial. El subíndice acceso fue el que más mejoró, gracias principalmente a un crecimiento pronunciado en el número de hogares con acceso a Internet. El incremento más notable está relacionado con la penetración en el país de la telefonía móvil celular, que pasó del 65% en 2010 al 92% en 2011. Durante mucho tiempo, Costa Rica había ido por detrás de otros países de América Latina en términos de asimilación de la telefonía móvil celular, situación que ya se ha remediado. En 2011, el mercado de las telecomunicaciones en el país experimentó una serie de cambios de envergadura: en vísperas de su liberalización, a finales de 2011, el</w:t>
      </w:r>
      <w:r w:rsidRPr="00053375">
        <w:rPr>
          <w:rStyle w:val="apple-converted-space"/>
          <w:rFonts w:ascii="Verdana" w:hAnsi="Verdana"/>
          <w:color w:val="000000"/>
          <w:sz w:val="18"/>
          <w:szCs w:val="18"/>
          <w:shd w:val="clear" w:color="auto" w:fill="FFFFFF"/>
          <w:lang w:val="es-ES_tradnl"/>
        </w:rPr>
        <w:t> </w:t>
      </w:r>
      <w:r w:rsidRPr="00053375">
        <w:rPr>
          <w:rFonts w:ascii="Verdana" w:hAnsi="Verdana"/>
          <w:color w:val="000000"/>
          <w:sz w:val="18"/>
          <w:szCs w:val="18"/>
          <w:shd w:val="clear" w:color="auto" w:fill="FFFFFF"/>
          <w:lang w:val="es-ES_tradnl"/>
        </w:rPr>
        <w:t xml:space="preserve">Instituto Costarricense de Electricidad </w:t>
      </w:r>
      <w:r w:rsidRPr="00053375">
        <w:rPr>
          <w:rFonts w:eastAsia="MyriadPro-Light" w:cs="MyriadPro-Light"/>
          <w:lang w:val="es-ES_tradnl" w:eastAsia="en-US"/>
        </w:rPr>
        <w:t>introdujo distintas ofertas en 2010 en el sector de la telefonía móvil celular de prepago</w:t>
      </w:r>
      <w:r w:rsidRPr="00053375">
        <w:rPr>
          <w:rFonts w:eastAsia="MyriadPro-Light" w:cs="MyriadPro-Light"/>
          <w:vertAlign w:val="superscript"/>
          <w:lang w:val="es-ES_tradnl" w:eastAsia="en-US"/>
        </w:rPr>
        <w:footnoteReference w:id="25"/>
      </w:r>
      <w:r w:rsidRPr="00053375">
        <w:rPr>
          <w:rFonts w:eastAsia="MyriadPro-Light" w:cs="MyriadPro-Light"/>
          <w:lang w:val="es-ES_tradnl" w:eastAsia="en-US"/>
        </w:rPr>
        <w:t xml:space="preserve"> y dos nuevos operadores de telefonía móvil</w:t>
      </w:r>
      <w:r w:rsidRPr="00053375">
        <w:rPr>
          <w:rFonts w:eastAsia="MyriadPro-Light" w:cs="MyriadPro-Light"/>
          <w:vertAlign w:val="superscript"/>
          <w:lang w:val="es-ES_tradnl" w:eastAsia="en-US"/>
        </w:rPr>
        <w:footnoteReference w:id="26"/>
      </w:r>
      <w:r w:rsidRPr="00053375">
        <w:rPr>
          <w:rFonts w:eastAsia="MyriadPro-Light" w:cs="MyriadPro-Light"/>
          <w:lang w:val="es-ES_tradnl" w:eastAsia="en-US"/>
        </w:rPr>
        <w:t xml:space="preserve"> desembarcaron en ese mercado en noviembre de 2011. Estos avances podrían ser el presagio de futuros incrementos en el índice. En 2011, la penetración de la banda ancha móvil seguía siendo mínima, alrededor del 2%, pero se espera que el despliegue del 3G se acelere con la llegada de nuevos operadores.</w:t>
      </w:r>
    </w:p>
    <w:p w:rsidR="00A91BB0" w:rsidRPr="00053375" w:rsidRDefault="00A91BB0" w:rsidP="00F60529">
      <w:pPr>
        <w:pBdr>
          <w:top w:val="single" w:sz="4" w:space="1" w:color="auto"/>
          <w:left w:val="single" w:sz="4" w:space="4" w:color="auto"/>
          <w:bottom w:val="single" w:sz="4" w:space="1" w:color="auto"/>
          <w:right w:val="single" w:sz="4" w:space="4" w:color="auto"/>
        </w:pBdr>
        <w:spacing w:before="120" w:after="0" w:line="240" w:lineRule="auto"/>
        <w:rPr>
          <w:b/>
          <w:bCs/>
          <w:lang w:val="es-ES_tradnl"/>
        </w:rPr>
      </w:pPr>
      <w:r w:rsidRPr="00053375">
        <w:rPr>
          <w:b/>
          <w:bCs/>
          <w:lang w:val="es-ES_tradnl"/>
        </w:rPr>
        <w:t xml:space="preserve">Figura del recuadro 3.1: gráfico radial, cambios en el IDI en Brasil (izquierda) y en Costa Rica (derecha), 2010 a 2011 </w:t>
      </w:r>
      <w:r w:rsidRPr="00053375">
        <w:rPr>
          <w:b/>
          <w:bCs/>
          <w:lang w:val="es-ES_tradnl"/>
        </w:rPr>
        <w:tab/>
      </w:r>
    </w:p>
    <w:p w:rsidR="00A91BB0" w:rsidRPr="00053375" w:rsidRDefault="00A91BB0" w:rsidP="00F60529">
      <w:pPr>
        <w:pBdr>
          <w:top w:val="single" w:sz="4" w:space="1" w:color="auto"/>
          <w:left w:val="single" w:sz="4" w:space="4" w:color="auto"/>
          <w:bottom w:val="single" w:sz="4" w:space="1" w:color="auto"/>
          <w:right w:val="single" w:sz="4" w:space="4" w:color="auto"/>
        </w:pBdr>
        <w:spacing w:before="120" w:after="0" w:line="240" w:lineRule="auto"/>
        <w:rPr>
          <w:b/>
          <w:bCs/>
          <w:noProof/>
          <w:lang w:val="es-ES_tradnl" w:eastAsia="fr-FR"/>
        </w:rPr>
      </w:pPr>
    </w:p>
    <w:p w:rsidR="00A91BB0" w:rsidRPr="00053375" w:rsidRDefault="00A91BB0" w:rsidP="00F60529">
      <w:pPr>
        <w:pBdr>
          <w:top w:val="single" w:sz="4" w:space="1" w:color="auto"/>
          <w:left w:val="single" w:sz="4" w:space="4" w:color="auto"/>
          <w:bottom w:val="single" w:sz="4" w:space="1" w:color="auto"/>
          <w:right w:val="single" w:sz="4" w:space="4" w:color="auto"/>
        </w:pBdr>
        <w:spacing w:before="120" w:after="0" w:line="240" w:lineRule="auto"/>
        <w:jc w:val="right"/>
        <w:rPr>
          <w:b/>
          <w:bCs/>
          <w:lang w:val="es-ES_tradnl"/>
        </w:rPr>
      </w:pPr>
      <w:r w:rsidRPr="00053375">
        <w:rPr>
          <w:b/>
          <w:bCs/>
          <w:noProof/>
          <w:lang w:eastAsia="en-US"/>
        </w:rPr>
        <w:drawing>
          <wp:inline distT="0" distB="0" distL="0" distR="0" wp14:anchorId="10C02C05" wp14:editId="376579C8">
            <wp:extent cx="2728569" cy="1708946"/>
            <wp:effectExtent l="19050" t="19050" r="15240"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8569" cy="1708946"/>
                    </a:xfrm>
                    <a:prstGeom prst="rect">
                      <a:avLst/>
                    </a:prstGeom>
                    <a:noFill/>
                    <a:ln w="3175">
                      <a:solidFill>
                        <a:schemeClr val="tx1"/>
                      </a:solidFill>
                    </a:ln>
                  </pic:spPr>
                </pic:pic>
              </a:graphicData>
            </a:graphic>
          </wp:inline>
        </w:drawing>
      </w:r>
      <w:r w:rsidRPr="00053375">
        <w:rPr>
          <w:b/>
          <w:bCs/>
          <w:noProof/>
          <w:lang w:eastAsia="en-US"/>
        </w:rPr>
        <w:drawing>
          <wp:inline distT="0" distB="0" distL="0" distR="0" wp14:anchorId="4AFDCFD0" wp14:editId="061A3675">
            <wp:extent cx="2686338" cy="1711756"/>
            <wp:effectExtent l="19050" t="19050" r="1905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6338" cy="1711756"/>
                    </a:xfrm>
                    <a:prstGeom prst="rect">
                      <a:avLst/>
                    </a:prstGeom>
                    <a:noFill/>
                    <a:ln w="3175">
                      <a:solidFill>
                        <a:schemeClr val="tx1"/>
                      </a:solidFill>
                    </a:ln>
                  </pic:spPr>
                </pic:pic>
              </a:graphicData>
            </a:graphic>
          </wp:inline>
        </w:drawing>
      </w:r>
    </w:p>
    <w:p w:rsidR="00A91BB0" w:rsidRPr="00053375" w:rsidRDefault="00A91BB0" w:rsidP="00F60529">
      <w:pPr>
        <w:pBdr>
          <w:top w:val="single" w:sz="4" w:space="1" w:color="auto"/>
          <w:left w:val="single" w:sz="4" w:space="4" w:color="auto"/>
          <w:bottom w:val="single" w:sz="4" w:space="1" w:color="auto"/>
          <w:right w:val="single" w:sz="4" w:space="4" w:color="auto"/>
        </w:pBdr>
        <w:spacing w:before="120" w:after="0" w:line="240" w:lineRule="auto"/>
        <w:rPr>
          <w:lang w:val="es-ES_tradnl"/>
        </w:rPr>
      </w:pPr>
      <w:r w:rsidRPr="00053375">
        <w:rPr>
          <w:sz w:val="18"/>
          <w:szCs w:val="18"/>
          <w:lang w:val="es-ES_tradnl"/>
        </w:rPr>
        <w:t>Origen: UIT.</w:t>
      </w:r>
    </w:p>
    <w:p w:rsidR="00A91BB0" w:rsidRPr="00190353" w:rsidRDefault="00A91BB0" w:rsidP="00F60529">
      <w:pPr>
        <w:keepNext/>
        <w:keepLines/>
        <w:spacing w:before="120" w:after="0" w:line="240" w:lineRule="auto"/>
        <w:jc w:val="both"/>
        <w:rPr>
          <w:sz w:val="18"/>
          <w:szCs w:val="18"/>
          <w:lang w:val="es-ES_tradnl"/>
        </w:rPr>
      </w:pPr>
      <w:r w:rsidRPr="00190353">
        <w:rPr>
          <w:sz w:val="18"/>
          <w:szCs w:val="18"/>
          <w:lang w:val="es-ES_tradnl"/>
        </w:rPr>
        <w:t>Leyendas del recuadro:</w:t>
      </w:r>
    </w:p>
    <w:p w:rsidR="00A91BB0" w:rsidRPr="00190353" w:rsidRDefault="00A91BB0" w:rsidP="00F60529">
      <w:pPr>
        <w:keepNext/>
        <w:keepLines/>
        <w:spacing w:after="0" w:line="240" w:lineRule="auto"/>
        <w:jc w:val="both"/>
        <w:rPr>
          <w:sz w:val="18"/>
          <w:szCs w:val="18"/>
          <w:lang w:val="es-ES_tradnl"/>
        </w:rPr>
      </w:pPr>
      <w:r w:rsidRPr="00190353">
        <w:rPr>
          <w:sz w:val="18"/>
          <w:szCs w:val="18"/>
          <w:lang w:val="es-ES_tradnl"/>
        </w:rPr>
        <w:t>1 - Líneas de telefonía fija</w:t>
      </w:r>
    </w:p>
    <w:p w:rsidR="00A91BB0" w:rsidRPr="00190353" w:rsidRDefault="00A91BB0" w:rsidP="00F60529">
      <w:pPr>
        <w:keepNext/>
        <w:keepLines/>
        <w:spacing w:after="0" w:line="240" w:lineRule="auto"/>
        <w:jc w:val="both"/>
        <w:rPr>
          <w:sz w:val="18"/>
          <w:szCs w:val="18"/>
          <w:lang w:val="es-ES_tradnl"/>
        </w:rPr>
      </w:pPr>
      <w:r w:rsidRPr="00190353">
        <w:rPr>
          <w:sz w:val="18"/>
          <w:szCs w:val="18"/>
          <w:lang w:val="es-ES_tradnl"/>
        </w:rPr>
        <w:t>2 - Alfabetización</w:t>
      </w:r>
    </w:p>
    <w:p w:rsidR="00A91BB0" w:rsidRPr="00190353" w:rsidRDefault="00A91BB0" w:rsidP="00F60529">
      <w:pPr>
        <w:keepNext/>
        <w:keepLines/>
        <w:spacing w:after="0" w:line="240" w:lineRule="auto"/>
        <w:jc w:val="both"/>
        <w:rPr>
          <w:sz w:val="18"/>
          <w:szCs w:val="18"/>
          <w:lang w:val="es-ES_tradnl"/>
        </w:rPr>
      </w:pPr>
      <w:r w:rsidRPr="00190353">
        <w:rPr>
          <w:sz w:val="18"/>
          <w:szCs w:val="18"/>
          <w:lang w:val="es-ES_tradnl"/>
        </w:rPr>
        <w:t>3 - Matriculación en la enseñanza terciaria</w:t>
      </w:r>
    </w:p>
    <w:p w:rsidR="00A91BB0" w:rsidRPr="00190353" w:rsidRDefault="00A91BB0" w:rsidP="00F60529">
      <w:pPr>
        <w:keepNext/>
        <w:keepLines/>
        <w:spacing w:after="0" w:line="240" w:lineRule="auto"/>
        <w:jc w:val="both"/>
        <w:rPr>
          <w:sz w:val="18"/>
          <w:szCs w:val="18"/>
          <w:lang w:val="es-ES_tradnl"/>
        </w:rPr>
      </w:pPr>
      <w:r w:rsidRPr="00190353">
        <w:rPr>
          <w:sz w:val="18"/>
          <w:szCs w:val="18"/>
          <w:lang w:val="es-ES_tradnl"/>
        </w:rPr>
        <w:t>4 - Matriculación en la enseñanza secundaria</w:t>
      </w:r>
    </w:p>
    <w:p w:rsidR="00A91BB0" w:rsidRPr="00190353" w:rsidRDefault="00A91BB0" w:rsidP="00F60529">
      <w:pPr>
        <w:keepNext/>
        <w:keepLines/>
        <w:spacing w:after="0" w:line="240" w:lineRule="auto"/>
        <w:jc w:val="both"/>
        <w:rPr>
          <w:sz w:val="18"/>
          <w:szCs w:val="18"/>
          <w:lang w:val="es-ES_tradnl"/>
        </w:rPr>
      </w:pPr>
      <w:r w:rsidRPr="00190353">
        <w:rPr>
          <w:sz w:val="18"/>
          <w:szCs w:val="18"/>
          <w:lang w:val="es-ES_tradnl"/>
        </w:rPr>
        <w:t>5 - Banda ancha móvil activa</w:t>
      </w:r>
    </w:p>
    <w:p w:rsidR="00A91BB0" w:rsidRPr="00190353" w:rsidRDefault="00A91BB0" w:rsidP="00F60529">
      <w:pPr>
        <w:keepNext/>
        <w:keepLines/>
        <w:spacing w:after="0" w:line="240" w:lineRule="auto"/>
        <w:jc w:val="both"/>
        <w:rPr>
          <w:sz w:val="18"/>
          <w:szCs w:val="18"/>
          <w:lang w:val="es-ES_tradnl"/>
        </w:rPr>
      </w:pPr>
      <w:r w:rsidRPr="00190353">
        <w:rPr>
          <w:sz w:val="18"/>
          <w:szCs w:val="18"/>
          <w:lang w:val="es-ES_tradnl"/>
        </w:rPr>
        <w:t>6 - Usuarios de Internet</w:t>
      </w:r>
    </w:p>
    <w:p w:rsidR="00A91BB0" w:rsidRPr="00190353" w:rsidRDefault="00A91BB0" w:rsidP="00F60529">
      <w:pPr>
        <w:keepNext/>
        <w:keepLines/>
        <w:spacing w:after="0" w:line="240" w:lineRule="auto"/>
        <w:jc w:val="both"/>
        <w:rPr>
          <w:sz w:val="18"/>
          <w:szCs w:val="18"/>
          <w:lang w:val="es-ES_tradnl"/>
        </w:rPr>
      </w:pPr>
      <w:r w:rsidRPr="00190353">
        <w:rPr>
          <w:sz w:val="18"/>
          <w:szCs w:val="18"/>
          <w:lang w:val="es-ES_tradnl"/>
        </w:rPr>
        <w:t>7 - Hogares con Internet</w:t>
      </w:r>
    </w:p>
    <w:p w:rsidR="00A91BB0" w:rsidRPr="00190353" w:rsidRDefault="00A91BB0" w:rsidP="00F60529">
      <w:pPr>
        <w:keepNext/>
        <w:keepLines/>
        <w:spacing w:after="0" w:line="240" w:lineRule="auto"/>
        <w:jc w:val="both"/>
        <w:rPr>
          <w:sz w:val="18"/>
          <w:szCs w:val="18"/>
          <w:lang w:val="es-ES_tradnl"/>
        </w:rPr>
      </w:pPr>
      <w:r w:rsidRPr="00190353">
        <w:rPr>
          <w:sz w:val="18"/>
          <w:szCs w:val="18"/>
          <w:lang w:val="es-ES_tradnl"/>
        </w:rPr>
        <w:t>8 - Hogares con una computadora</w:t>
      </w:r>
    </w:p>
    <w:p w:rsidR="00A91BB0" w:rsidRPr="00190353" w:rsidRDefault="00A91BB0" w:rsidP="00F60529">
      <w:pPr>
        <w:keepNext/>
        <w:keepLines/>
        <w:spacing w:after="0" w:line="240" w:lineRule="auto"/>
        <w:jc w:val="both"/>
        <w:rPr>
          <w:sz w:val="18"/>
          <w:szCs w:val="18"/>
          <w:lang w:val="es-ES_tradnl"/>
        </w:rPr>
      </w:pPr>
      <w:r w:rsidRPr="00190353">
        <w:rPr>
          <w:sz w:val="18"/>
          <w:szCs w:val="18"/>
          <w:lang w:val="es-ES_tradnl"/>
        </w:rPr>
        <w:t>9 - Internet internacional</w:t>
      </w:r>
    </w:p>
    <w:p w:rsidR="00A91BB0" w:rsidRPr="00190353" w:rsidRDefault="00A91BB0" w:rsidP="00F60529">
      <w:pPr>
        <w:keepNext/>
        <w:keepLines/>
        <w:spacing w:after="0" w:line="240" w:lineRule="auto"/>
        <w:jc w:val="both"/>
        <w:rPr>
          <w:sz w:val="18"/>
          <w:szCs w:val="18"/>
          <w:lang w:val="es-ES_tradnl"/>
        </w:rPr>
      </w:pPr>
      <w:r w:rsidRPr="00190353">
        <w:rPr>
          <w:sz w:val="18"/>
          <w:szCs w:val="18"/>
          <w:lang w:val="es-ES_tradnl"/>
        </w:rPr>
        <w:t>10 - Abonos a telefonía móvil celular</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En el subíndice uso del IDI, el mayor aumento en la región se dio, con diferencia, en términos de penetración de la banda ancha móvil. Por ejemplo, en Brasil y en Chile, la penetración de la banda ancha móvil se multiplicó por más de dos, hasta situarse a finales de 2011 en el 17% y el 21% respectivamente. Tras la puesta en marcha del 3G en Antigua y Barbuda en 2011, el país alcanzó, a finales de año, una impresionante tasa de penetración del 20%. Cinco países de la Región de las Américas incluidos en el IDI (Cuba, Barbados, Guyana, San Vicente y las Granadinas y Santa Lucía) siguen sin tener en 2011 servicios de banda ancha móvil</w:t>
      </w:r>
      <w:r w:rsidRPr="00053375">
        <w:rPr>
          <w:rStyle w:val="FootnoteReference"/>
          <w:rFonts w:eastAsiaTheme="minorHAnsi"/>
          <w:lang w:val="es-ES_tradnl" w:eastAsia="en-US"/>
        </w:rPr>
        <w:footnoteReference w:id="27"/>
      </w:r>
      <w:r w:rsidRPr="00053375">
        <w:rPr>
          <w:rFonts w:eastAsiaTheme="minorHAnsi"/>
          <w:lang w:val="es-ES_tradnl" w:eastAsia="en-US"/>
        </w:rPr>
        <w:t xml:space="preserve">. En los tres últimos, sin embargo, la banda ancha fija (cableada) es importante, y su nivel de penetración es relativamente alto en Barbados (22%). Los Estados Unidos de América es uno de los países con uno de los niveles más altos en todo el mundo en lo que respecta a la penetración de la banda ancha: su índice de penetración llegó </w:t>
      </w:r>
      <w:r w:rsidRPr="00053375">
        <w:rPr>
          <w:rFonts w:eastAsiaTheme="minorHAnsi"/>
          <w:lang w:val="es-ES_tradnl" w:eastAsia="en-US"/>
        </w:rPr>
        <w:lastRenderedPageBreak/>
        <w:t>en</w:t>
      </w:r>
      <w:r w:rsidR="00F60529">
        <w:rPr>
          <w:rFonts w:eastAsiaTheme="minorHAnsi"/>
          <w:lang w:val="es-ES_tradnl" w:eastAsia="en-US"/>
        </w:rPr>
        <w:t> </w:t>
      </w:r>
      <w:r w:rsidRPr="00053375">
        <w:rPr>
          <w:rFonts w:eastAsiaTheme="minorHAnsi"/>
          <w:lang w:val="es-ES_tradnl" w:eastAsia="en-US"/>
        </w:rPr>
        <w:t xml:space="preserve">2011 el 65%, mientras que el de la de la banda ancha fija (cableada) se situó en el 29%. También son buenos los resultados del Canadá en la comparación a escala mundial, con una tasa de penetración que ronda el 32% en ambos indicadores. </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Mientras que los Estados Unidos de América y el Canadá ocupan los primeros puestos en las clasificaciones de los tres indicadores del subíndice uso, en la mayoría del resto de países de la región, los valores de este subíndice siguen siendo bajos. Varios países han perdido posiciones en la clasificación mundial entre 2010 y 2011, principalmente por la falta de crecimiento en el subíndice uso. En particular, aquí se incluyen aquellos países en los que todavía no se han puesto en marcha los servicios 3G (como Guyana y Santa Lucía), así como aquellos con una tasa de penetración baja y una tasa de crecimiento marginal (como el Perú y Venezuela). Conviene señalar que, en varios países, el subíndice uso del IDI no alcanza el valor que podría esperarse a tenor del valor relativamente elevado del subíndice acceso. Por ejemplo, Panamá y Costa Rica poseen unos valores del subíndice acceso de 5,16 y 5,28, es decir por encima de la media; sin embargo, el valor del subíndice uso está por debajo de la media mundial y es, respectivamente, de 2,34 y 1,95. Lo mismo puede decirse de Santa Lucía y San Vicente y las Granadinas. En todos estos países, la utilización de las TIC podría aumentar considerablemente, pero todavía no han sacado el máximo partido a una estructura de TIC relativamente bien desarrollada. En Costa Rica, Santa Lucía y San Vicente y las Granadinas, el valor del subíndice aptitudes está por debajo de la media mundial, hecho que podría contribuir a explicar la escasa utilización de las TIC pese a que su acceso está relativamente generalizado.</w:t>
      </w:r>
    </w:p>
    <w:p w:rsidR="00A91BB0" w:rsidRPr="00053375" w:rsidRDefault="00A91BB0" w:rsidP="002D4848">
      <w:pPr>
        <w:pStyle w:val="Heading2"/>
        <w:rPr>
          <w:lang w:val="es-ES_tradnl"/>
        </w:rPr>
      </w:pPr>
      <w:bookmarkStart w:id="10" w:name="_Toc351122024"/>
      <w:bookmarkStart w:id="11" w:name="_Toc358028711"/>
      <w:bookmarkStart w:id="12" w:name="_Toc359935896"/>
      <w:r>
        <w:rPr>
          <w:lang w:val="es-ES_tradnl"/>
        </w:rPr>
        <w:t>4</w:t>
      </w:r>
      <w:r w:rsidR="00BB148D">
        <w:rPr>
          <w:lang w:val="es-ES_tradnl"/>
        </w:rPr>
        <w:t>.</w:t>
      </w:r>
      <w:r>
        <w:rPr>
          <w:lang w:val="es-ES_tradnl"/>
        </w:rPr>
        <w:tab/>
      </w:r>
      <w:r w:rsidRPr="00053375">
        <w:rPr>
          <w:lang w:val="es-ES_tradnl"/>
        </w:rPr>
        <w:t>La cesta de precios de las TIC (IPB) en la Región de las Américas</w:t>
      </w:r>
      <w:r w:rsidRPr="00053375">
        <w:rPr>
          <w:rStyle w:val="FootnoteReference"/>
          <w:rFonts w:asciiTheme="minorHAnsi" w:hAnsiTheme="minorHAnsi"/>
          <w:lang w:val="es-ES_tradnl"/>
        </w:rPr>
        <w:footnoteReference w:id="28"/>
      </w:r>
      <w:bookmarkEnd w:id="10"/>
      <w:bookmarkEnd w:id="11"/>
      <w:bookmarkEnd w:id="12"/>
    </w:p>
    <w:p w:rsidR="00A91BB0" w:rsidRPr="00053375" w:rsidRDefault="00A91BB0" w:rsidP="00F60529">
      <w:pPr>
        <w:spacing w:before="120" w:after="0" w:line="240" w:lineRule="auto"/>
        <w:rPr>
          <w:lang w:val="es-ES_tradnl"/>
        </w:rPr>
      </w:pPr>
      <w:r w:rsidRPr="00053375">
        <w:rPr>
          <w:lang w:val="es-ES_tradnl"/>
        </w:rPr>
        <w:t xml:space="preserve">La cesta de precios de las TIC (IPB) de la UIT es una herramienta de referencia mundial que proporciona información relevante sobre el costo y la asequibilidad de los servicios de TIC. La IPB se compone de tres precios distintos —telefonía fija, telefonía móvil celular y servicios de banda ancha fija— y se calcula como un porcentaje de la renta nacional bruta (RNB) per cápita media de los países. Este sistema ayuda a contextualizar los precios, y permite comprobar cuán asequibles son los servicios de TIC. Los precios también se presentan en dólares de los Estados Unidos de América (USD) y en términos de la paridad del poder adquisitivo (PPP), pero la clasificación de los países se establece con arreglo al coste relativo (o asequibilidad) de los servicios de TIC en el país, es decir, como un porcentaje de la RNB per cápita. </w:t>
      </w:r>
    </w:p>
    <w:p w:rsidR="00A91BB0" w:rsidRPr="00053375" w:rsidRDefault="00A91BB0" w:rsidP="00F60529">
      <w:pPr>
        <w:tabs>
          <w:tab w:val="left" w:pos="284"/>
        </w:tabs>
        <w:spacing w:before="120" w:after="0" w:line="240" w:lineRule="auto"/>
        <w:rPr>
          <w:snapToGrid w:val="0"/>
          <w:lang w:val="es-ES_tradnl"/>
        </w:rPr>
      </w:pPr>
      <w:r w:rsidRPr="00053375">
        <w:rPr>
          <w:snapToGrid w:val="0"/>
          <w:lang w:val="es-ES_tradnl"/>
        </w:rPr>
        <w:t>Una comparación regional de la IPB entre 2008 y 2011 muestra que, si bien durante estos cuatro años el precio de los servicios de TIC cayó en todas las regiones del mundo, los servicios siguieron siendo mucho más asequibles en unas regiones que en otras. Con un valor medio de la IPB de 5,5 en</w:t>
      </w:r>
      <w:r>
        <w:rPr>
          <w:snapToGrid w:val="0"/>
          <w:lang w:val="es-ES_tradnl"/>
        </w:rPr>
        <w:t> </w:t>
      </w:r>
      <w:r w:rsidRPr="00053375">
        <w:rPr>
          <w:snapToGrid w:val="0"/>
          <w:lang w:val="es-ES_tradnl"/>
        </w:rPr>
        <w:t xml:space="preserve">2011, los servicios de TIC en la Región de las Américas son más caros que en Europa y la CEI y más baratos que en los Estados Árabes, Asia y el Pacífico y África. Entre 2008 y 2011, en la Región de las Américas se registró un descenso relativamente moderado de los precios (alrededor del 10% de media). No obstante, las Américas es la única región en la que la caída de los precios fue mayor entre </w:t>
      </w:r>
      <w:r w:rsidRPr="00053375">
        <w:rPr>
          <w:rFonts w:eastAsia="MyriadPro-Light" w:cs="MyriadPro-Light"/>
          <w:lang w:val="es-ES_tradnl"/>
        </w:rPr>
        <w:t>2010 y 2011</w:t>
      </w:r>
      <w:r w:rsidRPr="00053375">
        <w:rPr>
          <w:snapToGrid w:val="0"/>
          <w:lang w:val="es-ES_tradnl"/>
        </w:rPr>
        <w:t xml:space="preserve"> que entre </w:t>
      </w:r>
      <w:r w:rsidRPr="00053375">
        <w:rPr>
          <w:rFonts w:eastAsia="MyriadPro-Light" w:cs="MyriadPro-Light"/>
          <w:lang w:val="es-ES_tradnl"/>
        </w:rPr>
        <w:t xml:space="preserve">2009 y 2010; de hecho, la Región de las Américas  fue, ese año, la región en la que más cayó la IPB, un 11,9%, un porcentaje superior al registrado en los Estados Árabes (11,6%) (Figura 4.1). </w:t>
      </w:r>
    </w:p>
    <w:p w:rsidR="00A91BB0" w:rsidRPr="00053375" w:rsidRDefault="00A91BB0" w:rsidP="00F60529">
      <w:pPr>
        <w:spacing w:before="120" w:after="0" w:line="240" w:lineRule="auto"/>
        <w:jc w:val="both"/>
        <w:rPr>
          <w:snapToGrid w:val="0"/>
          <w:highlight w:val="yellow"/>
          <w:lang w:val="es-ES_tradnl"/>
        </w:rPr>
      </w:pPr>
    </w:p>
    <w:p w:rsidR="00A91BB0" w:rsidRPr="00053375" w:rsidRDefault="00A91BB0" w:rsidP="00F60529">
      <w:pPr>
        <w:keepNext/>
        <w:keepLines/>
        <w:spacing w:before="120" w:after="0" w:line="240" w:lineRule="auto"/>
        <w:jc w:val="both"/>
        <w:rPr>
          <w:b/>
          <w:bCs/>
          <w:snapToGrid w:val="0"/>
          <w:lang w:val="es-ES_tradnl"/>
        </w:rPr>
      </w:pPr>
      <w:r w:rsidRPr="00053375">
        <w:rPr>
          <w:b/>
          <w:bCs/>
          <w:snapToGrid w:val="0"/>
          <w:lang w:val="es-ES_tradnl"/>
        </w:rPr>
        <w:lastRenderedPageBreak/>
        <w:t xml:space="preserve">Figura 4.1: Cesta de los precios de TIC por región, 2008-2011 </w:t>
      </w:r>
    </w:p>
    <w:p w:rsidR="00A91BB0" w:rsidRPr="00053375" w:rsidRDefault="00A91BB0" w:rsidP="00F60529">
      <w:pPr>
        <w:keepNext/>
        <w:keepLines/>
        <w:spacing w:before="120" w:after="0" w:line="240" w:lineRule="auto"/>
        <w:jc w:val="center"/>
        <w:rPr>
          <w:snapToGrid w:val="0"/>
          <w:lang w:val="es-ES_tradnl"/>
        </w:rPr>
      </w:pPr>
      <w:r w:rsidRPr="00053375">
        <w:rPr>
          <w:noProof/>
          <w:lang w:eastAsia="en-US"/>
        </w:rPr>
        <w:drawing>
          <wp:inline distT="0" distB="0" distL="0" distR="0" wp14:anchorId="36A7DC74" wp14:editId="60C11F96">
            <wp:extent cx="4665980" cy="2186940"/>
            <wp:effectExtent l="19050" t="19050" r="20320" b="22860"/>
            <wp:docPr id="25" name="Picture 2" descr="Chart-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3-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5980" cy="2186940"/>
                    </a:xfrm>
                    <a:prstGeom prst="rect">
                      <a:avLst/>
                    </a:prstGeom>
                    <a:noFill/>
                    <a:ln w="3175">
                      <a:solidFill>
                        <a:schemeClr val="tx1"/>
                      </a:solidFill>
                    </a:ln>
                  </pic:spPr>
                </pic:pic>
              </a:graphicData>
            </a:graphic>
          </wp:inline>
        </w:drawing>
      </w:r>
    </w:p>
    <w:p w:rsidR="00A91BB0" w:rsidRPr="00053375" w:rsidRDefault="00A91BB0" w:rsidP="00F60529">
      <w:pPr>
        <w:keepNext/>
        <w:keepLines/>
        <w:spacing w:before="120" w:after="0" w:line="240" w:lineRule="auto"/>
        <w:jc w:val="both"/>
        <w:rPr>
          <w:sz w:val="18"/>
          <w:szCs w:val="18"/>
          <w:lang w:val="es-ES_tradnl"/>
        </w:rPr>
      </w:pPr>
      <w:r w:rsidRPr="00053375">
        <w:rPr>
          <w:sz w:val="18"/>
          <w:szCs w:val="18"/>
          <w:lang w:val="es-ES_tradnl"/>
        </w:rPr>
        <w:t>Origen: UIT.</w:t>
      </w:r>
    </w:p>
    <w:p w:rsidR="00A91BB0" w:rsidRPr="00053375" w:rsidRDefault="00A91BB0" w:rsidP="00F60529">
      <w:pPr>
        <w:keepNext/>
        <w:keepLines/>
        <w:spacing w:after="0" w:line="240" w:lineRule="auto"/>
        <w:jc w:val="both"/>
        <w:rPr>
          <w:sz w:val="18"/>
          <w:szCs w:val="18"/>
          <w:lang w:val="es-ES_tradnl"/>
        </w:rPr>
      </w:pPr>
      <w:r w:rsidRPr="00053375">
        <w:rPr>
          <w:sz w:val="18"/>
          <w:szCs w:val="18"/>
          <w:lang w:val="es-ES_tradnl"/>
        </w:rPr>
        <w:t xml:space="preserve">Nota: Medias simples. Las medias regionales de esta figura se basan en los precios de los 144 países de los que se dispone información sobre precios para 2008, 2009, 2010 y 2011. </w:t>
      </w:r>
    </w:p>
    <w:p w:rsidR="00A91BB0" w:rsidRPr="00190353" w:rsidRDefault="00A91BB0" w:rsidP="00F60529">
      <w:pPr>
        <w:keepNext/>
        <w:keepLines/>
        <w:spacing w:before="120" w:after="0" w:line="240" w:lineRule="auto"/>
        <w:jc w:val="both"/>
        <w:rPr>
          <w:sz w:val="18"/>
          <w:szCs w:val="18"/>
          <w:lang w:val="es-ES_tradnl"/>
        </w:rPr>
      </w:pPr>
      <w:r w:rsidRPr="00190353">
        <w:rPr>
          <w:sz w:val="18"/>
          <w:szCs w:val="18"/>
          <w:lang w:val="es-ES_tradnl"/>
        </w:rPr>
        <w:t>Leyenda</w:t>
      </w:r>
      <w:r>
        <w:rPr>
          <w:sz w:val="18"/>
          <w:szCs w:val="18"/>
          <w:lang w:val="es-ES_tradnl"/>
        </w:rPr>
        <w:t>s</w:t>
      </w:r>
      <w:r w:rsidRPr="00190353">
        <w:rPr>
          <w:sz w:val="18"/>
          <w:szCs w:val="18"/>
          <w:lang w:val="es-ES_tradnl"/>
        </w:rPr>
        <w:t xml:space="preserve"> de la Figura:</w:t>
      </w:r>
    </w:p>
    <w:p w:rsidR="00A91BB0" w:rsidRPr="00053375" w:rsidRDefault="00A91BB0" w:rsidP="00F60529">
      <w:pPr>
        <w:keepNext/>
        <w:keepLines/>
        <w:spacing w:after="0" w:line="240" w:lineRule="auto"/>
        <w:jc w:val="both"/>
        <w:rPr>
          <w:sz w:val="18"/>
          <w:szCs w:val="18"/>
          <w:lang w:val="es-ES_tradnl"/>
        </w:rPr>
      </w:pPr>
      <w:r w:rsidRPr="00053375">
        <w:rPr>
          <w:sz w:val="18"/>
          <w:szCs w:val="18"/>
          <w:lang w:val="es-ES_tradnl"/>
        </w:rPr>
        <w:t>1 - valor de IPB</w:t>
      </w:r>
    </w:p>
    <w:p w:rsidR="00A91BB0" w:rsidRPr="00053375" w:rsidRDefault="00A91BB0" w:rsidP="00F60529">
      <w:pPr>
        <w:keepNext/>
        <w:keepLines/>
        <w:spacing w:after="0" w:line="240" w:lineRule="auto"/>
        <w:jc w:val="both"/>
        <w:rPr>
          <w:sz w:val="18"/>
          <w:szCs w:val="18"/>
          <w:lang w:val="es-ES_tradnl"/>
        </w:rPr>
      </w:pPr>
      <w:r w:rsidRPr="00053375">
        <w:rPr>
          <w:sz w:val="18"/>
          <w:szCs w:val="18"/>
          <w:lang w:val="es-ES_tradnl"/>
        </w:rPr>
        <w:t>2 - África</w:t>
      </w:r>
    </w:p>
    <w:p w:rsidR="00A91BB0" w:rsidRPr="00053375" w:rsidRDefault="00A91BB0" w:rsidP="00F60529">
      <w:pPr>
        <w:keepNext/>
        <w:keepLines/>
        <w:spacing w:after="0" w:line="240" w:lineRule="auto"/>
        <w:jc w:val="both"/>
        <w:rPr>
          <w:sz w:val="18"/>
          <w:szCs w:val="18"/>
          <w:lang w:val="es-ES_tradnl"/>
        </w:rPr>
      </w:pPr>
      <w:r w:rsidRPr="00053375">
        <w:rPr>
          <w:sz w:val="18"/>
          <w:szCs w:val="18"/>
          <w:lang w:val="es-ES_tradnl"/>
        </w:rPr>
        <w:t>3 - Asia y el Pacífico</w:t>
      </w:r>
    </w:p>
    <w:p w:rsidR="00A91BB0" w:rsidRPr="00053375" w:rsidRDefault="00A91BB0" w:rsidP="00F60529">
      <w:pPr>
        <w:keepNext/>
        <w:keepLines/>
        <w:spacing w:after="0" w:line="240" w:lineRule="auto"/>
        <w:jc w:val="both"/>
        <w:rPr>
          <w:sz w:val="18"/>
          <w:szCs w:val="18"/>
          <w:lang w:val="es-ES_tradnl"/>
        </w:rPr>
      </w:pPr>
      <w:r w:rsidRPr="00053375">
        <w:rPr>
          <w:sz w:val="18"/>
          <w:szCs w:val="18"/>
          <w:lang w:val="es-ES_tradnl"/>
        </w:rPr>
        <w:t>4 - Estados Árabes</w:t>
      </w:r>
    </w:p>
    <w:p w:rsidR="00A91BB0" w:rsidRPr="00053375" w:rsidRDefault="00A91BB0" w:rsidP="00F60529">
      <w:pPr>
        <w:keepNext/>
        <w:keepLines/>
        <w:spacing w:after="0" w:line="240" w:lineRule="auto"/>
        <w:jc w:val="both"/>
        <w:rPr>
          <w:sz w:val="18"/>
          <w:szCs w:val="18"/>
          <w:lang w:val="es-ES_tradnl"/>
        </w:rPr>
      </w:pPr>
      <w:r w:rsidRPr="00053375">
        <w:rPr>
          <w:sz w:val="18"/>
          <w:szCs w:val="18"/>
          <w:lang w:val="es-ES_tradnl"/>
        </w:rPr>
        <w:t>5 - Las Américas</w:t>
      </w:r>
    </w:p>
    <w:p w:rsidR="00A91BB0" w:rsidRPr="00053375" w:rsidRDefault="00A91BB0" w:rsidP="00F60529">
      <w:pPr>
        <w:keepNext/>
        <w:keepLines/>
        <w:spacing w:after="0" w:line="240" w:lineRule="auto"/>
        <w:jc w:val="both"/>
        <w:rPr>
          <w:sz w:val="18"/>
          <w:szCs w:val="18"/>
          <w:lang w:val="es-ES_tradnl"/>
        </w:rPr>
      </w:pPr>
      <w:r w:rsidRPr="00053375">
        <w:rPr>
          <w:sz w:val="18"/>
          <w:szCs w:val="18"/>
          <w:lang w:val="es-ES_tradnl"/>
        </w:rPr>
        <w:t>6 - CEI</w:t>
      </w:r>
    </w:p>
    <w:p w:rsidR="00A91BB0" w:rsidRPr="00053375" w:rsidRDefault="00A91BB0" w:rsidP="00F60529">
      <w:pPr>
        <w:keepNext/>
        <w:keepLines/>
        <w:spacing w:after="0" w:line="240" w:lineRule="auto"/>
        <w:jc w:val="both"/>
        <w:rPr>
          <w:sz w:val="18"/>
          <w:szCs w:val="18"/>
          <w:lang w:val="es-ES_tradnl"/>
        </w:rPr>
      </w:pPr>
      <w:r>
        <w:rPr>
          <w:sz w:val="18"/>
          <w:szCs w:val="18"/>
          <w:lang w:val="es-ES_tradnl"/>
        </w:rPr>
        <w:t>7 - Europa</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 xml:space="preserve">Los valores de la cesta de los precios de las TIC para 2011 en la Región de las Américas van del 0,6 de los Estados Unidos de América, cifra que lo sitúa en la décima posición en todo el mundo, al 36 de Cuba, que ocupa la 142ª posición sobre un total de 161 economías incluidas en la IPB. Solamente los Estados Unidos de América y el Canadá, las únicas economías desarrolladas de la región que destacan por su nivel relativamente alto de RNB per cápita en comparación con el resto de países de la región, tienen un valor de la IPB inferior al 1%. La IPB representa menos del 2% de la RNB mensual media per cápita en Trinidad y </w:t>
      </w:r>
      <w:proofErr w:type="spellStart"/>
      <w:r w:rsidRPr="00053375">
        <w:rPr>
          <w:rFonts w:eastAsiaTheme="minorHAnsi"/>
          <w:lang w:val="es-ES_tradnl" w:eastAsia="en-US"/>
        </w:rPr>
        <w:t>Tabago</w:t>
      </w:r>
      <w:proofErr w:type="spellEnd"/>
      <w:r w:rsidRPr="00053375">
        <w:rPr>
          <w:rFonts w:eastAsiaTheme="minorHAnsi"/>
          <w:lang w:val="es-ES_tradnl" w:eastAsia="en-US"/>
        </w:rPr>
        <w:t xml:space="preserve">, las Bahamas, Costa Rica y Venezuela. De los 34 países de la región, en 20 la IPB representa menos del 4% de la RNB per cápita (Cuadro 4.1). </w:t>
      </w:r>
    </w:p>
    <w:p w:rsidR="00A91BB0" w:rsidRPr="00053375" w:rsidRDefault="00A91BB0" w:rsidP="00F60529">
      <w:pPr>
        <w:keepNext/>
        <w:keepLines/>
        <w:spacing w:before="120" w:after="0" w:line="240" w:lineRule="auto"/>
        <w:rPr>
          <w:rFonts w:eastAsiaTheme="minorHAnsi"/>
          <w:b/>
          <w:bCs/>
          <w:lang w:val="es-ES_tradnl" w:eastAsia="en-US"/>
        </w:rPr>
      </w:pPr>
      <w:r w:rsidRPr="00053375">
        <w:rPr>
          <w:rFonts w:eastAsiaTheme="minorHAnsi"/>
          <w:b/>
          <w:bCs/>
          <w:lang w:val="es-ES_tradnl" w:eastAsia="en-US"/>
        </w:rPr>
        <w:lastRenderedPageBreak/>
        <w:t xml:space="preserve">Cuadro 4.1: IPB y </w:t>
      </w:r>
      <w:proofErr w:type="spellStart"/>
      <w:r w:rsidRPr="00053375">
        <w:rPr>
          <w:rFonts w:eastAsiaTheme="minorHAnsi"/>
          <w:b/>
          <w:bCs/>
          <w:lang w:val="es-ES_tradnl" w:eastAsia="en-US"/>
        </w:rPr>
        <w:t>subcestas</w:t>
      </w:r>
      <w:proofErr w:type="spellEnd"/>
      <w:r w:rsidRPr="00053375">
        <w:rPr>
          <w:rFonts w:eastAsiaTheme="minorHAnsi"/>
          <w:b/>
          <w:bCs/>
          <w:lang w:val="es-ES_tradnl" w:eastAsia="en-US"/>
        </w:rPr>
        <w:t xml:space="preserve"> (USD, PPP en USD y en cuanto que porcentaje de la RNB per cápita), 2011, Región de las Américas</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noProof/>
          <w:lang w:eastAsia="en-US"/>
        </w:rPr>
        <w:drawing>
          <wp:inline distT="0" distB="0" distL="0" distR="0" wp14:anchorId="6BE5A856" wp14:editId="6477EC31">
            <wp:extent cx="5760720" cy="3744946"/>
            <wp:effectExtent l="0" t="0" r="0" b="8255"/>
            <wp:docPr id="5" name="Picture 5" descr="C:\Users\Lisa\Desktop\rpm americas\Table-3-06_IPBregional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rpm americas\Table-3-06_IPBregional tabl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744946"/>
                    </a:xfrm>
                    <a:prstGeom prst="rect">
                      <a:avLst/>
                    </a:prstGeom>
                    <a:noFill/>
                    <a:ln>
                      <a:noFill/>
                    </a:ln>
                  </pic:spPr>
                </pic:pic>
              </a:graphicData>
            </a:graphic>
          </wp:inline>
        </w:drawing>
      </w:r>
    </w:p>
    <w:p w:rsidR="00A91BB0" w:rsidRPr="00053375" w:rsidRDefault="00A91BB0" w:rsidP="00F60529">
      <w:pPr>
        <w:keepNext/>
        <w:keepLines/>
        <w:spacing w:before="120" w:after="0" w:line="240" w:lineRule="auto"/>
        <w:jc w:val="both"/>
        <w:rPr>
          <w:rFonts w:eastAsiaTheme="minorHAnsi"/>
          <w:color w:val="FF0000"/>
          <w:sz w:val="18"/>
          <w:szCs w:val="18"/>
          <w:lang w:val="es-ES_tradnl" w:eastAsia="en-US"/>
        </w:rPr>
      </w:pPr>
      <w:r w:rsidRPr="00053375">
        <w:rPr>
          <w:rFonts w:eastAsiaTheme="minorHAnsi"/>
          <w:sz w:val="18"/>
          <w:szCs w:val="18"/>
          <w:lang w:val="es-ES_tradnl" w:eastAsia="en-US"/>
        </w:rPr>
        <w:t xml:space="preserve">Origen: UIT. Los valores correspondientes a la RNB y la PPP en USD se basan en datos del Banco Mundial. </w:t>
      </w:r>
    </w:p>
    <w:p w:rsidR="00A91BB0"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Nota: N/A – No disponible. *2009. **2008.</w:t>
      </w:r>
    </w:p>
    <w:p w:rsidR="00A91BB0" w:rsidRPr="00053375" w:rsidRDefault="00A91BB0" w:rsidP="00F60529">
      <w:pPr>
        <w:spacing w:after="0" w:line="240" w:lineRule="auto"/>
        <w:rPr>
          <w:rFonts w:eastAsiaTheme="minorHAnsi"/>
          <w:sz w:val="18"/>
          <w:szCs w:val="18"/>
          <w:lang w:val="es-ES_tradnl" w:eastAsia="en-US"/>
        </w:rPr>
      </w:pPr>
    </w:p>
    <w:p w:rsidR="00A91BB0" w:rsidRPr="00190353" w:rsidRDefault="00A91BB0" w:rsidP="00F60529">
      <w:pPr>
        <w:spacing w:before="120" w:after="0" w:line="240" w:lineRule="auto"/>
        <w:contextualSpacing/>
        <w:rPr>
          <w:rFonts w:eastAsiaTheme="minorHAnsi"/>
          <w:sz w:val="18"/>
          <w:szCs w:val="18"/>
          <w:lang w:val="es-ES_tradnl" w:eastAsia="en-US"/>
        </w:rPr>
      </w:pPr>
      <w:r w:rsidRPr="00190353">
        <w:rPr>
          <w:rFonts w:eastAsiaTheme="minorHAnsi"/>
          <w:sz w:val="18"/>
          <w:szCs w:val="18"/>
          <w:lang w:val="es-ES_tradnl" w:eastAsia="en-US"/>
        </w:rPr>
        <w:t>Leyenda</w:t>
      </w:r>
      <w:r>
        <w:rPr>
          <w:rFonts w:eastAsiaTheme="minorHAnsi"/>
          <w:sz w:val="18"/>
          <w:szCs w:val="18"/>
          <w:lang w:val="es-ES_tradnl" w:eastAsia="en-US"/>
        </w:rPr>
        <w:t>s</w:t>
      </w:r>
      <w:r w:rsidRPr="00190353">
        <w:rPr>
          <w:rFonts w:eastAsiaTheme="minorHAnsi"/>
          <w:sz w:val="18"/>
          <w:szCs w:val="18"/>
          <w:lang w:val="es-ES_tradnl" w:eastAsia="en-US"/>
        </w:rPr>
        <w:t xml:space="preserve"> de la Figura: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1 - Clasificación IPB mundial</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2 - Clasificación IPB regional</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3 - País</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 xml:space="preserve">4 - </w:t>
      </w:r>
      <w:proofErr w:type="spellStart"/>
      <w:r w:rsidRPr="00053375">
        <w:rPr>
          <w:rFonts w:eastAsiaTheme="minorHAnsi"/>
          <w:sz w:val="18"/>
          <w:szCs w:val="18"/>
          <w:lang w:val="es-ES_tradnl" w:eastAsia="en-US"/>
        </w:rPr>
        <w:t>Subcesta</w:t>
      </w:r>
      <w:proofErr w:type="spellEnd"/>
      <w:r w:rsidRPr="00053375">
        <w:rPr>
          <w:rFonts w:eastAsiaTheme="minorHAnsi"/>
          <w:sz w:val="18"/>
          <w:szCs w:val="18"/>
          <w:lang w:val="es-ES_tradnl" w:eastAsia="en-US"/>
        </w:rPr>
        <w:t xml:space="preserve"> telefonía fija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 xml:space="preserve">5 - </w:t>
      </w:r>
      <w:proofErr w:type="spellStart"/>
      <w:r w:rsidRPr="00053375">
        <w:rPr>
          <w:rFonts w:eastAsiaTheme="minorHAnsi"/>
          <w:sz w:val="18"/>
          <w:szCs w:val="18"/>
          <w:lang w:val="es-ES_tradnl" w:eastAsia="en-US"/>
        </w:rPr>
        <w:t>Subcesta</w:t>
      </w:r>
      <w:proofErr w:type="spellEnd"/>
      <w:r w:rsidRPr="00053375">
        <w:rPr>
          <w:rFonts w:eastAsiaTheme="minorHAnsi"/>
          <w:sz w:val="18"/>
          <w:szCs w:val="18"/>
          <w:lang w:val="es-ES_tradnl" w:eastAsia="en-US"/>
        </w:rPr>
        <w:t xml:space="preserve"> telefonía móvil celular</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 xml:space="preserve">6 - </w:t>
      </w:r>
      <w:proofErr w:type="spellStart"/>
      <w:r w:rsidRPr="00053375">
        <w:rPr>
          <w:rFonts w:eastAsiaTheme="minorHAnsi"/>
          <w:sz w:val="18"/>
          <w:szCs w:val="18"/>
          <w:lang w:val="es-ES_tradnl" w:eastAsia="en-US"/>
        </w:rPr>
        <w:t>Subcesta</w:t>
      </w:r>
      <w:proofErr w:type="spellEnd"/>
      <w:r w:rsidRPr="00053375">
        <w:rPr>
          <w:rFonts w:eastAsiaTheme="minorHAnsi"/>
          <w:sz w:val="18"/>
          <w:szCs w:val="18"/>
          <w:lang w:val="es-ES_tradnl" w:eastAsia="en-US"/>
        </w:rPr>
        <w:t xml:space="preserve"> banda ancha fija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7 - RNB media anual per cápita, USD, 2010</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8 - Estados Unidos de América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9 - Canadá</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 xml:space="preserve">10 - Trinidad y </w:t>
      </w:r>
      <w:proofErr w:type="spellStart"/>
      <w:r w:rsidRPr="00053375">
        <w:rPr>
          <w:rFonts w:eastAsiaTheme="minorHAnsi"/>
          <w:sz w:val="18"/>
          <w:szCs w:val="18"/>
          <w:lang w:val="es-ES_tradnl" w:eastAsia="en-US"/>
        </w:rPr>
        <w:t>Tabago</w:t>
      </w:r>
      <w:proofErr w:type="spellEnd"/>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11 - Bahamas</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12 - Costa Rica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13 - Venezuela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14 - Uruguay</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15 - Panamá</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 xml:space="preserve">16 - Saint </w:t>
      </w:r>
      <w:proofErr w:type="spellStart"/>
      <w:r w:rsidRPr="00053375">
        <w:rPr>
          <w:rFonts w:eastAsiaTheme="minorHAnsi"/>
          <w:sz w:val="18"/>
          <w:szCs w:val="18"/>
          <w:lang w:val="es-ES_tradnl" w:eastAsia="en-US"/>
        </w:rPr>
        <w:t>Kitts</w:t>
      </w:r>
      <w:proofErr w:type="spellEnd"/>
      <w:r w:rsidRPr="00053375">
        <w:rPr>
          <w:rFonts w:eastAsiaTheme="minorHAnsi"/>
          <w:sz w:val="18"/>
          <w:szCs w:val="18"/>
          <w:lang w:val="es-ES_tradnl" w:eastAsia="en-US"/>
        </w:rPr>
        <w:t xml:space="preserve"> y </w:t>
      </w:r>
      <w:proofErr w:type="spellStart"/>
      <w:r w:rsidRPr="00053375">
        <w:rPr>
          <w:rFonts w:eastAsiaTheme="minorHAnsi"/>
          <w:sz w:val="18"/>
          <w:szCs w:val="18"/>
          <w:lang w:val="es-ES_tradnl" w:eastAsia="en-US"/>
        </w:rPr>
        <w:t>Nevis</w:t>
      </w:r>
      <w:proofErr w:type="spellEnd"/>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17 - México</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18 - Barbados</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19 - Chile</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20 - Antigua y Barbuda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21 - Argentina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22 - Granada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23 - Dominica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24 - Santa Lucía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25 - Colombia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26 - República Dominicana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27 - San Vicente y las Granadinas</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 xml:space="preserve">28 - </w:t>
      </w:r>
      <w:proofErr w:type="spellStart"/>
      <w:r w:rsidRPr="00053375">
        <w:rPr>
          <w:rFonts w:eastAsiaTheme="minorHAnsi"/>
          <w:sz w:val="18"/>
          <w:szCs w:val="18"/>
          <w:lang w:val="es-ES_tradnl" w:eastAsia="en-US"/>
        </w:rPr>
        <w:t>Suriname</w:t>
      </w:r>
      <w:proofErr w:type="spellEnd"/>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29 - Brasil</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30 - El Salvador</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lastRenderedPageBreak/>
        <w:t>31 - Jamaica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32 - Ecuador</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33 - Guyana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34 - Paraguay</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35 - Guatemala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36 - Perú</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37 - Honduras</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38 - Belice</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39 - Bolivia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40 - Nicaragua</w:t>
      </w:r>
    </w:p>
    <w:p w:rsidR="00A91BB0" w:rsidRPr="00053375" w:rsidRDefault="00A91BB0" w:rsidP="00F60529">
      <w:pPr>
        <w:spacing w:before="120" w:after="0" w:line="240" w:lineRule="auto"/>
        <w:contextualSpacing/>
        <w:rPr>
          <w:rFonts w:eastAsiaTheme="minorHAnsi"/>
          <w:sz w:val="18"/>
          <w:szCs w:val="18"/>
          <w:lang w:val="es-ES_tradnl" w:eastAsia="en-US"/>
        </w:rPr>
      </w:pPr>
      <w:r w:rsidRPr="00053375">
        <w:rPr>
          <w:rFonts w:eastAsiaTheme="minorHAnsi"/>
          <w:sz w:val="18"/>
          <w:szCs w:val="18"/>
          <w:lang w:val="es-ES_tradnl" w:eastAsia="en-US"/>
        </w:rPr>
        <w:t>41 - Cuba</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Toda vez que, en las economías con más ingresos, los precios de los servicios de TIC suelen ser más bajos, varios países de la región ofrecen servicios de TIC a unos precios relativamente asequibles habida cuenta de su nivel medio de RNB per cápita. Costa Rica, por ejemplo, así como Panamá y México, tienen un nivel de RNB per cápita anual inferior a los 10</w:t>
      </w:r>
      <w:r>
        <w:rPr>
          <w:rFonts w:eastAsiaTheme="minorHAnsi"/>
          <w:lang w:val="es-ES_tradnl" w:eastAsia="en-US"/>
        </w:rPr>
        <w:t> </w:t>
      </w:r>
      <w:r w:rsidRPr="00053375">
        <w:rPr>
          <w:rFonts w:eastAsiaTheme="minorHAnsi"/>
          <w:lang w:val="es-ES_tradnl" w:eastAsia="en-US"/>
        </w:rPr>
        <w:t xml:space="preserve">000 USD; aun así, figuran entre las diez economías de la región con unos precios de las TIC más asequibles. </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 xml:space="preserve">En la Figura 4.2 se ofrece una comparación de los precios en términos de paridad del poder adquisitivo (que tiene en cuenta el poder adquisitivo nacional de una divisa local) y se subrayan las diferencias entre países en lo que respecta a sus servicios de telefonía móvil celular y banda ancha fija. </w:t>
      </w:r>
    </w:p>
    <w:p w:rsidR="00A91BB0" w:rsidRPr="00053375" w:rsidRDefault="00A91BB0" w:rsidP="00F60529">
      <w:pPr>
        <w:keepNext/>
        <w:keepLines/>
        <w:spacing w:before="120" w:after="0" w:line="240" w:lineRule="auto"/>
        <w:rPr>
          <w:rFonts w:eastAsiaTheme="minorHAnsi"/>
          <w:b/>
          <w:bCs/>
          <w:lang w:val="es-ES_tradnl" w:eastAsia="en-US"/>
        </w:rPr>
      </w:pPr>
      <w:r w:rsidRPr="00053375">
        <w:rPr>
          <w:rFonts w:eastAsiaTheme="minorHAnsi"/>
          <w:b/>
          <w:bCs/>
          <w:lang w:val="es-ES_tradnl" w:eastAsia="en-US"/>
        </w:rPr>
        <w:t>Figura 4.2: Precios de las TIC ajustados en función del poder adquisitivo en la Región de las Américas, 2011</w:t>
      </w:r>
    </w:p>
    <w:p w:rsidR="00A91BB0" w:rsidRPr="00053375" w:rsidRDefault="00A91BB0" w:rsidP="00F60529">
      <w:pPr>
        <w:spacing w:before="120" w:after="0" w:line="240" w:lineRule="auto"/>
        <w:jc w:val="center"/>
        <w:rPr>
          <w:rFonts w:eastAsia="Times New Roman" w:cs="Times New Roman"/>
          <w:snapToGrid w:val="0"/>
          <w:color w:val="000000"/>
          <w:w w:val="0"/>
          <w:u w:color="000000"/>
          <w:bdr w:val="none" w:sz="0" w:space="0" w:color="000000"/>
          <w:shd w:val="clear" w:color="000000" w:fill="000000"/>
          <w:lang w:val="es-ES_tradnl"/>
        </w:rPr>
      </w:pPr>
      <w:r w:rsidRPr="00053375">
        <w:rPr>
          <w:rFonts w:eastAsiaTheme="minorHAnsi"/>
          <w:noProof/>
          <w:lang w:eastAsia="en-US"/>
        </w:rPr>
        <w:drawing>
          <wp:inline distT="0" distB="0" distL="0" distR="0" wp14:anchorId="67AD04DE" wp14:editId="73A09628">
            <wp:extent cx="5274000" cy="2826000"/>
            <wp:effectExtent l="19050" t="19050" r="22225" b="12700"/>
            <wp:docPr id="7" name="Picture 7" descr="C:\Users\Lisa\Desktop\rpm americas\Chart-3-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Desktop\rpm americas\Chart-3-12-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000" cy="2826000"/>
                    </a:xfrm>
                    <a:prstGeom prst="rect">
                      <a:avLst/>
                    </a:prstGeom>
                    <a:noFill/>
                    <a:ln w="3175">
                      <a:solidFill>
                        <a:schemeClr val="tx1"/>
                      </a:solidFill>
                    </a:ln>
                  </pic:spPr>
                </pic:pic>
              </a:graphicData>
            </a:graphic>
          </wp:inline>
        </w:drawing>
      </w:r>
    </w:p>
    <w:p w:rsidR="00A91BB0" w:rsidRPr="00053375" w:rsidRDefault="00A91BB0" w:rsidP="00F60529">
      <w:pPr>
        <w:spacing w:before="120" w:after="0" w:line="240" w:lineRule="auto"/>
        <w:jc w:val="center"/>
        <w:rPr>
          <w:rFonts w:eastAsiaTheme="minorHAnsi"/>
          <w:sz w:val="18"/>
          <w:szCs w:val="18"/>
          <w:lang w:val="es-ES_tradnl" w:eastAsia="en-US"/>
        </w:rPr>
      </w:pPr>
      <w:r w:rsidRPr="00053375">
        <w:rPr>
          <w:rFonts w:eastAsiaTheme="minorHAnsi"/>
          <w:noProof/>
          <w:lang w:eastAsia="en-US"/>
        </w:rPr>
        <w:lastRenderedPageBreak/>
        <w:drawing>
          <wp:inline distT="0" distB="0" distL="0" distR="0" wp14:anchorId="72AD70BE" wp14:editId="02CB1EBD">
            <wp:extent cx="5324183" cy="2941227"/>
            <wp:effectExtent l="19050" t="19050" r="10160" b="12065"/>
            <wp:docPr id="14" name="Picture 14" descr="C:\Users\Lisa\Desktop\rpm americas\Chart-3-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Desktop\rpm americas\Chart-3-12-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18886" cy="2938301"/>
                    </a:xfrm>
                    <a:prstGeom prst="rect">
                      <a:avLst/>
                    </a:prstGeom>
                    <a:noFill/>
                    <a:ln w="3175">
                      <a:solidFill>
                        <a:schemeClr val="tx1"/>
                      </a:solidFill>
                    </a:ln>
                  </pic:spPr>
                </pic:pic>
              </a:graphicData>
            </a:graphic>
          </wp:inline>
        </w:drawing>
      </w:r>
    </w:p>
    <w:p w:rsidR="00A91BB0" w:rsidRPr="00053375" w:rsidRDefault="00A91BB0" w:rsidP="00F60529">
      <w:pPr>
        <w:spacing w:before="120" w:after="0" w:line="240" w:lineRule="auto"/>
        <w:rPr>
          <w:rFonts w:eastAsiaTheme="minorHAnsi"/>
          <w:sz w:val="18"/>
          <w:szCs w:val="18"/>
          <w:lang w:val="es-ES_tradnl" w:eastAsia="en-US"/>
        </w:rPr>
      </w:pPr>
      <w:r w:rsidRPr="00053375">
        <w:rPr>
          <w:rFonts w:eastAsiaTheme="minorHAnsi"/>
          <w:sz w:val="18"/>
          <w:szCs w:val="18"/>
          <w:lang w:val="es-ES_tradnl" w:eastAsia="en-US"/>
        </w:rPr>
        <w:t>Origen: UIT. Los valores de PPP en USD se basan en datos del Banco Mundial.</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Nota: No se incluye Cuba ya que no se dispone de sus cifras de PPP en USD.</w:t>
      </w:r>
    </w:p>
    <w:p w:rsidR="00A91BB0" w:rsidRPr="00A76B83" w:rsidRDefault="00A91BB0" w:rsidP="00F60529">
      <w:pPr>
        <w:spacing w:before="120" w:after="0" w:line="240" w:lineRule="auto"/>
        <w:rPr>
          <w:rFonts w:eastAsiaTheme="minorHAnsi"/>
          <w:sz w:val="18"/>
          <w:szCs w:val="18"/>
          <w:lang w:val="es-ES_tradnl" w:eastAsia="en-US"/>
        </w:rPr>
      </w:pPr>
      <w:r w:rsidRPr="00A76B83">
        <w:rPr>
          <w:rFonts w:eastAsiaTheme="minorHAnsi"/>
          <w:sz w:val="18"/>
          <w:szCs w:val="18"/>
          <w:lang w:val="es-ES_tradnl" w:eastAsia="en-US"/>
        </w:rPr>
        <w:t>Leyenda</w:t>
      </w:r>
      <w:r>
        <w:rPr>
          <w:rFonts w:eastAsiaTheme="minorHAnsi"/>
          <w:sz w:val="18"/>
          <w:szCs w:val="18"/>
          <w:lang w:val="es-ES_tradnl" w:eastAsia="en-US"/>
        </w:rPr>
        <w:t>s</w:t>
      </w:r>
      <w:r w:rsidRPr="00A76B83">
        <w:rPr>
          <w:rFonts w:eastAsiaTheme="minorHAnsi"/>
          <w:sz w:val="18"/>
          <w:szCs w:val="18"/>
          <w:lang w:val="es-ES_tradnl" w:eastAsia="en-US"/>
        </w:rPr>
        <w:t xml:space="preserve"> de la Figura superior:</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 xml:space="preserve">1 - </w:t>
      </w:r>
      <w:proofErr w:type="spellStart"/>
      <w:r w:rsidRPr="00053375">
        <w:rPr>
          <w:rFonts w:eastAsiaTheme="minorHAnsi"/>
          <w:sz w:val="18"/>
          <w:szCs w:val="18"/>
          <w:lang w:val="es-ES_tradnl" w:eastAsia="en-US"/>
        </w:rPr>
        <w:t>Subcesta</w:t>
      </w:r>
      <w:proofErr w:type="spellEnd"/>
      <w:r w:rsidRPr="00053375">
        <w:rPr>
          <w:rFonts w:eastAsiaTheme="minorHAnsi"/>
          <w:sz w:val="18"/>
          <w:szCs w:val="18"/>
          <w:lang w:val="es-ES_tradnl" w:eastAsia="en-US"/>
        </w:rPr>
        <w:t xml:space="preserve"> telefonía móvil celular, PPP en USD</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2 - Costa Rica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3 - Guyana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4 - Guatemala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5 - Panamá</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6 - Paraguay</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 xml:space="preserve">7 - </w:t>
      </w:r>
      <w:proofErr w:type="spellStart"/>
      <w:r w:rsidRPr="00053375">
        <w:rPr>
          <w:rFonts w:eastAsiaTheme="minorHAnsi"/>
          <w:sz w:val="18"/>
          <w:szCs w:val="18"/>
          <w:lang w:val="es-ES_tradnl" w:eastAsia="en-US"/>
        </w:rPr>
        <w:t>Suriname</w:t>
      </w:r>
      <w:proofErr w:type="spellEnd"/>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8 - Jamaica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9 - Bahamas</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 xml:space="preserve">10 - Saint </w:t>
      </w:r>
      <w:proofErr w:type="spellStart"/>
      <w:r w:rsidRPr="00053375">
        <w:rPr>
          <w:rFonts w:eastAsiaTheme="minorHAnsi"/>
          <w:sz w:val="18"/>
          <w:szCs w:val="18"/>
          <w:lang w:val="es-ES_tradnl" w:eastAsia="en-US"/>
        </w:rPr>
        <w:t>Kitts</w:t>
      </w:r>
      <w:proofErr w:type="spellEnd"/>
      <w:r w:rsidRPr="00053375">
        <w:rPr>
          <w:rFonts w:eastAsiaTheme="minorHAnsi"/>
          <w:sz w:val="18"/>
          <w:szCs w:val="18"/>
          <w:lang w:val="es-ES_tradnl" w:eastAsia="en-US"/>
        </w:rPr>
        <w:t xml:space="preserve"> y </w:t>
      </w:r>
      <w:proofErr w:type="spellStart"/>
      <w:r w:rsidRPr="00053375">
        <w:rPr>
          <w:rFonts w:eastAsiaTheme="minorHAnsi"/>
          <w:sz w:val="18"/>
          <w:szCs w:val="18"/>
          <w:lang w:val="es-ES_tradnl" w:eastAsia="en-US"/>
        </w:rPr>
        <w:t>Nevis</w:t>
      </w:r>
      <w:proofErr w:type="spellEnd"/>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 xml:space="preserve">11 - Trinidad y  </w:t>
      </w:r>
      <w:proofErr w:type="spellStart"/>
      <w:r w:rsidRPr="00053375">
        <w:rPr>
          <w:rFonts w:eastAsiaTheme="minorHAnsi"/>
          <w:sz w:val="18"/>
          <w:szCs w:val="18"/>
          <w:lang w:val="es-ES_tradnl" w:eastAsia="en-US"/>
        </w:rPr>
        <w:t>Tabago</w:t>
      </w:r>
      <w:proofErr w:type="spellEnd"/>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12 - Granada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13 - El Salvador</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14 - Uruguay</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15 - México</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16 - Bolivia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17 - San Vicente y las Granadinas</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18 - Chile</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19 - República Dominicana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20 - Dominica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21 - Barbados</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22 - Honduras</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23 - Santa Lucía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24 - Colombia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25 - Ecuador</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26 - Estados Unidos de América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27 - Venezuela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28 - Canadá</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29 - Antigua y Barbuda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30 - Nicaragua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31 - Belice</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32 - Brasil</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33 - Argentina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34 - Perú</w:t>
      </w:r>
    </w:p>
    <w:p w:rsidR="00A91BB0" w:rsidRPr="00053375" w:rsidRDefault="00A91BB0" w:rsidP="00F60529">
      <w:pPr>
        <w:spacing w:after="0" w:line="240" w:lineRule="auto"/>
        <w:rPr>
          <w:rFonts w:eastAsiaTheme="minorHAnsi"/>
          <w:sz w:val="18"/>
          <w:szCs w:val="18"/>
          <w:lang w:val="es-ES_tradnl" w:eastAsia="en-US"/>
        </w:rPr>
      </w:pPr>
    </w:p>
    <w:p w:rsidR="00A91BB0" w:rsidRDefault="00A91BB0">
      <w:pPr>
        <w:rPr>
          <w:rFonts w:eastAsiaTheme="minorHAnsi"/>
          <w:b/>
          <w:bCs/>
          <w:sz w:val="18"/>
          <w:szCs w:val="18"/>
          <w:lang w:val="es-ES_tradnl" w:eastAsia="en-US"/>
        </w:rPr>
      </w:pPr>
      <w:r>
        <w:rPr>
          <w:rFonts w:eastAsiaTheme="minorHAnsi"/>
          <w:b/>
          <w:bCs/>
          <w:sz w:val="18"/>
          <w:szCs w:val="18"/>
          <w:lang w:val="es-ES_tradnl" w:eastAsia="en-US"/>
        </w:rPr>
        <w:br w:type="page"/>
      </w:r>
    </w:p>
    <w:p w:rsidR="00A91BB0" w:rsidRPr="00A76B83" w:rsidRDefault="00A91BB0" w:rsidP="00F60529">
      <w:pPr>
        <w:spacing w:before="120" w:after="0" w:line="240" w:lineRule="auto"/>
        <w:rPr>
          <w:rFonts w:eastAsiaTheme="minorHAnsi"/>
          <w:sz w:val="18"/>
          <w:szCs w:val="18"/>
          <w:lang w:val="es-ES_tradnl" w:eastAsia="en-US"/>
        </w:rPr>
      </w:pPr>
      <w:r w:rsidRPr="00A76B83">
        <w:rPr>
          <w:rFonts w:eastAsiaTheme="minorHAnsi"/>
          <w:sz w:val="18"/>
          <w:szCs w:val="18"/>
          <w:lang w:val="es-ES_tradnl" w:eastAsia="en-US"/>
        </w:rPr>
        <w:lastRenderedPageBreak/>
        <w:t>Leyenda</w:t>
      </w:r>
      <w:r>
        <w:rPr>
          <w:rFonts w:eastAsiaTheme="minorHAnsi"/>
          <w:sz w:val="18"/>
          <w:szCs w:val="18"/>
          <w:lang w:val="es-ES_tradnl" w:eastAsia="en-US"/>
        </w:rPr>
        <w:t>s</w:t>
      </w:r>
      <w:r w:rsidRPr="00A76B83">
        <w:rPr>
          <w:rFonts w:eastAsiaTheme="minorHAnsi"/>
          <w:sz w:val="18"/>
          <w:szCs w:val="18"/>
          <w:lang w:val="es-ES_tradnl" w:eastAsia="en-US"/>
        </w:rPr>
        <w:t xml:space="preserve"> de la Figura inferior:</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 xml:space="preserve">1 - </w:t>
      </w:r>
      <w:proofErr w:type="spellStart"/>
      <w:r w:rsidRPr="00053375">
        <w:rPr>
          <w:rFonts w:eastAsiaTheme="minorHAnsi"/>
          <w:sz w:val="18"/>
          <w:szCs w:val="18"/>
          <w:lang w:val="es-ES_tradnl" w:eastAsia="en-US"/>
        </w:rPr>
        <w:t>Subcesta</w:t>
      </w:r>
      <w:proofErr w:type="spellEnd"/>
      <w:r w:rsidRPr="00053375">
        <w:rPr>
          <w:rFonts w:eastAsiaTheme="minorHAnsi"/>
          <w:sz w:val="18"/>
          <w:szCs w:val="18"/>
          <w:lang w:val="es-ES_tradnl" w:eastAsia="en-US"/>
        </w:rPr>
        <w:t xml:space="preserve"> banda ancha fija, PPP en USD</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2 - Brasil</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3 - Estados Unidos de América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4 - Costa Rica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 xml:space="preserve">5 - Trinidad y </w:t>
      </w:r>
      <w:proofErr w:type="spellStart"/>
      <w:r w:rsidRPr="00053375">
        <w:rPr>
          <w:rFonts w:eastAsiaTheme="minorHAnsi"/>
          <w:sz w:val="18"/>
          <w:szCs w:val="18"/>
          <w:lang w:val="es-ES_tradnl" w:eastAsia="en-US"/>
        </w:rPr>
        <w:t>Tabago</w:t>
      </w:r>
      <w:proofErr w:type="spellEnd"/>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6 - Venezuela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7 - Uruguay</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8 - Chile</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9 - Canadá</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10 - Panamá</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11 - Guyana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12 - México</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13 - El Salvador</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14 - República Dominicana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15 - Bahamas</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16 - Paraguay</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17 - Colombia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18 - Honduras</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19 - Granada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20 - Argentina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21 - Jamaica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22 - Ecuador</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23 - Guatemala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24 - Santa Lucía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 xml:space="preserve">25 - Saint </w:t>
      </w:r>
      <w:proofErr w:type="spellStart"/>
      <w:r w:rsidRPr="00053375">
        <w:rPr>
          <w:rFonts w:eastAsiaTheme="minorHAnsi"/>
          <w:sz w:val="18"/>
          <w:szCs w:val="18"/>
          <w:lang w:val="es-ES_tradnl" w:eastAsia="en-US"/>
        </w:rPr>
        <w:t>Kitts</w:t>
      </w:r>
      <w:proofErr w:type="spellEnd"/>
      <w:r w:rsidRPr="00053375">
        <w:rPr>
          <w:rFonts w:eastAsiaTheme="minorHAnsi"/>
          <w:sz w:val="18"/>
          <w:szCs w:val="18"/>
          <w:lang w:val="es-ES_tradnl" w:eastAsia="en-US"/>
        </w:rPr>
        <w:t xml:space="preserve"> y </w:t>
      </w:r>
      <w:proofErr w:type="spellStart"/>
      <w:r w:rsidRPr="00053375">
        <w:rPr>
          <w:rFonts w:eastAsiaTheme="minorHAnsi"/>
          <w:sz w:val="18"/>
          <w:szCs w:val="18"/>
          <w:lang w:val="es-ES_tradnl" w:eastAsia="en-US"/>
        </w:rPr>
        <w:t>Nevis</w:t>
      </w:r>
      <w:proofErr w:type="spellEnd"/>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26 - Nicaragua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27 - Perú</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 xml:space="preserve">28 - </w:t>
      </w:r>
      <w:proofErr w:type="spellStart"/>
      <w:r w:rsidRPr="00053375">
        <w:rPr>
          <w:rFonts w:eastAsiaTheme="minorHAnsi"/>
          <w:sz w:val="18"/>
          <w:szCs w:val="18"/>
          <w:lang w:val="es-ES_tradnl" w:eastAsia="en-US"/>
        </w:rPr>
        <w:t>Suriname</w:t>
      </w:r>
      <w:proofErr w:type="spellEnd"/>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29 - San Vicente y las Granadinas</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30 - Dominica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31 - Barbados</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32 - Bolivia</w:t>
      </w:r>
    </w:p>
    <w:p w:rsidR="00A91BB0" w:rsidRPr="00053375" w:rsidRDefault="00A91BB0" w:rsidP="00F60529">
      <w:pPr>
        <w:spacing w:after="0" w:line="240" w:lineRule="auto"/>
        <w:rPr>
          <w:rFonts w:eastAsiaTheme="minorHAnsi"/>
          <w:sz w:val="18"/>
          <w:szCs w:val="18"/>
          <w:lang w:val="es-ES_tradnl" w:eastAsia="en-US"/>
        </w:rPr>
      </w:pPr>
      <w:r w:rsidRPr="00053375">
        <w:rPr>
          <w:rFonts w:eastAsiaTheme="minorHAnsi"/>
          <w:sz w:val="18"/>
          <w:szCs w:val="18"/>
          <w:lang w:val="es-ES_tradnl" w:eastAsia="en-US"/>
        </w:rPr>
        <w:t>33 - Belice</w:t>
      </w:r>
    </w:p>
    <w:p w:rsidR="00A91BB0" w:rsidRPr="00053375" w:rsidRDefault="00A91BB0" w:rsidP="00F60529">
      <w:pPr>
        <w:spacing w:after="0" w:line="240" w:lineRule="auto"/>
        <w:rPr>
          <w:rFonts w:eastAsiaTheme="minorHAnsi"/>
          <w:sz w:val="18"/>
          <w:szCs w:val="18"/>
          <w:lang w:val="es-ES_tradnl" w:eastAsia="en-US"/>
        </w:rPr>
      </w:pPr>
      <w:r>
        <w:rPr>
          <w:rFonts w:eastAsiaTheme="minorHAnsi"/>
          <w:sz w:val="18"/>
          <w:szCs w:val="18"/>
          <w:lang w:val="es-ES_tradnl" w:eastAsia="en-US"/>
        </w:rPr>
        <w:t>34 - Antigua y Barbuda</w:t>
      </w:r>
    </w:p>
    <w:p w:rsidR="00A91BB0" w:rsidRPr="00053375" w:rsidRDefault="00A91BB0" w:rsidP="00F60529">
      <w:pPr>
        <w:spacing w:after="0" w:line="240" w:lineRule="auto"/>
        <w:rPr>
          <w:rFonts w:eastAsiaTheme="minorHAnsi"/>
          <w:lang w:val="es-ES_tradnl" w:eastAsia="en-US"/>
        </w:rPr>
      </w:pP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 xml:space="preserve">En la región, tanto los Estados Unidos de América como el Canadá, países con unos precios de las TIC muy asequibles y que ocupan los primeros lugares en la clasificación general de la IPB y de las tres </w:t>
      </w:r>
      <w:proofErr w:type="spellStart"/>
      <w:r w:rsidRPr="00053375">
        <w:rPr>
          <w:rFonts w:eastAsiaTheme="minorHAnsi"/>
          <w:lang w:val="es-ES_tradnl" w:eastAsia="en-US"/>
        </w:rPr>
        <w:t>subcestas</w:t>
      </w:r>
      <w:proofErr w:type="spellEnd"/>
      <w:r w:rsidRPr="00053375">
        <w:rPr>
          <w:rFonts w:eastAsiaTheme="minorHAnsi"/>
          <w:lang w:val="es-ES_tradnl" w:eastAsia="en-US"/>
        </w:rPr>
        <w:t xml:space="preserve">, muestran unos valores relativamente bajos en la cesta de la banda ancha fija ajustada a la PPP y, sin embargo, unos valores relativamente elevados de PPP en USD en lo que concierne a la </w:t>
      </w:r>
      <w:proofErr w:type="spellStart"/>
      <w:r w:rsidRPr="00053375">
        <w:rPr>
          <w:rFonts w:eastAsiaTheme="minorHAnsi"/>
          <w:lang w:val="es-ES_tradnl" w:eastAsia="en-US"/>
        </w:rPr>
        <w:t>subcesta</w:t>
      </w:r>
      <w:proofErr w:type="spellEnd"/>
      <w:r w:rsidRPr="00053375">
        <w:rPr>
          <w:rFonts w:eastAsiaTheme="minorHAnsi"/>
          <w:lang w:val="es-ES_tradnl" w:eastAsia="en-US"/>
        </w:rPr>
        <w:t xml:space="preserve"> de telefonía móvil celular. Esta situación puede deberse a que la </w:t>
      </w:r>
      <w:proofErr w:type="spellStart"/>
      <w:r w:rsidRPr="00053375">
        <w:rPr>
          <w:rFonts w:eastAsiaTheme="minorHAnsi"/>
          <w:lang w:val="es-ES_tradnl" w:eastAsia="en-US"/>
        </w:rPr>
        <w:t>subcesta</w:t>
      </w:r>
      <w:proofErr w:type="spellEnd"/>
      <w:r w:rsidRPr="00053375">
        <w:rPr>
          <w:rFonts w:eastAsiaTheme="minorHAnsi"/>
          <w:lang w:val="es-ES_tradnl" w:eastAsia="en-US"/>
        </w:rPr>
        <w:t xml:space="preserve"> de la telefonía móvil celular puede sobreestimar el costo de los servicios de telefonía móvil celular (y el precio por minuto) ya que, tanto en los Estados Unidos de América como en el Canadá, la cesta de usuarios no es representativa por lo reducido de su tamaño. En efecto, la </w:t>
      </w:r>
      <w:proofErr w:type="spellStart"/>
      <w:r w:rsidRPr="00053375">
        <w:rPr>
          <w:rFonts w:eastAsiaTheme="minorHAnsi"/>
          <w:lang w:val="es-ES_tradnl" w:eastAsia="en-US"/>
        </w:rPr>
        <w:t>United</w:t>
      </w:r>
      <w:proofErr w:type="spellEnd"/>
      <w:r w:rsidRPr="00053375">
        <w:rPr>
          <w:rFonts w:eastAsiaTheme="minorHAnsi"/>
          <w:lang w:val="es-ES_tradnl" w:eastAsia="en-US"/>
        </w:rPr>
        <w:t xml:space="preserve"> </w:t>
      </w:r>
      <w:proofErr w:type="spellStart"/>
      <w:r w:rsidRPr="00053375">
        <w:rPr>
          <w:rFonts w:eastAsiaTheme="minorHAnsi"/>
          <w:lang w:val="es-ES_tradnl" w:eastAsia="en-US"/>
        </w:rPr>
        <w:t>States</w:t>
      </w:r>
      <w:proofErr w:type="spellEnd"/>
      <w:r w:rsidRPr="00053375">
        <w:rPr>
          <w:rFonts w:eastAsiaTheme="minorHAnsi"/>
          <w:lang w:val="es-ES_tradnl" w:eastAsia="en-US"/>
        </w:rPr>
        <w:t xml:space="preserve"> </w:t>
      </w:r>
      <w:proofErr w:type="spellStart"/>
      <w:r w:rsidRPr="00053375">
        <w:rPr>
          <w:rFonts w:eastAsiaTheme="minorHAnsi"/>
          <w:lang w:val="es-ES_tradnl" w:eastAsia="en-US"/>
        </w:rPr>
        <w:t>Wireless</w:t>
      </w:r>
      <w:proofErr w:type="spellEnd"/>
      <w:r w:rsidRPr="00053375">
        <w:rPr>
          <w:rFonts w:eastAsiaTheme="minorHAnsi"/>
          <w:lang w:val="es-ES_tradnl" w:eastAsia="en-US"/>
        </w:rPr>
        <w:t xml:space="preserve"> </w:t>
      </w:r>
      <w:proofErr w:type="spellStart"/>
      <w:r w:rsidRPr="00053375">
        <w:rPr>
          <w:rFonts w:eastAsiaTheme="minorHAnsi"/>
          <w:lang w:val="es-ES_tradnl" w:eastAsia="en-US"/>
        </w:rPr>
        <w:t>Association</w:t>
      </w:r>
      <w:proofErr w:type="spellEnd"/>
      <w:r w:rsidRPr="00053375">
        <w:rPr>
          <w:rFonts w:eastAsiaTheme="minorHAnsi"/>
          <w:lang w:val="es-ES_tradnl" w:eastAsia="en-US"/>
        </w:rPr>
        <w:t xml:space="preserve"> (CTIA) ha señalado reiteradamente que, de media, los estadounidenses llaman más desde el teléfono móvil que los ciudadanos de otros países, y que el precio por minuto de los paquetes para aquellos usuarios que apenas utilizan el teléfono no es representativo y es alto en comparación con los paquetes que suscriben la mayoría de ciudadanos de los Estados Unidos de América.</w:t>
      </w:r>
      <w:r w:rsidRPr="00053375">
        <w:rPr>
          <w:rFonts w:eastAsiaTheme="minorHAnsi"/>
          <w:vertAlign w:val="superscript"/>
          <w:lang w:val="es-ES_tradnl" w:eastAsia="en-US"/>
        </w:rPr>
        <w:footnoteReference w:id="29"/>
      </w:r>
      <w:r w:rsidRPr="00053375">
        <w:rPr>
          <w:rFonts w:eastAsiaTheme="minorHAnsi"/>
          <w:lang w:val="es-ES_tradnl" w:eastAsia="en-US"/>
        </w:rPr>
        <w:t xml:space="preserve"> Un </w:t>
      </w:r>
      <w:r w:rsidRPr="00053375">
        <w:rPr>
          <w:rFonts w:eastAsiaTheme="minorHAnsi"/>
          <w:lang w:val="es-ES_tradnl" w:eastAsia="en-US"/>
        </w:rPr>
        <w:lastRenderedPageBreak/>
        <w:t xml:space="preserve">examen de las clasificaciones y las ofertas de telefonía móvil celular realizado por la OCDE también reveló que el Canadá ocupa uno de los últimos lugares de la clasificación (precios relativamente altos) en lo que respecta a las ofertas para los usuarios que apenas utilizan el teléfono y, en cambio, uno de los primeros lugares (precios relativamente bajos) en términos de los paquetes para aquellos usuarios que lo utilizan ampliamente. En la cesta de 30 llamadas de la OCDE (una de las cestas en las que se basa la </w:t>
      </w:r>
      <w:proofErr w:type="spellStart"/>
      <w:r w:rsidRPr="00053375">
        <w:rPr>
          <w:rFonts w:eastAsiaTheme="minorHAnsi"/>
          <w:lang w:val="es-ES_tradnl" w:eastAsia="en-US"/>
        </w:rPr>
        <w:t>subcesta</w:t>
      </w:r>
      <w:proofErr w:type="spellEnd"/>
      <w:r w:rsidRPr="00053375">
        <w:rPr>
          <w:rFonts w:eastAsiaTheme="minorHAnsi"/>
          <w:lang w:val="es-ES_tradnl" w:eastAsia="en-US"/>
        </w:rPr>
        <w:t xml:space="preserve"> de telefonía móvil celular de la UIT), el Canadá ocupa el penúltimo lugar; por el contrario, en la cesta de 900 minutos de la OCDE (mucha utilización) ocupa el quinto lugar (</w:t>
      </w:r>
      <w:proofErr w:type="spellStart"/>
      <w:r w:rsidRPr="00053375">
        <w:rPr>
          <w:rFonts w:eastAsiaTheme="minorHAnsi"/>
          <w:lang w:val="es-ES_tradnl" w:eastAsia="en-US"/>
        </w:rPr>
        <w:t>Nordicity</w:t>
      </w:r>
      <w:proofErr w:type="spellEnd"/>
      <w:r w:rsidRPr="00053375">
        <w:rPr>
          <w:rFonts w:eastAsiaTheme="minorHAnsi"/>
          <w:lang w:val="es-ES_tradnl" w:eastAsia="en-US"/>
        </w:rPr>
        <w:t>, 2011).</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 xml:space="preserve">Varios países, entre ellos Costa Rica, Panamá y Trinidad y </w:t>
      </w:r>
      <w:proofErr w:type="spellStart"/>
      <w:r w:rsidRPr="00053375">
        <w:rPr>
          <w:rFonts w:eastAsiaTheme="minorHAnsi"/>
          <w:lang w:val="es-ES_tradnl" w:eastAsia="en-US"/>
        </w:rPr>
        <w:t>Tabago</w:t>
      </w:r>
      <w:proofErr w:type="spellEnd"/>
      <w:r w:rsidRPr="00053375">
        <w:rPr>
          <w:rFonts w:eastAsiaTheme="minorHAnsi"/>
          <w:lang w:val="es-ES_tradnl" w:eastAsia="en-US"/>
        </w:rPr>
        <w:t xml:space="preserve">, tienen unos precios ajustados en función de la PPP bajos tanto para los servicios de telefonía móvil celular como para la banda ancha fija. Con una PPP en USD de 5,1, la </w:t>
      </w:r>
      <w:proofErr w:type="spellStart"/>
      <w:r w:rsidRPr="00053375">
        <w:rPr>
          <w:rFonts w:eastAsiaTheme="minorHAnsi"/>
          <w:lang w:val="es-ES_tradnl" w:eastAsia="en-US"/>
        </w:rPr>
        <w:t>subcesta</w:t>
      </w:r>
      <w:proofErr w:type="spellEnd"/>
      <w:r w:rsidRPr="00053375">
        <w:rPr>
          <w:rFonts w:eastAsiaTheme="minorHAnsi"/>
          <w:lang w:val="es-ES_tradnl" w:eastAsia="en-US"/>
        </w:rPr>
        <w:t xml:space="preserve"> de telefonía móvil celular de Costa Rica era, en 2011, la más barata de la región; también la </w:t>
      </w:r>
      <w:proofErr w:type="spellStart"/>
      <w:r w:rsidRPr="00053375">
        <w:rPr>
          <w:rFonts w:eastAsiaTheme="minorHAnsi"/>
          <w:lang w:val="es-ES_tradnl" w:eastAsia="en-US"/>
        </w:rPr>
        <w:t>subcesta</w:t>
      </w:r>
      <w:proofErr w:type="spellEnd"/>
      <w:r w:rsidRPr="00053375">
        <w:rPr>
          <w:rFonts w:eastAsiaTheme="minorHAnsi"/>
          <w:lang w:val="es-ES_tradnl" w:eastAsia="en-US"/>
        </w:rPr>
        <w:t xml:space="preserve"> de banda ancha fija ajustada al PPP en USD presenta un valor relativamente bajo, de 20,7. Pese a que, hasta 2011, en Costa Rica existía uno de los últimos monopolios de telecomunicaciones de América Latina (y, de hecho, del mundo), los precios de los servicios de TIC se han mantenido dentro de unos niveles relativamente razonables. Así, la falta de liberalización no parece haber repercutido negativamente en los precios. Por otro lado, los índices de penetración en Costa Rica siguen estando por debajo de la media. La penetración de la telefonía móvil celular, por ejemplo, alcanzó solamente el 65% en 2010 y el 92% en 2011, en comparación con la media de América Latina, que fue del 95% y del 103% en 2010 y 2011, respectivamente. Según algunos analistas, ello se debe al bajo nivel de la red y del servicio al cliente, así como a la falta de servicios de prepago para la telefonía móvil celular, que no aparecieron hasta 2011</w:t>
      </w:r>
      <w:r w:rsidRPr="00053375">
        <w:rPr>
          <w:rFonts w:eastAsiaTheme="minorHAnsi"/>
          <w:vertAlign w:val="superscript"/>
          <w:lang w:val="es-ES_tradnl" w:eastAsia="en-US"/>
        </w:rPr>
        <w:footnoteReference w:id="30"/>
      </w:r>
      <w:r w:rsidRPr="00053375">
        <w:rPr>
          <w:rFonts w:eastAsiaTheme="minorHAnsi"/>
          <w:lang w:val="es-ES_tradnl" w:eastAsia="en-US"/>
        </w:rPr>
        <w:t xml:space="preserve">. Aunque la competencia en el mercado de la telefonía móvil celular no provoca necesariamente un descenso de los precios, sí que podría mejorar la calidad del servicio y provocar un aumento en los índices de penetración en los próximos años. </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 xml:space="preserve">El Brasil y Venezuela muestran unos valores relativamente altos de PPP en USD en las </w:t>
      </w:r>
      <w:proofErr w:type="spellStart"/>
      <w:r w:rsidRPr="00053375">
        <w:rPr>
          <w:rFonts w:eastAsiaTheme="minorHAnsi"/>
          <w:lang w:val="es-ES_tradnl" w:eastAsia="en-US"/>
        </w:rPr>
        <w:t>subcestas</w:t>
      </w:r>
      <w:proofErr w:type="spellEnd"/>
      <w:r w:rsidRPr="00053375">
        <w:rPr>
          <w:rFonts w:eastAsiaTheme="minorHAnsi"/>
          <w:lang w:val="es-ES_tradnl" w:eastAsia="en-US"/>
        </w:rPr>
        <w:t xml:space="preserve"> de telefonía móvil celular, si bien los servicios de banda ancha fija que ofrecen son relativamente económicos. Cada vez son más los países que prestan una atención especial a la propagación y  a la asimilación de servicios y redes de banda ancha y que han adoptado planes nacionales de banda ancha a menudo vinculados a iniciativas para reducir los precios y hacer más asequible la banda ancha. América Latina no escapa a este fenómeno. En Brasil, Venezuela, Costa Rica y Uruguay han aumentado las iniciativas gubernamentales para promover el acceso a las redes de banda ancha, no s</w:t>
      </w:r>
      <w:r>
        <w:rPr>
          <w:rFonts w:eastAsiaTheme="minorHAnsi"/>
          <w:lang w:val="es-ES_tradnl" w:eastAsia="en-US"/>
        </w:rPr>
        <w:t>ó</w:t>
      </w:r>
      <w:r w:rsidRPr="00053375">
        <w:rPr>
          <w:rFonts w:eastAsiaTheme="minorHAnsi"/>
          <w:lang w:val="es-ES_tradnl" w:eastAsia="en-US"/>
        </w:rPr>
        <w:t>lo con la introducción de más ofertas de banda ancha, sino también a través de una rebaja en los precios. Los programas gubernamentales en Venezuela, Costa Rica y Uruguay los han llevado a cabo operadores públicos, mientras que en Brasil se ha recurrido a acuerdos entre el sector privado y a políticas gubernamentales concretas, en particular de fomento de la competencia en el mercado mayorista para reducir el precio para el usuario final (</w:t>
      </w:r>
      <w:proofErr w:type="spellStart"/>
      <w:r w:rsidRPr="00053375">
        <w:rPr>
          <w:rFonts w:eastAsiaTheme="minorHAnsi"/>
          <w:lang w:val="es-ES_tradnl" w:eastAsia="en-US"/>
        </w:rPr>
        <w:t>Galperin</w:t>
      </w:r>
      <w:proofErr w:type="spellEnd"/>
      <w:r w:rsidRPr="00053375">
        <w:rPr>
          <w:rFonts w:eastAsiaTheme="minorHAnsi"/>
          <w:lang w:val="es-ES_tradnl" w:eastAsia="en-US"/>
        </w:rPr>
        <w:t xml:space="preserve"> 2012, UIT 2011). </w:t>
      </w:r>
    </w:p>
    <w:p w:rsidR="00A91BB0" w:rsidRPr="00053375" w:rsidRDefault="00A91BB0" w:rsidP="00F60529">
      <w:pPr>
        <w:spacing w:before="120" w:after="0" w:line="240" w:lineRule="auto"/>
        <w:rPr>
          <w:rFonts w:eastAsiaTheme="minorHAnsi"/>
          <w:lang w:val="es-ES_tradnl" w:eastAsia="en-US"/>
        </w:rPr>
      </w:pPr>
      <w:r w:rsidRPr="00053375">
        <w:rPr>
          <w:rFonts w:eastAsiaTheme="minorHAnsi"/>
          <w:lang w:val="es-ES_tradnl" w:eastAsia="en-US"/>
        </w:rPr>
        <w:t>En toda la región se han empleado mecanismos normativos, como la introducción de operadores móviles de redes virtuales y la reducción de las tarifas de terminación en móvil, para promover la competencia, reducir la posición dominante de algunos operadores en el mercado y abaratar los precios de la telefonía móvil celular. En México, Cofetel logró reducir drásticamente las tarifas de terminación en móvil a finales de 2011, hecho que provocó un rápido descenso de los precios minoristas y el anuncio por parte de los operadores de nuevas reducciones en el precio de las llamadas</w:t>
      </w:r>
      <w:r w:rsidRPr="00053375">
        <w:rPr>
          <w:rFonts w:eastAsiaTheme="minorHAnsi"/>
          <w:vertAlign w:val="superscript"/>
          <w:lang w:val="es-ES_tradnl" w:eastAsia="en-US"/>
        </w:rPr>
        <w:footnoteReference w:id="31"/>
      </w:r>
      <w:r w:rsidRPr="00053375">
        <w:rPr>
          <w:rFonts w:eastAsiaTheme="minorHAnsi"/>
          <w:lang w:val="es-ES_tradnl" w:eastAsia="en-US"/>
        </w:rPr>
        <w:t xml:space="preserve">. Esta medida incidirá positivamente en los precios de la telefonía móvil celular en México. </w:t>
      </w:r>
      <w:r w:rsidRPr="00053375">
        <w:rPr>
          <w:rFonts w:eastAsiaTheme="minorHAnsi"/>
          <w:lang w:val="es-ES_tradnl" w:eastAsia="en-US"/>
        </w:rPr>
        <w:lastRenderedPageBreak/>
        <w:t>Otro avance en términos de mercado que ha empezado a propagarse por la región son los operadores móviles de redes virtuales, cada vez más presentes y un ámbito en el que América Latina ha estado tradicionalmente por detrás de otras regiones. Mientras que, en 2010, el mercado latinoamericano concentraba aproximadamente a un 15% de los abonos a telefonía móvil celular, representaba menos del 1% de los abonos a operadores móviles de redes virtuales en todo el mundo</w:t>
      </w:r>
      <w:r w:rsidRPr="00053375">
        <w:rPr>
          <w:rFonts w:eastAsiaTheme="minorHAnsi"/>
          <w:vertAlign w:val="superscript"/>
          <w:lang w:val="es-ES_tradnl" w:eastAsia="en-US"/>
        </w:rPr>
        <w:footnoteReference w:id="32"/>
      </w:r>
      <w:r w:rsidRPr="00053375">
        <w:rPr>
          <w:rFonts w:eastAsiaTheme="minorHAnsi"/>
          <w:lang w:val="es-ES_tradnl" w:eastAsia="en-US"/>
        </w:rPr>
        <w:t>. A principios de 2010, Chile era el único país de la región que había aprobado una normativa referida específicamente a este tipo de operadores, a pesar de que este tipo de operadores ya existían en Brasil, Colombia, Ecuador y México</w:t>
      </w:r>
      <w:r w:rsidRPr="00053375">
        <w:rPr>
          <w:rFonts w:eastAsiaTheme="minorHAnsi"/>
          <w:vertAlign w:val="superscript"/>
          <w:lang w:val="es-ES_tradnl" w:eastAsia="en-US"/>
        </w:rPr>
        <w:footnoteReference w:id="33"/>
      </w:r>
      <w:r w:rsidRPr="00053375">
        <w:rPr>
          <w:rFonts w:eastAsiaTheme="minorHAnsi"/>
          <w:lang w:val="es-ES_tradnl" w:eastAsia="en-US"/>
        </w:rPr>
        <w:t>. Desde entonces, más países han comenzado a regular los operadores móviles de redes virtuales y están fomentando la aparición de operadores alternativos, un hecho que podría constituir un aliciente adicional para la competencia</w:t>
      </w:r>
      <w:r w:rsidRPr="00053375">
        <w:rPr>
          <w:rFonts w:eastAsiaTheme="minorHAnsi"/>
          <w:vertAlign w:val="superscript"/>
          <w:lang w:val="es-ES_tradnl" w:eastAsia="en-US"/>
        </w:rPr>
        <w:footnoteReference w:id="34"/>
      </w:r>
      <w:r w:rsidRPr="00053375">
        <w:rPr>
          <w:rFonts w:eastAsiaTheme="minorHAnsi"/>
          <w:lang w:val="es-ES_tradnl" w:eastAsia="en-US"/>
        </w:rPr>
        <w:t>.</w:t>
      </w:r>
    </w:p>
    <w:p w:rsidR="00A91BB0" w:rsidRPr="00053375" w:rsidRDefault="00A91BB0" w:rsidP="00F60529">
      <w:pPr>
        <w:spacing w:before="120" w:after="0" w:line="240" w:lineRule="auto"/>
        <w:rPr>
          <w:rFonts w:eastAsiaTheme="minorHAnsi"/>
          <w:b/>
          <w:lang w:val="es-ES_tradnl" w:eastAsia="en-US"/>
        </w:rPr>
      </w:pPr>
      <w:r w:rsidRPr="00053375">
        <w:rPr>
          <w:rFonts w:eastAsiaTheme="minorHAnsi"/>
          <w:b/>
          <w:lang w:val="es-ES_tradnl" w:eastAsia="en-US"/>
        </w:rPr>
        <w:t>Precios de la banda ancha móvil en la Región de las Américas</w:t>
      </w:r>
    </w:p>
    <w:p w:rsidR="00A91BB0" w:rsidRPr="00053375" w:rsidRDefault="00A91BB0" w:rsidP="00F60529">
      <w:pPr>
        <w:autoSpaceDE w:val="0"/>
        <w:autoSpaceDN w:val="0"/>
        <w:adjustRightInd w:val="0"/>
        <w:spacing w:before="120" w:after="0" w:line="240" w:lineRule="auto"/>
        <w:rPr>
          <w:rFonts w:eastAsiaTheme="minorHAnsi"/>
          <w:lang w:val="es-ES_tradnl" w:eastAsia="en-US"/>
        </w:rPr>
      </w:pPr>
      <w:r w:rsidRPr="00053375">
        <w:rPr>
          <w:rFonts w:eastAsiaTheme="minorHAnsi"/>
          <w:lang w:val="es-ES_tradnl" w:eastAsia="en-US"/>
        </w:rPr>
        <w:t xml:space="preserve">El precio y la asequibilidad de los servicios de banda ancha móvil son factores cuya importancia va en aumento, a tenor de su tasa de crecimiento y de su potencial para conectar a más y más gente a Internet. Así, en 2011, la UIT llevó a cabo un ejercicio piloto de recogida de datos sobre los precios de la banda ancha móvil en 127 países, a fin de entender las limitaciones metodológicas y las dificultades de este proceso, así como para obtener más información sobre la asequibilidad de los servicios de banda ancha móvil. Estos precios de la banda ancha móvil no se incluyen en la IPB, sino que se recabaron y se analizaron por separado (UIT, 2012). </w:t>
      </w:r>
    </w:p>
    <w:p w:rsidR="00A91BB0" w:rsidRPr="00053375" w:rsidRDefault="00A91BB0" w:rsidP="00F60529">
      <w:pPr>
        <w:autoSpaceDE w:val="0"/>
        <w:autoSpaceDN w:val="0"/>
        <w:adjustRightInd w:val="0"/>
        <w:spacing w:before="120" w:after="0" w:line="240" w:lineRule="auto"/>
        <w:rPr>
          <w:rFonts w:eastAsia="MyriadPro-Light" w:cs="MyriadPro-Light"/>
          <w:lang w:val="es-ES_tradnl" w:eastAsia="en-US"/>
        </w:rPr>
      </w:pPr>
      <w:r w:rsidRPr="00053375">
        <w:rPr>
          <w:rFonts w:eastAsiaTheme="minorHAnsi"/>
          <w:lang w:val="es-ES_tradnl" w:eastAsia="en-US"/>
        </w:rPr>
        <w:t>Con un coste equivalente al 4,9% de la RNB per cápita en el caso de los planes de banda ancha de facturación mensual para equipos informáticos y al 10,9% de la RNB per cápita en lo que respecta a las ofertas para los teléfonos de prepago en 2011, el precio de la banda ancha móvil en la Región de las Américas está por debajo de la media mundial y de la media de los países en desarrollo.</w:t>
      </w:r>
      <w:r w:rsidRPr="00053375">
        <w:rPr>
          <w:rFonts w:eastAsiaTheme="minorHAnsi"/>
          <w:vertAlign w:val="superscript"/>
          <w:lang w:val="es-ES_tradnl" w:eastAsia="en-US"/>
        </w:rPr>
        <w:t xml:space="preserve"> </w:t>
      </w:r>
      <w:r w:rsidRPr="00053375">
        <w:rPr>
          <w:rFonts w:eastAsiaTheme="minorHAnsi"/>
          <w:lang w:val="es-ES_tradnl" w:eastAsia="en-US"/>
        </w:rPr>
        <w:t>Los planes de facturación mensual para equipos informáticos en particular son relativamente asequibles y su coste equivale a menos del 5% de la RNB mensual per cápita, un objetivo fijado por la Comisión de la Banda Ancha para el Desarrollo Digital para los servicios básicos de banda ancha. Los servicios de banda ancha móvil son más asequibles en los países con ingresos altos</w:t>
      </w:r>
      <w:r w:rsidRPr="00053375">
        <w:rPr>
          <w:rFonts w:eastAsiaTheme="minorHAnsi" w:cs="MyriadPro-LightIt"/>
          <w:iCs/>
          <w:lang w:val="es-ES_tradnl" w:eastAsia="en-US"/>
        </w:rPr>
        <w:t xml:space="preserve">. No obstante, son varios los países con ingresos medios-bajos y medios-altos de la región que presentan unas ofertas competitivas. En países de ingresos medio-altos como </w:t>
      </w:r>
      <w:r w:rsidRPr="00053375">
        <w:rPr>
          <w:rFonts w:eastAsia="MyriadPro-Light" w:cs="MyriadPro-Light"/>
          <w:lang w:val="es-ES_tradnl" w:eastAsia="en-US"/>
        </w:rPr>
        <w:t>Costa Rica, Panamá y Venezuela, l</w:t>
      </w:r>
      <w:r w:rsidRPr="00053375">
        <w:rPr>
          <w:rFonts w:eastAsiaTheme="minorHAnsi" w:cs="MyriadPro-LightIt"/>
          <w:iCs/>
          <w:lang w:val="es-ES_tradnl" w:eastAsia="en-US"/>
        </w:rPr>
        <w:t xml:space="preserve">os precios de la banda ancha para teléfonos portátiles de prepago y de los planes de facturación mensual para equipos informáticos no llegan al </w:t>
      </w:r>
      <w:r w:rsidRPr="00053375">
        <w:rPr>
          <w:rFonts w:eastAsia="MyriadPro-Light" w:cs="MyriadPro-Light"/>
          <w:lang w:val="es-ES_tradnl" w:eastAsia="en-US"/>
        </w:rPr>
        <w:t>3% de la RNB per cápita. En 16 de los 34 países de la Región de las Américas en el caso de la banda ancha fija y en 7 de 22 en el caso de la banda ancha móvil de prepago o de los planes de facturación mensual, el precio de los servicios de banda ancha estaba por debajo del umbral del 5% de la RNB per cápita fijado por la Comisión de la Banda Ancha. En cuatro países, el precio de los planes de facturación mensual para equipos informáticos tampoco llegaba al umbral del 5% de la RNB per cápita</w:t>
      </w:r>
      <w:r w:rsidRPr="00053375">
        <w:rPr>
          <w:rFonts w:eastAsiaTheme="minorHAnsi"/>
          <w:lang w:val="es-ES_tradnl" w:eastAsia="en-US"/>
        </w:rPr>
        <w:t xml:space="preserve"> (Cuadro 4.2). En la región, tanto la banda ancha móvil de prepago como los planes de facturación mensual son más baratos que los servicios de banda ancha fija</w:t>
      </w:r>
      <w:r w:rsidRPr="00053375">
        <w:rPr>
          <w:rFonts w:eastAsia="MyriadPro-Light" w:cs="MyriadPro-Light"/>
          <w:lang w:val="es-ES_tradnl" w:eastAsia="en-US"/>
        </w:rPr>
        <w:t>.</w:t>
      </w:r>
    </w:p>
    <w:p w:rsidR="00A91BB0" w:rsidRPr="00053375" w:rsidRDefault="00A91BB0" w:rsidP="00F60529">
      <w:pPr>
        <w:keepNext/>
        <w:keepLines/>
        <w:spacing w:before="120" w:after="0" w:line="240" w:lineRule="auto"/>
        <w:rPr>
          <w:rFonts w:eastAsiaTheme="minorHAnsi"/>
          <w:color w:val="FF0000"/>
          <w:lang w:val="es-ES_tradnl" w:eastAsia="en-US"/>
        </w:rPr>
      </w:pPr>
      <w:r w:rsidRPr="00053375">
        <w:rPr>
          <w:rFonts w:eastAsiaTheme="minorHAnsi"/>
          <w:b/>
          <w:bCs/>
          <w:lang w:val="es-ES_tradnl" w:eastAsia="en-US"/>
        </w:rPr>
        <w:lastRenderedPageBreak/>
        <w:t>Cuadro 4.2: Precios de la banda ancha móvil en USD y expresados como un porcentaje de la RNB per cápita, 2011, Región de las Américas</w:t>
      </w:r>
    </w:p>
    <w:p w:rsidR="00A91BB0" w:rsidRPr="00053375" w:rsidRDefault="00A91BB0" w:rsidP="00F60529">
      <w:pPr>
        <w:autoSpaceDE w:val="0"/>
        <w:autoSpaceDN w:val="0"/>
        <w:adjustRightInd w:val="0"/>
        <w:spacing w:before="120" w:after="0" w:line="240" w:lineRule="auto"/>
        <w:rPr>
          <w:rFonts w:eastAsiaTheme="minorHAnsi"/>
          <w:lang w:val="es-ES_tradnl" w:eastAsia="en-US"/>
        </w:rPr>
      </w:pPr>
      <w:r w:rsidRPr="00053375">
        <w:rPr>
          <w:rFonts w:eastAsiaTheme="minorHAnsi"/>
          <w:noProof/>
          <w:lang w:eastAsia="en-US"/>
        </w:rPr>
        <w:drawing>
          <wp:inline distT="0" distB="0" distL="0" distR="0" wp14:anchorId="4566F9EC" wp14:editId="1A8EB498">
            <wp:extent cx="5760720" cy="4939514"/>
            <wp:effectExtent l="0" t="0" r="0" b="0"/>
            <wp:docPr id="16" name="Picture 16" descr="C:\Users\Lisa\Desktop\rpm americas\Tabl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Desktop\rpm americas\Table-3-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4939514"/>
                    </a:xfrm>
                    <a:prstGeom prst="rect">
                      <a:avLst/>
                    </a:prstGeom>
                    <a:noFill/>
                    <a:ln>
                      <a:noFill/>
                    </a:ln>
                  </pic:spPr>
                </pic:pic>
              </a:graphicData>
            </a:graphic>
          </wp:inline>
        </w:drawing>
      </w:r>
    </w:p>
    <w:p w:rsidR="00A91BB0" w:rsidRPr="00053375" w:rsidRDefault="00A91BB0" w:rsidP="00F60529">
      <w:pPr>
        <w:keepNext/>
        <w:keepLines/>
        <w:spacing w:before="120" w:after="0" w:line="240" w:lineRule="auto"/>
        <w:jc w:val="both"/>
        <w:rPr>
          <w:rFonts w:eastAsiaTheme="minorHAnsi"/>
          <w:b/>
          <w:bCs/>
          <w:sz w:val="18"/>
          <w:szCs w:val="18"/>
          <w:lang w:val="es-ES_tradnl" w:eastAsia="en-US"/>
        </w:rPr>
      </w:pPr>
      <w:r w:rsidRPr="00053375">
        <w:rPr>
          <w:rFonts w:eastAsiaTheme="minorHAnsi"/>
          <w:sz w:val="18"/>
          <w:szCs w:val="18"/>
          <w:lang w:val="es-ES_tradnl" w:eastAsia="en-US"/>
        </w:rPr>
        <w:t>Origen: UIT.</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Nota: N/A – No disponible.</w:t>
      </w:r>
    </w:p>
    <w:p w:rsidR="00A91BB0" w:rsidRPr="00667755" w:rsidRDefault="00A91BB0" w:rsidP="00F60529">
      <w:pPr>
        <w:spacing w:before="120" w:after="0" w:line="240" w:lineRule="auto"/>
        <w:jc w:val="both"/>
        <w:rPr>
          <w:rFonts w:eastAsiaTheme="minorHAnsi"/>
          <w:b/>
          <w:bCs/>
          <w:sz w:val="18"/>
          <w:szCs w:val="18"/>
          <w:lang w:val="es-ES_tradnl" w:eastAsia="en-US"/>
        </w:rPr>
      </w:pPr>
      <w:r w:rsidRPr="00D96A90">
        <w:rPr>
          <w:rFonts w:eastAsiaTheme="minorHAnsi"/>
          <w:sz w:val="18"/>
          <w:szCs w:val="18"/>
          <w:lang w:val="es-ES_tradnl" w:eastAsia="en-US"/>
        </w:rPr>
        <w:t>Leyenda</w:t>
      </w:r>
      <w:r>
        <w:rPr>
          <w:rFonts w:eastAsiaTheme="minorHAnsi"/>
          <w:sz w:val="18"/>
          <w:szCs w:val="18"/>
          <w:lang w:val="es-ES_tradnl" w:eastAsia="en-US"/>
        </w:rPr>
        <w:t>s</w:t>
      </w:r>
      <w:r w:rsidRPr="00D96A90">
        <w:rPr>
          <w:rFonts w:eastAsiaTheme="minorHAnsi"/>
          <w:sz w:val="18"/>
          <w:szCs w:val="18"/>
          <w:lang w:val="es-ES_tradnl" w:eastAsia="en-US"/>
        </w:rPr>
        <w:t xml:space="preserve"> de la Figura:</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1 - País</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2 - Tipo de plan</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3 - Cesta de la banda ancha móvil en USD, 2011</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4 - Cesta de la banda ancha móvil en cuanto que % de la RNB per cápita, 2011</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5 - Móviles de prepago</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6 - Plan de facturación mensual para computadoras</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7 - Argentina</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8 - Bolivia</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9 - Brasil</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10 - Canadá</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11 - Chile</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12 - Colombia</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13 - Costa Rica</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14 - República Dominicana</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15 - Ecuador</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16 - El Salvador</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17 - Guatemala</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18 - Honduras</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19 - Jamaica</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20 - México</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21 - Nicaragua</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22 - Panamá</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lastRenderedPageBreak/>
        <w:t>23 - Paraguay</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24 - Perú</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 xml:space="preserve">25 - Trinidad y </w:t>
      </w:r>
      <w:proofErr w:type="spellStart"/>
      <w:r w:rsidRPr="00053375">
        <w:rPr>
          <w:rFonts w:eastAsiaTheme="minorHAnsi"/>
          <w:sz w:val="18"/>
          <w:szCs w:val="18"/>
          <w:lang w:val="es-ES_tradnl" w:eastAsia="en-US"/>
        </w:rPr>
        <w:t>Tabago</w:t>
      </w:r>
      <w:proofErr w:type="spellEnd"/>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26 - Estados Unidos de América</w:t>
      </w:r>
    </w:p>
    <w:p w:rsidR="00A91BB0" w:rsidRPr="00053375" w:rsidRDefault="00A91BB0" w:rsidP="00F60529">
      <w:pPr>
        <w:spacing w:after="0" w:line="240" w:lineRule="auto"/>
        <w:jc w:val="both"/>
        <w:rPr>
          <w:rFonts w:eastAsiaTheme="minorHAnsi"/>
          <w:sz w:val="18"/>
          <w:szCs w:val="18"/>
          <w:lang w:val="es-ES_tradnl" w:eastAsia="en-US"/>
        </w:rPr>
      </w:pPr>
      <w:r w:rsidRPr="00053375">
        <w:rPr>
          <w:rFonts w:eastAsiaTheme="minorHAnsi"/>
          <w:sz w:val="18"/>
          <w:szCs w:val="18"/>
          <w:lang w:val="es-ES_tradnl" w:eastAsia="en-US"/>
        </w:rPr>
        <w:t>27 - Uruguay</w:t>
      </w:r>
    </w:p>
    <w:p w:rsidR="00A91BB0" w:rsidRPr="00053375" w:rsidRDefault="00A91BB0" w:rsidP="00F60529">
      <w:pPr>
        <w:spacing w:after="0" w:line="240" w:lineRule="auto"/>
        <w:jc w:val="both"/>
        <w:rPr>
          <w:rFonts w:eastAsiaTheme="minorHAnsi"/>
          <w:sz w:val="18"/>
          <w:szCs w:val="18"/>
          <w:lang w:val="es-ES_tradnl" w:eastAsia="en-US"/>
        </w:rPr>
      </w:pPr>
      <w:r>
        <w:rPr>
          <w:rFonts w:eastAsiaTheme="minorHAnsi"/>
          <w:sz w:val="18"/>
          <w:szCs w:val="18"/>
          <w:lang w:val="es-ES_tradnl" w:eastAsia="en-US"/>
        </w:rPr>
        <w:t>28 - Venezuela</w:t>
      </w:r>
    </w:p>
    <w:p w:rsidR="00A91BB0" w:rsidRPr="00053375" w:rsidRDefault="00A91BB0" w:rsidP="002D4848">
      <w:pPr>
        <w:pStyle w:val="Heading2"/>
        <w:rPr>
          <w:lang w:val="es-ES_tradnl"/>
        </w:rPr>
      </w:pPr>
      <w:bookmarkStart w:id="13" w:name="_Toc351122025"/>
      <w:bookmarkStart w:id="14" w:name="_Toc358028712"/>
      <w:bookmarkStart w:id="15" w:name="_Toc359935897"/>
      <w:r>
        <w:rPr>
          <w:lang w:val="es-ES_tradnl"/>
        </w:rPr>
        <w:t>5</w:t>
      </w:r>
      <w:r w:rsidR="00BB148D">
        <w:rPr>
          <w:lang w:val="es-ES_tradnl"/>
        </w:rPr>
        <w:t>.</w:t>
      </w:r>
      <w:r>
        <w:rPr>
          <w:lang w:val="es-ES_tradnl"/>
        </w:rPr>
        <w:tab/>
      </w:r>
      <w:r w:rsidRPr="00053375">
        <w:rPr>
          <w:lang w:val="es-ES_tradnl"/>
        </w:rPr>
        <w:t>Conclusiones</w:t>
      </w:r>
      <w:bookmarkEnd w:id="13"/>
      <w:bookmarkEnd w:id="14"/>
      <w:bookmarkEnd w:id="15"/>
    </w:p>
    <w:p w:rsidR="00A91BB0" w:rsidRPr="00053375" w:rsidRDefault="00A91BB0" w:rsidP="00F60529">
      <w:pPr>
        <w:spacing w:before="120" w:after="0" w:line="240" w:lineRule="auto"/>
        <w:rPr>
          <w:lang w:val="es-ES_tradnl"/>
        </w:rPr>
      </w:pPr>
      <w:r w:rsidRPr="00053375">
        <w:rPr>
          <w:lang w:val="es-ES_tradnl"/>
        </w:rPr>
        <w:t xml:space="preserve">La tasa de penetración de las TIC en la Región de las Américas está por encima de la media mundial en todos los servicios clave. La región muestra una relativa diversidad en términos de ingresos y los Estados Unidos de América, el país más poblado de la región, y Canadá encabezan la clasificación tanto en lo que respecta al nivel de las TIC como a la tasa de penetración regional. En Brasil, el país en desarrollo de la región con más habitantes, los niveles de penetración en todos los servicios clave de TIC están por encima de la media mundial. En los países de la región con ingresos más bajos, la utilización y la asimilación de las TIC son limitadas y el precio de los servicios no </w:t>
      </w:r>
      <w:r>
        <w:rPr>
          <w:lang w:val="es-ES_tradnl"/>
        </w:rPr>
        <w:t xml:space="preserve">suele </w:t>
      </w:r>
      <w:r w:rsidRPr="00053375">
        <w:rPr>
          <w:lang w:val="es-ES_tradnl"/>
        </w:rPr>
        <w:t xml:space="preserve">ser asequible. También se observa en la región una brecha pronunciada en lo que respecta a la banda ancha móvil, y la asimilación de servicios de banda ancha móvil sigue siendo limitada en muchos países. </w:t>
      </w:r>
    </w:p>
    <w:p w:rsidR="00A91BB0" w:rsidRPr="00053375" w:rsidRDefault="00A91BB0" w:rsidP="00F60529">
      <w:pPr>
        <w:spacing w:before="120" w:after="0" w:line="240" w:lineRule="auto"/>
        <w:rPr>
          <w:lang w:val="es-ES_tradnl"/>
        </w:rPr>
      </w:pPr>
      <w:r w:rsidRPr="00053375">
        <w:rPr>
          <w:lang w:val="es-ES_tradnl"/>
        </w:rPr>
        <w:t xml:space="preserve">Comparativamente, en la mayoría de economías de la región la tasa de penetración de telefonía móvil celular es elevada, y el mercado de la telefonía móvil está alcanzando sus niveles de saturación. Son varias las políticas que podrían contribuir a incentivar una competencia sostenible en los mercados de la telefonía móvil. Dado que distintos países de la región optaron por crear fondos de servicio universal, que permanecen activos, podrían recurrir a ellos en mayor medida para potenciar el despliegue de la infraestructura de banda ancha y estimular la demanda. </w:t>
      </w:r>
    </w:p>
    <w:p w:rsidR="00A91BB0" w:rsidRPr="00053375" w:rsidRDefault="00A91BB0" w:rsidP="00F60529">
      <w:pPr>
        <w:spacing w:before="120" w:after="0" w:line="240" w:lineRule="auto"/>
        <w:rPr>
          <w:lang w:val="es-ES_tradnl"/>
        </w:rPr>
      </w:pPr>
      <w:r w:rsidRPr="00053375">
        <w:rPr>
          <w:lang w:val="es-ES_tradnl"/>
        </w:rPr>
        <w:t xml:space="preserve">Unos servicios asequibles de banda ancha móvil y fija ayudarán a conectar a un mayor número de personas en la Región de las Américas. Así, el reto principal para los próximos años es mantener la propagación de una banda ancha asequible, en particular en países con una gran extensión, como Brasil y Argentina, o un nivel de desarrollo muy bajo, como Haití. Los países pueden recurrir a las redes de telefonía móvil celular ya existentes y apoyar el desarrollo de mercados de telefonía móvil para potenciar el crecimiento de la banda ancha móvil. Los responsables de formular políticas y los reguladores pueden desempeñar un papel crucial a la hora de acelerar la transición de servicios tradicionales de telefonía móvil celular a servicios de banda ancha móvil, facilitando por ejemplo un entorno normativo y una regulación en materia de concesión de licencias, en particular la concesión de licencias sobre el espectro, que sean propicios para la inversión en redes 3G y en redes de banda ancha inalámbricas avanzadas como los ETL. </w:t>
      </w:r>
    </w:p>
    <w:p w:rsidR="00A91BB0" w:rsidRPr="00053375" w:rsidRDefault="00A91BB0" w:rsidP="00F60529">
      <w:pPr>
        <w:pStyle w:val="Heading2"/>
        <w:spacing w:before="120" w:line="240" w:lineRule="auto"/>
        <w:jc w:val="both"/>
        <w:rPr>
          <w:lang w:val="es-ES_tradnl"/>
        </w:rPr>
      </w:pPr>
      <w:bookmarkStart w:id="16" w:name="_Toc351122026"/>
      <w:bookmarkStart w:id="17" w:name="_Toc358028713"/>
      <w:bookmarkStart w:id="18" w:name="_Toc359935898"/>
      <w:r w:rsidRPr="00053375">
        <w:rPr>
          <w:rFonts w:asciiTheme="minorHAnsi" w:hAnsiTheme="minorHAnsi"/>
          <w:lang w:val="es-ES_tradnl"/>
        </w:rPr>
        <w:t>Referencias</w:t>
      </w:r>
      <w:bookmarkEnd w:id="16"/>
      <w:bookmarkEnd w:id="17"/>
      <w:bookmarkEnd w:id="18"/>
      <w:r w:rsidRPr="00053375">
        <w:rPr>
          <w:rFonts w:asciiTheme="minorHAnsi" w:hAnsiTheme="minorHAnsi"/>
          <w:lang w:val="es-ES_tradnl"/>
        </w:rPr>
        <w:t xml:space="preserve"> </w:t>
      </w:r>
    </w:p>
    <w:p w:rsidR="00A91BB0" w:rsidRPr="00396B10" w:rsidRDefault="00A91BB0" w:rsidP="00F60529">
      <w:pPr>
        <w:autoSpaceDE w:val="0"/>
        <w:autoSpaceDN w:val="0"/>
        <w:adjustRightInd w:val="0"/>
        <w:spacing w:before="120" w:after="0" w:line="240" w:lineRule="auto"/>
        <w:rPr>
          <w:rFonts w:eastAsia="MyriadPro-Light" w:cstheme="minorHAnsi"/>
          <w:lang w:val="es-ES_tradnl"/>
        </w:rPr>
      </w:pPr>
      <w:proofErr w:type="spellStart"/>
      <w:r w:rsidRPr="00396B10">
        <w:rPr>
          <w:rFonts w:eastAsia="MyriadPro-Light" w:cstheme="minorHAnsi"/>
          <w:lang w:val="es-ES_tradnl"/>
        </w:rPr>
        <w:t>Galperin</w:t>
      </w:r>
      <w:proofErr w:type="spellEnd"/>
      <w:r w:rsidRPr="00396B10">
        <w:rPr>
          <w:rFonts w:eastAsia="MyriadPro-Light" w:cstheme="minorHAnsi"/>
          <w:lang w:val="es-ES_tradnl"/>
        </w:rPr>
        <w:t xml:space="preserve">, H. (2012), </w:t>
      </w:r>
      <w:proofErr w:type="spellStart"/>
      <w:r w:rsidRPr="00396B10">
        <w:rPr>
          <w:rFonts w:eastAsia="MyriadPro-Light" w:cstheme="minorHAnsi"/>
          <w:i/>
          <w:iCs/>
          <w:lang w:val="es-ES_tradnl"/>
        </w:rPr>
        <w:t>Broadband</w:t>
      </w:r>
      <w:proofErr w:type="spellEnd"/>
      <w:r w:rsidRPr="00396B10">
        <w:rPr>
          <w:rFonts w:eastAsia="MyriadPro-Light" w:cstheme="minorHAnsi"/>
          <w:i/>
          <w:iCs/>
          <w:lang w:val="es-ES_tradnl"/>
        </w:rPr>
        <w:t xml:space="preserve"> </w:t>
      </w:r>
      <w:proofErr w:type="spellStart"/>
      <w:r w:rsidRPr="00396B10">
        <w:rPr>
          <w:rFonts w:eastAsia="MyriadPro-Light" w:cstheme="minorHAnsi"/>
          <w:i/>
          <w:iCs/>
          <w:lang w:val="es-ES_tradnl"/>
        </w:rPr>
        <w:t>tariffs</w:t>
      </w:r>
      <w:proofErr w:type="spellEnd"/>
      <w:r w:rsidRPr="00396B10">
        <w:rPr>
          <w:rFonts w:eastAsia="MyriadPro-Light" w:cstheme="minorHAnsi"/>
          <w:i/>
          <w:iCs/>
          <w:lang w:val="es-ES_tradnl"/>
        </w:rPr>
        <w:t xml:space="preserve"> in </w:t>
      </w:r>
      <w:proofErr w:type="spellStart"/>
      <w:r w:rsidRPr="00396B10">
        <w:rPr>
          <w:rFonts w:eastAsia="MyriadPro-Light" w:cstheme="minorHAnsi"/>
          <w:i/>
          <w:iCs/>
          <w:lang w:val="es-ES_tradnl"/>
        </w:rPr>
        <w:t>Latin</w:t>
      </w:r>
      <w:proofErr w:type="spellEnd"/>
      <w:r w:rsidRPr="00396B10">
        <w:rPr>
          <w:rFonts w:eastAsia="MyriadPro-Light" w:cstheme="minorHAnsi"/>
          <w:i/>
          <w:iCs/>
          <w:lang w:val="es-ES_tradnl"/>
        </w:rPr>
        <w:t xml:space="preserve"> </w:t>
      </w:r>
      <w:proofErr w:type="spellStart"/>
      <w:r w:rsidRPr="00396B10">
        <w:rPr>
          <w:rFonts w:eastAsia="MyriadPro-Light" w:cstheme="minorHAnsi"/>
          <w:i/>
          <w:iCs/>
          <w:lang w:val="es-ES_tradnl"/>
        </w:rPr>
        <w:t>America</w:t>
      </w:r>
      <w:proofErr w:type="spellEnd"/>
      <w:r w:rsidRPr="00396B10">
        <w:rPr>
          <w:rFonts w:eastAsia="MyriadPro-Light" w:cstheme="minorHAnsi"/>
          <w:i/>
          <w:iCs/>
          <w:lang w:val="es-ES_tradnl"/>
        </w:rPr>
        <w:t xml:space="preserve"> and </w:t>
      </w:r>
      <w:proofErr w:type="spellStart"/>
      <w:r w:rsidRPr="00396B10">
        <w:rPr>
          <w:rFonts w:eastAsia="MyriadPro-Light" w:cstheme="minorHAnsi"/>
          <w:i/>
          <w:iCs/>
          <w:lang w:val="es-ES_tradnl"/>
        </w:rPr>
        <w:t>the</w:t>
      </w:r>
      <w:proofErr w:type="spellEnd"/>
      <w:r w:rsidRPr="00396B10">
        <w:rPr>
          <w:rFonts w:eastAsia="MyriadPro-Light" w:cstheme="minorHAnsi"/>
          <w:i/>
          <w:iCs/>
          <w:lang w:val="es-ES_tradnl"/>
        </w:rPr>
        <w:t xml:space="preserve"> </w:t>
      </w:r>
      <w:proofErr w:type="spellStart"/>
      <w:r w:rsidRPr="00396B10">
        <w:rPr>
          <w:rFonts w:eastAsia="MyriadPro-Light" w:cstheme="minorHAnsi"/>
          <w:i/>
          <w:iCs/>
          <w:lang w:val="es-ES_tradnl"/>
        </w:rPr>
        <w:t>Caribbean</w:t>
      </w:r>
      <w:proofErr w:type="spellEnd"/>
      <w:r w:rsidRPr="00396B10">
        <w:rPr>
          <w:rFonts w:eastAsia="MyriadPro-Light" w:cstheme="minorHAnsi"/>
          <w:i/>
          <w:iCs/>
          <w:lang w:val="es-ES_tradnl"/>
        </w:rPr>
        <w:t xml:space="preserve">: Benchmarking and </w:t>
      </w:r>
      <w:proofErr w:type="spellStart"/>
      <w:r w:rsidRPr="00396B10">
        <w:rPr>
          <w:rFonts w:eastAsia="MyriadPro-Light" w:cstheme="minorHAnsi"/>
          <w:i/>
          <w:iCs/>
          <w:lang w:val="es-ES_tradnl"/>
        </w:rPr>
        <w:t>trends</w:t>
      </w:r>
      <w:proofErr w:type="spellEnd"/>
      <w:r w:rsidRPr="00396B10">
        <w:rPr>
          <w:rFonts w:eastAsia="MyriadPro-Light" w:cstheme="minorHAnsi"/>
          <w:lang w:val="es-ES_tradnl"/>
        </w:rPr>
        <w:t>, Reseña de políticas, Dialogo Regional sobre Sociedad de la Información (DIRSI), Universidad de San Andrés, Argentina, 2012. Disponible en:</w:t>
      </w:r>
      <w:r w:rsidRPr="00396B10">
        <w:rPr>
          <w:rFonts w:eastAsia="MyriadPro-Light" w:cstheme="minorHAnsi"/>
          <w:lang w:val="es-ES_tradnl"/>
        </w:rPr>
        <w:br/>
        <w:t>http://www.dirsi.net/sites/default/files/Hern%C3%A1n%20Galper%C3%ADn%20-%20policy_brief_english.pdf.</w:t>
      </w:r>
    </w:p>
    <w:p w:rsidR="00A91BB0" w:rsidRPr="00396B10" w:rsidRDefault="00A91BB0" w:rsidP="00F60529">
      <w:pPr>
        <w:autoSpaceDE w:val="0"/>
        <w:autoSpaceDN w:val="0"/>
        <w:spacing w:before="120" w:after="0" w:line="240" w:lineRule="auto"/>
        <w:rPr>
          <w:rFonts w:cstheme="minorHAnsi"/>
          <w:lang w:val="es-ES_tradnl"/>
        </w:rPr>
      </w:pPr>
      <w:r w:rsidRPr="00396B10">
        <w:rPr>
          <w:rFonts w:cstheme="minorHAnsi"/>
          <w:lang w:val="es-ES_tradnl"/>
        </w:rPr>
        <w:t xml:space="preserve">UIT (2013), </w:t>
      </w:r>
      <w:r w:rsidRPr="00396B10">
        <w:rPr>
          <w:rStyle w:val="Strong"/>
          <w:rFonts w:cstheme="minorHAnsi"/>
          <w:b w:val="0"/>
          <w:bCs w:val="0"/>
          <w:i/>
          <w:iCs/>
          <w:color w:val="444444"/>
          <w:bdr w:val="none" w:sz="0" w:space="0" w:color="auto" w:frame="1"/>
          <w:shd w:val="clear" w:color="auto" w:fill="FFFFFF"/>
          <w:lang w:val="es-ES_tradnl"/>
        </w:rPr>
        <w:t>Tendencias en las Reformas de las Telecomunicaciones 2013: Aspectos transnacionales de la reglamentación en una sociedad interconectada</w:t>
      </w:r>
      <w:r w:rsidRPr="00396B10">
        <w:rPr>
          <w:rFonts w:cstheme="minorHAnsi"/>
          <w:lang w:val="es-ES_tradnl"/>
        </w:rPr>
        <w:t xml:space="preserve">. </w:t>
      </w:r>
      <w:r w:rsidRPr="00396B10">
        <w:rPr>
          <w:rFonts w:eastAsia="MyriadPro-Light" w:cstheme="minorHAnsi"/>
          <w:lang w:val="es-ES_tradnl"/>
        </w:rPr>
        <w:t>Disponible en</w:t>
      </w:r>
      <w:r w:rsidRPr="00396B10">
        <w:rPr>
          <w:rFonts w:cstheme="minorHAnsi"/>
          <w:lang w:val="es-ES_tradnl"/>
        </w:rPr>
        <w:t xml:space="preserve">: </w:t>
      </w:r>
      <w:hyperlink r:id="rId46" w:history="1">
        <w:r w:rsidRPr="00396B10">
          <w:rPr>
            <w:rStyle w:val="Hyperlink"/>
            <w:rFonts w:cstheme="minorHAnsi"/>
            <w:lang w:val="es-ES_tradnl"/>
          </w:rPr>
          <w:t>http://www.itu.int/en/ITU-D/Regulatory-Market/Pages/Regulatory-Publications.aspx</w:t>
        </w:r>
      </w:hyperlink>
    </w:p>
    <w:p w:rsidR="00A91BB0" w:rsidRPr="00396B10" w:rsidRDefault="00A91BB0" w:rsidP="00F60529">
      <w:pPr>
        <w:spacing w:before="120" w:after="0" w:line="240" w:lineRule="auto"/>
        <w:rPr>
          <w:rStyle w:val="Hyperlink"/>
          <w:rFonts w:cstheme="minorHAnsi"/>
          <w:lang w:val="es-ES_tradnl"/>
        </w:rPr>
      </w:pPr>
      <w:r w:rsidRPr="00396B10">
        <w:rPr>
          <w:rFonts w:cstheme="minorHAnsi"/>
          <w:lang w:val="es-ES_tradnl"/>
        </w:rPr>
        <w:t xml:space="preserve">UIT (2012), </w:t>
      </w:r>
      <w:r w:rsidRPr="00396B10">
        <w:rPr>
          <w:rStyle w:val="Strong"/>
          <w:rFonts w:cstheme="minorHAnsi"/>
          <w:b w:val="0"/>
          <w:bCs w:val="0"/>
          <w:i/>
          <w:iCs/>
          <w:color w:val="444444"/>
          <w:bdr w:val="none" w:sz="0" w:space="0" w:color="auto" w:frame="1"/>
          <w:shd w:val="clear" w:color="auto" w:fill="FFFFFF"/>
          <w:lang w:val="es-ES_tradnl"/>
        </w:rPr>
        <w:t>Tendencias en las Reformas de las Telecomunicaciones 2012: Reglamentación inteligente para un mundo en banda ancha</w:t>
      </w:r>
      <w:r w:rsidRPr="00396B10">
        <w:rPr>
          <w:rFonts w:cstheme="minorHAnsi"/>
          <w:lang w:val="es-ES_tradnl"/>
        </w:rPr>
        <w:t xml:space="preserve">. </w:t>
      </w:r>
      <w:r w:rsidRPr="00396B10">
        <w:rPr>
          <w:rFonts w:eastAsia="MyriadPro-Light" w:cstheme="minorHAnsi"/>
          <w:lang w:val="es-ES_tradnl"/>
        </w:rPr>
        <w:t>Disponible en</w:t>
      </w:r>
      <w:r w:rsidRPr="00396B10">
        <w:rPr>
          <w:rFonts w:cstheme="minorHAnsi"/>
          <w:lang w:val="es-ES_tradnl"/>
        </w:rPr>
        <w:t>:  </w:t>
      </w:r>
      <w:hyperlink r:id="rId47" w:history="1">
        <w:r w:rsidRPr="00396B10">
          <w:rPr>
            <w:rStyle w:val="Hyperlink"/>
            <w:rFonts w:cstheme="minorHAnsi"/>
            <w:lang w:val="es-ES_tradnl"/>
          </w:rPr>
          <w:t>http://www.itu.int/pub/D-REG-TTR.13-2012</w:t>
        </w:r>
      </w:hyperlink>
    </w:p>
    <w:p w:rsidR="00A91BB0" w:rsidRPr="00396B10" w:rsidRDefault="00A91BB0" w:rsidP="00F60529">
      <w:pPr>
        <w:autoSpaceDE w:val="0"/>
        <w:autoSpaceDN w:val="0"/>
        <w:adjustRightInd w:val="0"/>
        <w:spacing w:before="120" w:after="0" w:line="240" w:lineRule="auto"/>
        <w:rPr>
          <w:rFonts w:cstheme="minorHAnsi"/>
          <w:lang w:val="es-ES_tradnl"/>
        </w:rPr>
      </w:pPr>
      <w:r w:rsidRPr="00396B10">
        <w:rPr>
          <w:rFonts w:cstheme="minorHAnsi"/>
          <w:lang w:val="es-ES_tradnl"/>
        </w:rPr>
        <w:t xml:space="preserve">UIT </w:t>
      </w:r>
      <w:r w:rsidRPr="00396B10">
        <w:rPr>
          <w:rFonts w:eastAsia="MyriadPro-Light" w:cstheme="minorHAnsi"/>
          <w:lang w:val="es-ES_tradnl"/>
        </w:rPr>
        <w:t xml:space="preserve">(2012), </w:t>
      </w:r>
      <w:r w:rsidRPr="00396B10">
        <w:rPr>
          <w:rFonts w:eastAsia="MyriadPro-Light" w:cstheme="minorHAnsi"/>
          <w:i/>
          <w:iCs/>
          <w:lang w:val="es-ES_tradnl"/>
        </w:rPr>
        <w:t>Medición de la Sociedad de la Información, 2012</w:t>
      </w:r>
      <w:r w:rsidRPr="00396B10">
        <w:rPr>
          <w:rFonts w:eastAsia="MyriadPro-Light" w:cstheme="minorHAnsi"/>
          <w:lang w:val="es-ES_tradnl"/>
        </w:rPr>
        <w:t>. Disponible en:</w:t>
      </w:r>
      <w:r w:rsidRPr="00396B10">
        <w:rPr>
          <w:rFonts w:eastAsia="MyriadPro-Light" w:cstheme="minorHAnsi"/>
          <w:lang w:val="es-ES_tradnl"/>
        </w:rPr>
        <w:br/>
      </w:r>
      <w:hyperlink r:id="rId48" w:history="1">
        <w:r w:rsidRPr="00396B10">
          <w:rPr>
            <w:rStyle w:val="Hyperlink"/>
            <w:rFonts w:eastAsia="MyriadPro-Light" w:cstheme="minorHAnsi"/>
            <w:lang w:val="es-ES_tradnl"/>
          </w:rPr>
          <w:t>http://</w:t>
        </w:r>
        <w:r w:rsidRPr="00396B10">
          <w:rPr>
            <w:rStyle w:val="Hyperlink"/>
            <w:rFonts w:cstheme="minorHAnsi"/>
            <w:lang w:val="es-ES_tradnl"/>
          </w:rPr>
          <w:t>www.itu.int/ITU-D/ict/publications/idi/material/2012/MIS2012_without_Annex_4.pdf</w:t>
        </w:r>
      </w:hyperlink>
      <w:r w:rsidRPr="00396B10">
        <w:rPr>
          <w:rFonts w:cstheme="minorHAnsi"/>
          <w:lang w:val="es-ES_tradnl"/>
        </w:rPr>
        <w:t>.</w:t>
      </w:r>
    </w:p>
    <w:p w:rsidR="00A91BB0" w:rsidRPr="00053375" w:rsidRDefault="00A91BB0" w:rsidP="00F60529">
      <w:pPr>
        <w:autoSpaceDE w:val="0"/>
        <w:autoSpaceDN w:val="0"/>
        <w:adjustRightInd w:val="0"/>
        <w:spacing w:before="120" w:after="0" w:line="240" w:lineRule="auto"/>
        <w:rPr>
          <w:rFonts w:eastAsia="MyriadPro-Light" w:cstheme="minorHAnsi"/>
          <w:lang w:val="es-ES_tradnl"/>
        </w:rPr>
      </w:pPr>
      <w:r w:rsidRPr="00053375">
        <w:rPr>
          <w:lang w:val="es-ES_tradnl"/>
        </w:rPr>
        <w:lastRenderedPageBreak/>
        <w:t>UIT (2012) Estudio para la Cumbre Conectar América 2012 sobre el</w:t>
      </w:r>
      <w:r w:rsidRPr="00053375">
        <w:rPr>
          <w:i/>
          <w:iCs/>
          <w:lang w:val="es-ES_tradnl"/>
        </w:rPr>
        <w:t xml:space="preserve"> Impacto normativo de la convergencia y la banda ancha para las Américas. </w:t>
      </w:r>
      <w:r w:rsidRPr="00053375">
        <w:rPr>
          <w:rFonts w:eastAsia="MyriadPro-Light" w:cs="MyriadPro-Light"/>
          <w:lang w:val="es-ES_tradnl"/>
        </w:rPr>
        <w:t xml:space="preserve">Disponible en: </w:t>
      </w:r>
      <w:hyperlink r:id="rId49" w:history="1">
        <w:r w:rsidRPr="00053375">
          <w:rPr>
            <w:rStyle w:val="Hyperlink"/>
            <w:rFonts w:eastAsia="MyriadPro-Light" w:cs="MyriadPro-Light"/>
            <w:lang w:val="es-ES_tradnl"/>
          </w:rPr>
          <w:t>http://www.itu.int/net/ITU-D/CDS/gq/generic/asp-reference/gq_file_download.aspx?FileID=1544</w:t>
        </w:r>
      </w:hyperlink>
      <w:r w:rsidRPr="00053375">
        <w:rPr>
          <w:rFonts w:eastAsia="MyriadPro-Light" w:cs="MyriadPro-Light"/>
          <w:lang w:val="es-ES_tradnl"/>
        </w:rPr>
        <w:t xml:space="preserve"> </w:t>
      </w:r>
    </w:p>
    <w:p w:rsidR="00A91BB0" w:rsidRPr="00A37E57" w:rsidRDefault="00A91BB0" w:rsidP="00F60529">
      <w:pPr>
        <w:autoSpaceDE w:val="0"/>
        <w:autoSpaceDN w:val="0"/>
        <w:adjustRightInd w:val="0"/>
        <w:spacing w:before="120" w:after="0" w:line="240" w:lineRule="auto"/>
        <w:rPr>
          <w:rFonts w:eastAsia="MyriadPro-Light" w:cs="MyriadPro-Light"/>
        </w:rPr>
      </w:pPr>
      <w:r w:rsidRPr="00053375">
        <w:rPr>
          <w:lang w:val="es-ES_tradnl"/>
        </w:rPr>
        <w:t xml:space="preserve">UIT </w:t>
      </w:r>
      <w:r w:rsidRPr="00053375">
        <w:rPr>
          <w:rFonts w:eastAsia="MyriadPro-Light" w:cs="MyriadPro-Light"/>
          <w:lang w:val="es-ES_tradnl"/>
        </w:rPr>
        <w:t xml:space="preserve">(2011), </w:t>
      </w:r>
      <w:r w:rsidRPr="00053375">
        <w:rPr>
          <w:rFonts w:eastAsia="MyriadPro-Light" w:cstheme="minorHAnsi"/>
          <w:i/>
          <w:iCs/>
          <w:lang w:val="es-ES_tradnl"/>
        </w:rPr>
        <w:t>Medición de la Sociedad de la Información,</w:t>
      </w:r>
      <w:r w:rsidRPr="00053375">
        <w:rPr>
          <w:rFonts w:eastAsia="MyriadPro-Light" w:cs="MyriadPro-LightIt"/>
          <w:i/>
          <w:iCs/>
          <w:lang w:val="es-ES_tradnl"/>
        </w:rPr>
        <w:t xml:space="preserve"> 2011</w:t>
      </w:r>
      <w:r w:rsidRPr="00053375">
        <w:rPr>
          <w:rFonts w:eastAsia="MyriadPro-Light" w:cs="MyriadPro-Light"/>
          <w:lang w:val="es-ES_tradnl"/>
        </w:rPr>
        <w:t xml:space="preserve">. </w:t>
      </w:r>
      <w:proofErr w:type="spellStart"/>
      <w:r w:rsidRPr="00A37E57">
        <w:rPr>
          <w:rFonts w:eastAsia="MyriadPro-Light" w:cs="MyriadPro-Light"/>
        </w:rPr>
        <w:t>Disponible</w:t>
      </w:r>
      <w:proofErr w:type="spellEnd"/>
      <w:r w:rsidRPr="00A37E57">
        <w:rPr>
          <w:rFonts w:eastAsia="MyriadPro-Light" w:cs="MyriadPro-Light"/>
        </w:rPr>
        <w:t xml:space="preserve"> en:</w:t>
      </w:r>
      <w:r>
        <w:rPr>
          <w:rFonts w:eastAsia="MyriadPro-Light" w:cs="MyriadPro-Light"/>
        </w:rPr>
        <w:br/>
      </w:r>
      <w:hyperlink r:id="rId50" w:history="1">
        <w:r w:rsidRPr="00A37E57">
          <w:rPr>
            <w:rStyle w:val="Hyperlink"/>
            <w:rFonts w:eastAsia="MyriadPro-Light" w:cs="MyriadPro-Light"/>
          </w:rPr>
          <w:t>http://www.itu.int/ITU-D/ict/publications/idi/material/2011/MIS_2011_without_annex_5.pdf</w:t>
        </w:r>
      </w:hyperlink>
      <w:r w:rsidRPr="00A37E57">
        <w:rPr>
          <w:rFonts w:eastAsia="MyriadPro-Light" w:cs="MyriadPro-Light"/>
        </w:rPr>
        <w:t>.</w:t>
      </w:r>
    </w:p>
    <w:p w:rsidR="00A91BB0" w:rsidRPr="00053375" w:rsidRDefault="00A91BB0" w:rsidP="00F60529">
      <w:pPr>
        <w:autoSpaceDE w:val="0"/>
        <w:autoSpaceDN w:val="0"/>
        <w:adjustRightInd w:val="0"/>
        <w:spacing w:before="120" w:after="0" w:line="240" w:lineRule="auto"/>
        <w:rPr>
          <w:rFonts w:eastAsiaTheme="minorHAnsi"/>
          <w:lang w:val="es-ES_tradnl" w:eastAsia="en-US"/>
        </w:rPr>
      </w:pPr>
      <w:proofErr w:type="spellStart"/>
      <w:r w:rsidRPr="00A37E57">
        <w:rPr>
          <w:rFonts w:eastAsia="MyriadPro-Light" w:cs="MyriadPro-Light"/>
        </w:rPr>
        <w:t>Nordicity</w:t>
      </w:r>
      <w:proofErr w:type="spellEnd"/>
      <w:r w:rsidRPr="00A37E57">
        <w:rPr>
          <w:rFonts w:eastAsia="MyriadPro-Light" w:cs="MyriadPro-Light"/>
        </w:rPr>
        <w:t xml:space="preserve"> (2011), </w:t>
      </w:r>
      <w:r w:rsidRPr="00A37E57">
        <w:rPr>
          <w:rFonts w:eastAsia="MyriadPro-Light" w:cs="MyriadPro-LightIt"/>
          <w:i/>
          <w:iCs/>
        </w:rPr>
        <w:t xml:space="preserve">International wireless market comparison - Review of the OECD wireless rankings, </w:t>
      </w:r>
      <w:proofErr w:type="spellStart"/>
      <w:r w:rsidRPr="00A37E57">
        <w:rPr>
          <w:rFonts w:eastAsia="MyriadPro-Light" w:cs="MyriadPro-Light"/>
        </w:rPr>
        <w:t>preparado</w:t>
      </w:r>
      <w:proofErr w:type="spellEnd"/>
      <w:r w:rsidRPr="00A37E57">
        <w:rPr>
          <w:rFonts w:eastAsia="MyriadPro-Light" w:cs="MyriadPro-Light"/>
        </w:rPr>
        <w:t xml:space="preserve"> para </w:t>
      </w:r>
      <w:proofErr w:type="spellStart"/>
      <w:r w:rsidRPr="00A37E57">
        <w:rPr>
          <w:rFonts w:eastAsia="MyriadPro-Light" w:cs="MyriadPro-Light"/>
        </w:rPr>
        <w:t>Telus</w:t>
      </w:r>
      <w:proofErr w:type="spellEnd"/>
      <w:r w:rsidRPr="00A37E57">
        <w:rPr>
          <w:rFonts w:eastAsia="MyriadPro-Light" w:cs="MyriadPro-Light"/>
        </w:rPr>
        <w:t xml:space="preserve">, </w:t>
      </w:r>
      <w:proofErr w:type="spellStart"/>
      <w:r w:rsidRPr="00A37E57">
        <w:rPr>
          <w:rFonts w:eastAsia="MyriadPro-Light" w:cs="MyriadPro-Light"/>
        </w:rPr>
        <w:t>junio</w:t>
      </w:r>
      <w:proofErr w:type="spellEnd"/>
      <w:r w:rsidRPr="00A37E57">
        <w:rPr>
          <w:rFonts w:eastAsia="MyriadPro-Light" w:cs="MyriadPro-Light"/>
        </w:rPr>
        <w:t xml:space="preserve"> de 2011. </w:t>
      </w:r>
      <w:r w:rsidRPr="00053375">
        <w:rPr>
          <w:rFonts w:eastAsia="MyriadPro-Light" w:cs="MyriadPro-Light"/>
          <w:lang w:val="es-ES_tradnl"/>
        </w:rPr>
        <w:t>Disponible en:</w:t>
      </w:r>
      <w:r>
        <w:rPr>
          <w:rFonts w:eastAsia="MyriadPro-Light" w:cs="MyriadPro-Light"/>
          <w:lang w:val="es-ES_tradnl"/>
        </w:rPr>
        <w:br/>
      </w:r>
      <w:r w:rsidRPr="00053375">
        <w:rPr>
          <w:rFonts w:eastAsia="MyriadPro-Light" w:cs="MyriadPro-Light"/>
          <w:lang w:val="es-ES_tradnl"/>
        </w:rPr>
        <w:t>http://www.nordicity.com/reports/International%20Wireless%20Comparisons%20v%20June%208%20EN.pdf.</w:t>
      </w:r>
    </w:p>
    <w:p w:rsidR="00A91BB0" w:rsidRPr="00053375" w:rsidRDefault="00A91BB0" w:rsidP="00F60529">
      <w:pPr>
        <w:autoSpaceDE w:val="0"/>
        <w:autoSpaceDN w:val="0"/>
        <w:adjustRightInd w:val="0"/>
        <w:spacing w:before="120" w:after="0" w:line="240" w:lineRule="auto"/>
        <w:rPr>
          <w:rFonts w:eastAsia="MyriadPro-Light" w:cs="MyriadPro-Light"/>
          <w:lang w:val="es-ES_tradnl"/>
        </w:rPr>
      </w:pPr>
      <w:r w:rsidRPr="00053375">
        <w:rPr>
          <w:rFonts w:eastAsia="MyriadPro-Light" w:cs="MyriadPro-Light"/>
          <w:lang w:val="es-ES_tradnl"/>
        </w:rPr>
        <w:t xml:space="preserve">OCDE (2011), </w:t>
      </w:r>
      <w:r w:rsidRPr="00053375">
        <w:rPr>
          <w:rFonts w:eastAsia="MyriadPro-Light" w:cs="MyriadPro-LightIt"/>
          <w:i/>
          <w:iCs/>
          <w:lang w:val="es-ES_tradnl"/>
        </w:rPr>
        <w:t>Perspectivas de las comunicaciones en la OCDE 2011</w:t>
      </w:r>
      <w:r w:rsidRPr="00053375">
        <w:rPr>
          <w:rFonts w:eastAsia="MyriadPro-Light" w:cs="MyriadPro-Light"/>
          <w:lang w:val="es-ES_tradnl"/>
        </w:rPr>
        <w:t>. Disponible en:</w:t>
      </w:r>
      <w:r>
        <w:rPr>
          <w:rFonts w:eastAsia="MyriadPro-Light" w:cs="MyriadPro-Light"/>
          <w:lang w:val="es-ES_tradnl"/>
        </w:rPr>
        <w:br/>
      </w:r>
      <w:r w:rsidRPr="00053375">
        <w:rPr>
          <w:rFonts w:eastAsia="MyriadPro-Light" w:cs="MyriadPro-Light"/>
          <w:lang w:val="es-ES_tradnl"/>
        </w:rPr>
        <w:t>http://www.oecd.org/document/44/0,3746,en_2649_34225_43435308_1_1_1_1,00.html.</w:t>
      </w:r>
    </w:p>
    <w:p w:rsidR="00A91BB0" w:rsidRPr="00053375" w:rsidRDefault="00A91BB0" w:rsidP="00F60529">
      <w:pPr>
        <w:autoSpaceDE w:val="0"/>
        <w:autoSpaceDN w:val="0"/>
        <w:adjustRightInd w:val="0"/>
        <w:spacing w:before="120" w:after="0" w:line="240" w:lineRule="auto"/>
        <w:rPr>
          <w:rFonts w:ascii="MyriadPro-Light" w:eastAsia="MyriadPro-Light" w:cs="MyriadPro-Light"/>
          <w:sz w:val="20"/>
          <w:szCs w:val="20"/>
          <w:lang w:val="es-ES_tradnl"/>
        </w:rPr>
      </w:pPr>
    </w:p>
    <w:p w:rsidR="00A91BB0" w:rsidRPr="00053375" w:rsidRDefault="00A91BB0" w:rsidP="00F60529">
      <w:pPr>
        <w:autoSpaceDE w:val="0"/>
        <w:autoSpaceDN w:val="0"/>
        <w:adjustRightInd w:val="0"/>
        <w:spacing w:before="120" w:after="0" w:line="240" w:lineRule="auto"/>
        <w:rPr>
          <w:rFonts w:ascii="MyriadPro-Light" w:eastAsia="MyriadPro-Light" w:cs="MyriadPro-Light"/>
          <w:sz w:val="20"/>
          <w:szCs w:val="20"/>
          <w:lang w:val="es-ES_tradnl"/>
        </w:rPr>
      </w:pPr>
    </w:p>
    <w:p w:rsidR="00A91BB0" w:rsidRPr="00053375" w:rsidRDefault="00A91BB0" w:rsidP="00F60529">
      <w:pPr>
        <w:autoSpaceDE w:val="0"/>
        <w:autoSpaceDN w:val="0"/>
        <w:adjustRightInd w:val="0"/>
        <w:spacing w:before="120" w:after="0" w:line="240" w:lineRule="auto"/>
        <w:jc w:val="center"/>
        <w:rPr>
          <w:rFonts w:ascii="MyriadPro-Light" w:eastAsia="MyriadPro-Light" w:cs="MyriadPro-Light"/>
          <w:sz w:val="20"/>
          <w:szCs w:val="20"/>
          <w:lang w:val="es-ES_tradnl"/>
        </w:rPr>
      </w:pPr>
      <w:r w:rsidRPr="00053375">
        <w:rPr>
          <w:rFonts w:ascii="MyriadPro-Light" w:eastAsia="MyriadPro-Light" w:cs="MyriadPro-Light"/>
          <w:sz w:val="20"/>
          <w:szCs w:val="20"/>
          <w:lang w:val="es-ES_tradnl"/>
        </w:rPr>
        <w:t>____________________</w:t>
      </w:r>
    </w:p>
    <w:sectPr w:rsidR="00A91BB0" w:rsidRPr="00053375" w:rsidSect="00354D62">
      <w:headerReference w:type="default" r:id="rId51"/>
      <w:footerReference w:type="default" r:id="rId52"/>
      <w:footerReference w:type="first" r:id="rId53"/>
      <w:pgSz w:w="11907" w:h="16839" w:code="9"/>
      <w:pgMar w:top="1134" w:right="1440" w:bottom="1440" w:left="1440" w:header="567"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529" w:rsidRDefault="00F60529" w:rsidP="00E8531E">
      <w:pPr>
        <w:spacing w:after="0" w:line="240" w:lineRule="auto"/>
      </w:pPr>
      <w:r>
        <w:separator/>
      </w:r>
    </w:p>
  </w:endnote>
  <w:endnote w:type="continuationSeparator" w:id="0">
    <w:p w:rsidR="00F60529" w:rsidRDefault="00F60529" w:rsidP="00E85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MyriadPro-Light">
    <w:altName w:val="ＭＳ ゴシック"/>
    <w:panose1 w:val="00000000000000000000"/>
    <w:charset w:val="80"/>
    <w:family w:val="swiss"/>
    <w:notTrueType/>
    <w:pitch w:val="default"/>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00000003" w:usb1="00000000" w:usb2="00000000" w:usb3="00000000" w:csb0="00000001" w:csb1="00000000"/>
  </w:font>
  <w:font w:name="Simplified Arabic">
    <w:charset w:val="B2"/>
    <w:family w:val="auto"/>
    <w:pitch w:val="variable"/>
    <w:sig w:usb0="00002001" w:usb1="00000000" w:usb2="00000000" w:usb3="00000000" w:csb0="00000040" w:csb1="00000000"/>
  </w:font>
  <w:font w:name="SimHei">
    <w:altName w:val="黑体"/>
    <w:charset w:val="86"/>
    <w:family w:val="auto"/>
    <w:pitch w:val="variable"/>
    <w:sig w:usb0="00000001" w:usb1="080E0000" w:usb2="00000010" w:usb3="00000000" w:csb0="00040000" w:csb1="00000000"/>
  </w:font>
  <w:font w:name="MyriadPro-Regular">
    <w:panose1 w:val="00000000000000000000"/>
    <w:charset w:val="00"/>
    <w:family w:val="swiss"/>
    <w:notTrueType/>
    <w:pitch w:val="default"/>
    <w:sig w:usb0="00000003" w:usb1="00000000" w:usb2="00000000" w:usb3="00000000" w:csb0="00000001" w:csb1="00000000"/>
  </w:font>
  <w:font w:name="MyriadPro-LightIt">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00022FF" w:usb1="C000205B" w:usb2="00000009"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29" w:rsidRPr="00804DF3" w:rsidRDefault="00F60529" w:rsidP="00F60529">
    <w:pPr>
      <w:pStyle w:val="Footer"/>
      <w:tabs>
        <w:tab w:val="clear" w:pos="4680"/>
        <w:tab w:val="center" w:pos="5670"/>
      </w:tabs>
      <w:rPr>
        <w:sz w:val="16"/>
        <w:szCs w:val="16"/>
      </w:rPr>
    </w:pPr>
    <w:r w:rsidRPr="00804DF3">
      <w:rPr>
        <w:sz w:val="16"/>
        <w:szCs w:val="16"/>
      </w:rPr>
      <w:fldChar w:fldCharType="begin"/>
    </w:r>
    <w:r w:rsidRPr="00804DF3">
      <w:rPr>
        <w:sz w:val="16"/>
        <w:szCs w:val="16"/>
      </w:rPr>
      <w:instrText xml:space="preserve"> FILENAME \p  \* MERGEFORMAT </w:instrText>
    </w:r>
    <w:r w:rsidRPr="00804DF3">
      <w:rPr>
        <w:sz w:val="16"/>
        <w:szCs w:val="16"/>
      </w:rPr>
      <w:fldChar w:fldCharType="separate"/>
    </w:r>
    <w:r w:rsidR="002D4848">
      <w:rPr>
        <w:noProof/>
        <w:sz w:val="16"/>
        <w:szCs w:val="16"/>
      </w:rPr>
      <w:t>P:\ESP\ITU-D\CONF-D\RPM\AMS\000\003S.docx</w:t>
    </w:r>
    <w:r w:rsidRPr="00804DF3">
      <w:rPr>
        <w:noProof/>
        <w:sz w:val="16"/>
        <w:szCs w:val="16"/>
      </w:rPr>
      <w:fldChar w:fldCharType="end"/>
    </w:r>
    <w:r>
      <w:rPr>
        <w:noProof/>
        <w:sz w:val="16"/>
        <w:szCs w:val="16"/>
      </w:rPr>
      <w:t xml:space="preserve"> (345760)</w:t>
    </w:r>
    <w:r w:rsidRPr="00804DF3">
      <w:rPr>
        <w:sz w:val="16"/>
        <w:szCs w:val="16"/>
      </w:rPr>
      <w:tab/>
    </w:r>
    <w:r w:rsidRPr="00804DF3">
      <w:rPr>
        <w:sz w:val="16"/>
        <w:szCs w:val="16"/>
      </w:rPr>
      <w:fldChar w:fldCharType="begin"/>
    </w:r>
    <w:r w:rsidRPr="00804DF3">
      <w:rPr>
        <w:sz w:val="16"/>
        <w:szCs w:val="16"/>
      </w:rPr>
      <w:instrText xml:space="preserve"> SAVEDATE \@ DD.MM.YY </w:instrText>
    </w:r>
    <w:r w:rsidRPr="00804DF3">
      <w:rPr>
        <w:sz w:val="16"/>
        <w:szCs w:val="16"/>
      </w:rPr>
      <w:fldChar w:fldCharType="separate"/>
    </w:r>
    <w:r w:rsidR="00485725">
      <w:rPr>
        <w:noProof/>
        <w:sz w:val="16"/>
        <w:szCs w:val="16"/>
      </w:rPr>
      <w:t>30.07.13</w:t>
    </w:r>
    <w:r w:rsidRPr="00804DF3">
      <w:rPr>
        <w:sz w:val="16"/>
        <w:szCs w:val="16"/>
      </w:rPr>
      <w:fldChar w:fldCharType="end"/>
    </w:r>
    <w:r w:rsidRPr="00804DF3">
      <w:rPr>
        <w:sz w:val="16"/>
        <w:szCs w:val="16"/>
      </w:rPr>
      <w:tab/>
    </w:r>
    <w:r w:rsidRPr="00804DF3">
      <w:rPr>
        <w:sz w:val="16"/>
        <w:szCs w:val="16"/>
      </w:rPr>
      <w:fldChar w:fldCharType="begin"/>
    </w:r>
    <w:r w:rsidRPr="00804DF3">
      <w:rPr>
        <w:sz w:val="16"/>
        <w:szCs w:val="16"/>
      </w:rPr>
      <w:instrText xml:space="preserve"> PRINTDATE \@ DD.MM.YY </w:instrText>
    </w:r>
    <w:r w:rsidRPr="00804DF3">
      <w:rPr>
        <w:sz w:val="16"/>
        <w:szCs w:val="16"/>
      </w:rPr>
      <w:fldChar w:fldCharType="separate"/>
    </w:r>
    <w:r w:rsidR="002D4848">
      <w:rPr>
        <w:noProof/>
        <w:sz w:val="16"/>
        <w:szCs w:val="16"/>
      </w:rPr>
      <w:t>25.06.13</w:t>
    </w:r>
    <w:r w:rsidRPr="00804DF3">
      <w:rPr>
        <w:sz w:val="16"/>
        <w:szCs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29" w:rsidRPr="000B03B6" w:rsidRDefault="00F60529" w:rsidP="008B1922">
    <w:pPr>
      <w:pStyle w:val="CEOFooterContact1"/>
      <w:rPr>
        <w:rFonts w:ascii="Verdana" w:hAnsi="Verdana"/>
        <w:sz w:val="16"/>
        <w:lang w:val="es-ES_tradnl"/>
      </w:rPr>
    </w:pPr>
    <w:r w:rsidRPr="000B03B6">
      <w:rPr>
        <w:rFonts w:ascii="Verdana" w:hAnsi="Verdana"/>
        <w:sz w:val="16"/>
        <w:lang w:val="es-ES_tradnl"/>
      </w:rPr>
      <w:t>Diríjase a:</w:t>
    </w:r>
    <w:r w:rsidRPr="000B03B6">
      <w:rPr>
        <w:rFonts w:ascii="Verdana" w:hAnsi="Verdana"/>
        <w:sz w:val="16"/>
        <w:lang w:val="es-ES_tradnl"/>
      </w:rPr>
      <w:tab/>
      <w:t>Nombre/Organización/Entidad:</w:t>
    </w:r>
    <w:r w:rsidRPr="000B03B6">
      <w:rPr>
        <w:rFonts w:ascii="Verdana" w:hAnsi="Verdana"/>
        <w:sz w:val="16"/>
        <w:lang w:val="es-ES_tradnl"/>
      </w:rPr>
      <w:tab/>
    </w:r>
    <w:bookmarkStart w:id="20" w:name="OrgName"/>
    <w:bookmarkEnd w:id="20"/>
    <w:r w:rsidRPr="000B03B6">
      <w:rPr>
        <w:rFonts w:ascii="Verdana" w:hAnsi="Verdana"/>
        <w:sz w:val="16"/>
        <w:lang w:val="es-ES_tradnl"/>
      </w:rPr>
      <w:t xml:space="preserve">Cosmas Zavazava, </w:t>
    </w:r>
    <w:r w:rsidRPr="000B03B6">
      <w:rPr>
        <w:rFonts w:ascii="Verdana" w:hAnsi="Verdana" w:cs="Segoe UI"/>
        <w:color w:val="000000"/>
        <w:sz w:val="16"/>
        <w:lang w:val="es-ES_tradnl"/>
      </w:rPr>
      <w:t xml:space="preserve">Jefe del Departamento de Apoyo a los </w:t>
    </w:r>
    <w:r>
      <w:rPr>
        <w:rFonts w:ascii="Verdana" w:hAnsi="Verdana" w:cs="Segoe UI"/>
        <w:color w:val="000000"/>
        <w:sz w:val="16"/>
        <w:lang w:val="es-ES_tradnl"/>
      </w:rPr>
      <w:tab/>
    </w:r>
    <w:r>
      <w:rPr>
        <w:rFonts w:ascii="Verdana" w:hAnsi="Verdana" w:cs="Segoe UI"/>
        <w:color w:val="000000"/>
        <w:sz w:val="16"/>
        <w:lang w:val="es-ES_tradnl"/>
      </w:rPr>
      <w:tab/>
    </w:r>
    <w:r>
      <w:rPr>
        <w:rFonts w:ascii="Verdana" w:hAnsi="Verdana" w:cs="Segoe UI"/>
        <w:color w:val="000000"/>
        <w:sz w:val="16"/>
        <w:lang w:val="es-ES_tradnl"/>
      </w:rPr>
      <w:tab/>
    </w:r>
    <w:r>
      <w:rPr>
        <w:rFonts w:ascii="Verdana" w:hAnsi="Verdana" w:cs="Segoe UI"/>
        <w:color w:val="000000"/>
        <w:sz w:val="16"/>
        <w:lang w:val="es-ES_tradnl"/>
      </w:rPr>
      <w:tab/>
    </w:r>
    <w:r>
      <w:rPr>
        <w:rFonts w:ascii="Verdana" w:hAnsi="Verdana" w:cs="Segoe UI"/>
        <w:color w:val="000000"/>
        <w:sz w:val="16"/>
        <w:lang w:val="es-ES_tradnl"/>
      </w:rPr>
      <w:tab/>
    </w:r>
    <w:r w:rsidRPr="000B03B6">
      <w:rPr>
        <w:rFonts w:ascii="Verdana" w:hAnsi="Verdana" w:cs="Segoe UI"/>
        <w:color w:val="000000"/>
        <w:sz w:val="16"/>
        <w:lang w:val="es-ES_tradnl"/>
      </w:rPr>
      <w:t>Proyectos y Gestión del Conocimiento</w:t>
    </w:r>
    <w:r w:rsidRPr="000B03B6">
      <w:rPr>
        <w:rFonts w:ascii="Verdana" w:hAnsi="Verdana" w:cstheme="minorHAnsi"/>
        <w:sz w:val="16"/>
        <w:lang w:val="es-ES_tradnl"/>
      </w:rPr>
      <w:t>, BDT</w:t>
    </w:r>
  </w:p>
  <w:p w:rsidR="00F60529" w:rsidRPr="000B03B6" w:rsidRDefault="00F60529" w:rsidP="000B03B6">
    <w:pPr>
      <w:pStyle w:val="CEOFooterContact2-3"/>
      <w:ind w:left="2551"/>
      <w:rPr>
        <w:rFonts w:ascii="Verdana" w:hAnsi="Verdana"/>
        <w:sz w:val="16"/>
        <w:lang w:val="es-ES_tradnl"/>
      </w:rPr>
    </w:pPr>
    <w:r w:rsidRPr="000B03B6">
      <w:rPr>
        <w:rFonts w:ascii="Verdana" w:hAnsi="Verdana"/>
        <w:sz w:val="16"/>
        <w:lang w:val="es-ES_tradnl"/>
      </w:rPr>
      <w:t>Teléfono:</w:t>
    </w:r>
    <w:r w:rsidRPr="000B03B6">
      <w:rPr>
        <w:rFonts w:ascii="Verdana" w:hAnsi="Verdana"/>
        <w:sz w:val="16"/>
        <w:lang w:val="es-ES_tradnl"/>
      </w:rPr>
      <w:tab/>
    </w:r>
    <w:bookmarkStart w:id="21" w:name="PhoneNo"/>
    <w:bookmarkEnd w:id="21"/>
    <w:r>
      <w:rPr>
        <w:rFonts w:ascii="Verdana" w:hAnsi="Verdana"/>
        <w:sz w:val="16"/>
        <w:lang w:val="es-ES_tradnl"/>
      </w:rPr>
      <w:tab/>
    </w:r>
    <w:r>
      <w:rPr>
        <w:rFonts w:ascii="Verdana" w:hAnsi="Verdana"/>
        <w:sz w:val="16"/>
        <w:lang w:val="es-ES_tradnl"/>
      </w:rPr>
      <w:tab/>
    </w:r>
    <w:r w:rsidRPr="000B03B6">
      <w:rPr>
        <w:rFonts w:ascii="Verdana" w:hAnsi="Verdana"/>
        <w:sz w:val="16"/>
        <w:lang w:val="es-ES_tradnl"/>
      </w:rPr>
      <w:tab/>
      <w:t>+41 22 730 5447</w:t>
    </w:r>
  </w:p>
  <w:p w:rsidR="00F60529" w:rsidRPr="000B03B6" w:rsidRDefault="00F60529" w:rsidP="000B03B6">
    <w:pPr>
      <w:pStyle w:val="CEOFooterContact2-3"/>
      <w:ind w:left="2551"/>
      <w:rPr>
        <w:rFonts w:ascii="Verdana" w:hAnsi="Verdana"/>
        <w:sz w:val="16"/>
        <w:lang w:val="es-ES_tradnl"/>
      </w:rPr>
    </w:pPr>
    <w:r w:rsidRPr="000B03B6">
      <w:rPr>
        <w:rFonts w:ascii="Verdana" w:hAnsi="Verdana"/>
        <w:sz w:val="16"/>
        <w:lang w:val="es-ES_tradnl"/>
      </w:rPr>
      <w:t>Correo-e:</w:t>
    </w:r>
    <w:r w:rsidRPr="000B03B6">
      <w:rPr>
        <w:rFonts w:ascii="Verdana" w:hAnsi="Verdana"/>
        <w:sz w:val="16"/>
        <w:lang w:val="es-ES_tradnl"/>
      </w:rPr>
      <w:tab/>
    </w:r>
    <w:bookmarkStart w:id="22" w:name="Email"/>
    <w:bookmarkEnd w:id="22"/>
    <w:r w:rsidRPr="000B03B6">
      <w:rPr>
        <w:rFonts w:ascii="Verdana" w:hAnsi="Verdana"/>
        <w:sz w:val="16"/>
        <w:lang w:val="es-ES_tradnl"/>
      </w:rPr>
      <w:tab/>
    </w:r>
    <w:r>
      <w:rPr>
        <w:rFonts w:ascii="Verdana" w:hAnsi="Verdana"/>
        <w:sz w:val="16"/>
        <w:lang w:val="es-ES_tradnl"/>
      </w:rPr>
      <w:tab/>
    </w:r>
    <w:r w:rsidRPr="000B03B6">
      <w:rPr>
        <w:rFonts w:ascii="Verdana" w:hAnsi="Verdana"/>
        <w:sz w:val="16"/>
        <w:lang w:val="es-ES_tradnl"/>
      </w:rPr>
      <w:tab/>
    </w:r>
    <w:hyperlink r:id="rId1" w:history="1">
      <w:r w:rsidRPr="000B03B6">
        <w:rPr>
          <w:rStyle w:val="Hyperlink"/>
          <w:rFonts w:ascii="Verdana" w:hAnsi="Verdana"/>
          <w:sz w:val="16"/>
          <w:lang w:val="es-ES_tradnl"/>
        </w:rPr>
        <w:t>cosmas.zavazava@itu.int</w:t>
      </w:r>
    </w:hyperlink>
    <w:r w:rsidRPr="000B03B6">
      <w:rPr>
        <w:rFonts w:ascii="Verdana" w:hAnsi="Verdana"/>
        <w:sz w:val="16"/>
        <w:lang w:val="es-ES_tradnl"/>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529" w:rsidRDefault="00F60529" w:rsidP="00E8531E">
      <w:pPr>
        <w:spacing w:after="0" w:line="240" w:lineRule="auto"/>
      </w:pPr>
      <w:r>
        <w:separator/>
      </w:r>
    </w:p>
  </w:footnote>
  <w:footnote w:type="continuationSeparator" w:id="0">
    <w:p w:rsidR="00F60529" w:rsidRDefault="00F60529" w:rsidP="00E8531E">
      <w:pPr>
        <w:spacing w:after="0" w:line="240" w:lineRule="auto"/>
      </w:pPr>
      <w:r>
        <w:continuationSeparator/>
      </w:r>
    </w:p>
  </w:footnote>
  <w:footnote w:id="1">
    <w:p w:rsidR="00F60529" w:rsidRPr="003B484F" w:rsidRDefault="00F60529" w:rsidP="00CD2FD0">
      <w:pPr>
        <w:pStyle w:val="FootnoteText"/>
        <w:tabs>
          <w:tab w:val="left" w:pos="284"/>
        </w:tabs>
        <w:rPr>
          <w:lang w:val="es-ES_tradnl"/>
        </w:rPr>
      </w:pPr>
      <w:r w:rsidRPr="003B484F">
        <w:rPr>
          <w:rStyle w:val="FootnoteReference"/>
        </w:rPr>
        <w:footnoteRef/>
      </w:r>
      <w:r>
        <w:rPr>
          <w:lang w:val="es-ES_tradnl"/>
        </w:rPr>
        <w:tab/>
      </w:r>
      <w:r w:rsidRPr="003B484F">
        <w:rPr>
          <w:rFonts w:cs="Calibri"/>
          <w:color w:val="000000"/>
          <w:lang w:val="es-ES_tradnl"/>
        </w:rPr>
        <w:t xml:space="preserve">Según </w:t>
      </w:r>
      <w:proofErr w:type="spellStart"/>
      <w:r w:rsidRPr="003B484F">
        <w:rPr>
          <w:lang w:val="es-ES_tradnl"/>
        </w:rPr>
        <w:t>Sandvine</w:t>
      </w:r>
      <w:proofErr w:type="spellEnd"/>
      <w:r w:rsidRPr="003B484F">
        <w:rPr>
          <w:lang w:val="es-ES_tradnl"/>
        </w:rPr>
        <w:t xml:space="preserve"> (2011), "</w:t>
      </w:r>
      <w:proofErr w:type="spellStart"/>
      <w:r w:rsidRPr="003B484F">
        <w:rPr>
          <w:i/>
          <w:lang w:val="es-ES_tradnl"/>
        </w:rPr>
        <w:t>Netflix</w:t>
      </w:r>
      <w:proofErr w:type="spellEnd"/>
      <w:r w:rsidRPr="003B484F">
        <w:rPr>
          <w:i/>
          <w:lang w:val="es-ES_tradnl"/>
        </w:rPr>
        <w:t xml:space="preserve"> representa el 29,7% del tráfico en sentido descendente en horas punta</w:t>
      </w:r>
      <w:r w:rsidRPr="003B484F">
        <w:rPr>
          <w:lang w:val="es-ES_tradnl"/>
        </w:rPr>
        <w:t>" en las redes de acceso fijo de las Américas.</w:t>
      </w:r>
    </w:p>
  </w:footnote>
  <w:footnote w:id="2">
    <w:p w:rsidR="00F60529" w:rsidRPr="003B484F" w:rsidRDefault="00F60529" w:rsidP="00007E5A">
      <w:pPr>
        <w:pStyle w:val="FootnoteText"/>
        <w:tabs>
          <w:tab w:val="left" w:pos="284"/>
        </w:tabs>
        <w:rPr>
          <w:rFonts w:cs="Calibri"/>
          <w:color w:val="000000"/>
          <w:lang w:val="fr-CH"/>
        </w:rPr>
      </w:pPr>
      <w:r w:rsidRPr="003B484F">
        <w:rPr>
          <w:rStyle w:val="FootnoteReference"/>
        </w:rPr>
        <w:footnoteRef/>
      </w:r>
      <w:r>
        <w:rPr>
          <w:lang w:val="es-ES_tradnl"/>
        </w:rPr>
        <w:tab/>
      </w:r>
      <w:r w:rsidRPr="003B484F">
        <w:rPr>
          <w:lang w:val="es-ES_tradnl"/>
        </w:rPr>
        <w:t xml:space="preserve">El lunes 9 de enero de 2012, la plataforma de Amazon </w:t>
      </w:r>
      <w:proofErr w:type="spellStart"/>
      <w:r w:rsidRPr="003B484F">
        <w:rPr>
          <w:lang w:val="es-ES_tradnl"/>
        </w:rPr>
        <w:t>LOVEFiLM</w:t>
      </w:r>
      <w:proofErr w:type="spellEnd"/>
      <w:r w:rsidRPr="003B484F">
        <w:rPr>
          <w:lang w:val="es-ES_tradnl"/>
        </w:rPr>
        <w:t xml:space="preserve"> anunció que había alcanzado los dos millones de suscriptores, "</w:t>
      </w:r>
      <w:r w:rsidRPr="003B484F">
        <w:rPr>
          <w:i/>
          <w:lang w:val="es-ES_tradnl"/>
        </w:rPr>
        <w:t xml:space="preserve">gracias a una cifra récord de altas en el cuarto trimestre de 2011. El servicio, propiedad de Amazon, incorporó a centenares de miles de nuevos clientes, que ahora pueden acceder a </w:t>
      </w:r>
      <w:hyperlink r:id="rId1" w:history="1">
        <w:r w:rsidRPr="003B484F">
          <w:rPr>
            <w:i/>
            <w:lang w:val="es-ES_tradnl"/>
          </w:rPr>
          <w:t>LOVEFiLM Instant</w:t>
        </w:r>
      </w:hyperlink>
      <w:r w:rsidRPr="003B484F">
        <w:rPr>
          <w:i/>
          <w:lang w:val="es-ES_tradnl"/>
        </w:rPr>
        <w:t xml:space="preserve">, una plataforma con una oferta única de películas y series de televisión en difusión continua e instantánea, y desde la que se puede alquilar asimismo una vasta selección de DVD, películas en formato </w:t>
      </w:r>
      <w:proofErr w:type="spellStart"/>
      <w:r w:rsidRPr="003B484F">
        <w:rPr>
          <w:i/>
          <w:lang w:val="es-ES_tradnl"/>
        </w:rPr>
        <w:t>Blu</w:t>
      </w:r>
      <w:r>
        <w:rPr>
          <w:i/>
          <w:lang w:val="es-ES_tradnl"/>
        </w:rPr>
        <w:noBreakHyphen/>
      </w:r>
      <w:r w:rsidRPr="003B484F">
        <w:rPr>
          <w:i/>
          <w:lang w:val="es-ES_tradnl"/>
        </w:rPr>
        <w:t>ray</w:t>
      </w:r>
      <w:proofErr w:type="spellEnd"/>
      <w:r w:rsidRPr="003B484F">
        <w:rPr>
          <w:i/>
          <w:lang w:val="es-ES_tradnl"/>
        </w:rPr>
        <w:t xml:space="preserve"> y videojuegos. Este crecimiento es el más rápido que ha experimentado </w:t>
      </w:r>
      <w:proofErr w:type="spellStart"/>
      <w:r w:rsidRPr="003B484F">
        <w:rPr>
          <w:i/>
          <w:lang w:val="es-ES_tradnl"/>
        </w:rPr>
        <w:t>LOVEFiLM</w:t>
      </w:r>
      <w:proofErr w:type="spellEnd"/>
      <w:r w:rsidRPr="003B484F">
        <w:rPr>
          <w:i/>
          <w:lang w:val="es-ES_tradnl"/>
        </w:rPr>
        <w:t xml:space="preserve"> desde 2009</w:t>
      </w:r>
      <w:r w:rsidRPr="003B484F">
        <w:rPr>
          <w:lang w:val="es-ES_tradnl"/>
        </w:rPr>
        <w:t xml:space="preserve">", año de su creación. </w:t>
      </w:r>
      <w:r w:rsidRPr="003B484F">
        <w:rPr>
          <w:lang w:val="fr-CH"/>
        </w:rPr>
        <w:t xml:space="preserve">Véase </w:t>
      </w:r>
      <w:r w:rsidR="00485725">
        <w:fldChar w:fldCharType="begin"/>
      </w:r>
      <w:r w:rsidR="00485725">
        <w:instrText xml:space="preserve"> HYPERLINK "http://</w:instrText>
      </w:r>
      <w:r w:rsidR="00485725">
        <w:instrText xml:space="preserve">corporate.blog.lovefilm.com/a-press-releases/amazon%E2%80%99s-lovefilm-hits-2-million-members.html" \l "more-1403" </w:instrText>
      </w:r>
      <w:r w:rsidR="00485725">
        <w:fldChar w:fldCharType="separate"/>
      </w:r>
      <w:r w:rsidRPr="003B484F">
        <w:rPr>
          <w:rFonts w:cs="Calibri"/>
          <w:color w:val="000000"/>
          <w:lang w:val="fr-CH"/>
        </w:rPr>
        <w:t>http://corporate.blog.lovefilm.com/a-press-releases/amazon%E2%80%99s-lovefilm-hits-2-million-members.html#more-1403</w:t>
      </w:r>
      <w:r w:rsidR="00485725">
        <w:rPr>
          <w:rFonts w:cs="Calibri"/>
          <w:color w:val="000000"/>
          <w:lang w:val="fr-CH"/>
        </w:rPr>
        <w:fldChar w:fldCharType="end"/>
      </w:r>
      <w:r w:rsidRPr="003B484F">
        <w:rPr>
          <w:rFonts w:cs="Calibri"/>
          <w:color w:val="000000"/>
          <w:lang w:val="fr-CH"/>
        </w:rPr>
        <w:t xml:space="preserve"> </w:t>
      </w:r>
    </w:p>
  </w:footnote>
  <w:footnote w:id="3">
    <w:p w:rsidR="00F60529" w:rsidRPr="00273F6A" w:rsidRDefault="00F60529" w:rsidP="00CD2FD0">
      <w:pPr>
        <w:pStyle w:val="FootnoteText"/>
        <w:tabs>
          <w:tab w:val="left" w:pos="284"/>
        </w:tabs>
        <w:rPr>
          <w:rFonts w:cstheme="majorBidi"/>
        </w:rPr>
      </w:pPr>
      <w:r w:rsidRPr="00273F6A">
        <w:rPr>
          <w:rStyle w:val="FootnoteReference"/>
        </w:rPr>
        <w:footnoteRef/>
      </w:r>
      <w:r>
        <w:rPr>
          <w:rFonts w:cstheme="majorBidi"/>
        </w:rPr>
        <w:tab/>
      </w:r>
      <w:r w:rsidRPr="00273F6A">
        <w:rPr>
          <w:rFonts w:cstheme="majorBidi"/>
          <w:color w:val="444444"/>
        </w:rPr>
        <w:t xml:space="preserve">Cisco Visual Networking Index: Forecast and Methodology, 2011-2016, </w:t>
      </w:r>
      <w:hyperlink r:id="rId2" w:history="1">
        <w:r w:rsidRPr="00273F6A">
          <w:rPr>
            <w:rStyle w:val="Hyperlink"/>
            <w:rFonts w:cstheme="majorBidi"/>
          </w:rPr>
          <w:t>http://www.cisco.com/en/US/solutions/collateral/ns341/ns525/ns537/ns705/ns827/white_paper_c11-481360_ns827_Networking_Solutions_White_Paper.html</w:t>
        </w:r>
      </w:hyperlink>
    </w:p>
  </w:footnote>
  <w:footnote w:id="4">
    <w:p w:rsidR="00F60529" w:rsidRPr="00675AAD" w:rsidRDefault="00F60529" w:rsidP="00CD2FD0">
      <w:pPr>
        <w:pStyle w:val="FootnoteText"/>
        <w:tabs>
          <w:tab w:val="left" w:pos="284"/>
        </w:tabs>
        <w:rPr>
          <w:lang w:val="en-US"/>
        </w:rPr>
      </w:pPr>
      <w:r w:rsidRPr="00273F6A">
        <w:rPr>
          <w:rStyle w:val="FootnoteReference"/>
        </w:rPr>
        <w:footnoteRef/>
      </w:r>
      <w:r w:rsidRPr="00675AAD">
        <w:rPr>
          <w:lang w:val="en-US"/>
        </w:rPr>
        <w:tab/>
      </w:r>
      <w:proofErr w:type="spellStart"/>
      <w:r w:rsidRPr="00675AAD">
        <w:rPr>
          <w:rFonts w:cs="Calibri"/>
          <w:color w:val="000000"/>
          <w:lang w:val="en-US"/>
        </w:rPr>
        <w:t>Telegeography</w:t>
      </w:r>
      <w:proofErr w:type="spellEnd"/>
      <w:r w:rsidRPr="00675AAD">
        <w:rPr>
          <w:rFonts w:cs="Calibri"/>
          <w:color w:val="000000"/>
          <w:lang w:val="en-US"/>
        </w:rPr>
        <w:t>,</w:t>
      </w:r>
      <w:r w:rsidRPr="00675AAD">
        <w:rPr>
          <w:lang w:val="en-US"/>
        </w:rPr>
        <w:t xml:space="preserve"> 2012</w:t>
      </w:r>
    </w:p>
  </w:footnote>
  <w:footnote w:id="5">
    <w:p w:rsidR="00F60529" w:rsidRPr="00675AAD" w:rsidRDefault="00F60529" w:rsidP="00007E5A">
      <w:pPr>
        <w:pStyle w:val="FootnoteText"/>
        <w:tabs>
          <w:tab w:val="left" w:pos="284"/>
        </w:tabs>
        <w:rPr>
          <w:rFonts w:cstheme="majorBidi"/>
          <w:lang w:val="en-US"/>
        </w:rPr>
      </w:pPr>
      <w:r w:rsidRPr="00273F6A">
        <w:rPr>
          <w:rStyle w:val="FootnoteReference"/>
        </w:rPr>
        <w:footnoteRef/>
      </w:r>
      <w:r w:rsidRPr="00675AAD">
        <w:rPr>
          <w:rFonts w:cstheme="majorBidi"/>
          <w:lang w:val="en-US"/>
        </w:rPr>
        <w:tab/>
        <w:t>http://visual.ly/twitter-statistics-2011</w:t>
      </w:r>
    </w:p>
  </w:footnote>
  <w:footnote w:id="6">
    <w:p w:rsidR="00F60529" w:rsidRPr="00273F6A" w:rsidRDefault="00F60529" w:rsidP="00CD2FD0">
      <w:pPr>
        <w:pStyle w:val="FootnoteText"/>
        <w:tabs>
          <w:tab w:val="left" w:pos="284"/>
        </w:tabs>
        <w:rPr>
          <w:lang w:val="es-ES_tradnl"/>
        </w:rPr>
      </w:pPr>
      <w:r w:rsidRPr="00273F6A">
        <w:rPr>
          <w:rStyle w:val="FootnoteReference"/>
        </w:rPr>
        <w:footnoteRef/>
      </w:r>
      <w:r>
        <w:rPr>
          <w:lang w:val="es-ES_tradnl"/>
        </w:rPr>
        <w:tab/>
      </w:r>
      <w:r w:rsidRPr="00273F6A">
        <w:rPr>
          <w:lang w:val="es-ES_tradnl"/>
        </w:rPr>
        <w:t xml:space="preserve">Informe sobre movilidad de </w:t>
      </w:r>
      <w:r w:rsidRPr="00273F6A">
        <w:rPr>
          <w:rFonts w:cstheme="minorHAnsi"/>
          <w:lang w:val="es-ES_tradnl"/>
        </w:rPr>
        <w:t>Ericsson, 2012</w:t>
      </w:r>
    </w:p>
  </w:footnote>
  <w:footnote w:id="7">
    <w:p w:rsidR="00F60529" w:rsidRPr="00273F6A" w:rsidRDefault="00F60529" w:rsidP="00007E5A">
      <w:pPr>
        <w:pStyle w:val="FootnoteText"/>
        <w:tabs>
          <w:tab w:val="left" w:pos="284"/>
        </w:tabs>
        <w:rPr>
          <w:rFonts w:cstheme="majorBidi"/>
          <w:lang w:val="es-ES_tradnl"/>
        </w:rPr>
      </w:pPr>
      <w:r w:rsidRPr="00273F6A">
        <w:rPr>
          <w:rStyle w:val="FootnoteReference"/>
          <w:rFonts w:cstheme="majorBidi"/>
        </w:rPr>
        <w:footnoteRef/>
      </w:r>
      <w:r>
        <w:rPr>
          <w:rFonts w:cstheme="majorBidi"/>
          <w:lang w:val="es-ES_tradnl"/>
        </w:rPr>
        <w:tab/>
      </w:r>
      <w:r w:rsidRPr="00273F6A">
        <w:rPr>
          <w:rFonts w:cs="Calibri"/>
          <w:color w:val="000000"/>
          <w:lang w:val="es-ES_tradnl"/>
        </w:rPr>
        <w:t>http</w:t>
      </w:r>
      <w:r w:rsidRPr="00273F6A">
        <w:rPr>
          <w:rFonts w:cstheme="majorBidi"/>
          <w:lang w:val="es-ES_tradnl"/>
        </w:rPr>
        <w:t>://ovum.com/press_releases/ovum-reveals-death-of-telephone-is-exaggerated-as-ott-voip-predicted-to-cost-telcos-479bn-by-2020/</w:t>
      </w:r>
    </w:p>
  </w:footnote>
  <w:footnote w:id="8">
    <w:p w:rsidR="00F60529" w:rsidRPr="00273F6A" w:rsidRDefault="00F60529" w:rsidP="00CD2FD0">
      <w:pPr>
        <w:pStyle w:val="FootnoteText"/>
        <w:tabs>
          <w:tab w:val="left" w:pos="284"/>
        </w:tabs>
      </w:pPr>
      <w:r w:rsidRPr="00273F6A">
        <w:rPr>
          <w:rStyle w:val="FootnoteReference"/>
          <w:rFonts w:cstheme="majorBidi"/>
        </w:rPr>
        <w:footnoteRef/>
      </w:r>
      <w:r>
        <w:rPr>
          <w:rFonts w:cstheme="majorBidi"/>
        </w:rPr>
        <w:tab/>
      </w:r>
      <w:r w:rsidRPr="00273F6A">
        <w:rPr>
          <w:rFonts w:cstheme="majorBidi"/>
        </w:rPr>
        <w:t>"</w:t>
      </w:r>
      <w:r w:rsidRPr="00273F6A">
        <w:rPr>
          <w:rFonts w:cs="Calibri"/>
          <w:color w:val="000000"/>
          <w:lang w:val="en-AU"/>
        </w:rPr>
        <w:t>The</w:t>
      </w:r>
      <w:r w:rsidRPr="00273F6A">
        <w:rPr>
          <w:rFonts w:cstheme="majorBidi"/>
        </w:rPr>
        <w:t xml:space="preserve"> power of Cloud: Driving business model innovation", IBM Global Business Services, Saul Berman, Lynn </w:t>
      </w:r>
      <w:proofErr w:type="spellStart"/>
      <w:r w:rsidRPr="00273F6A">
        <w:rPr>
          <w:rFonts w:cstheme="majorBidi"/>
        </w:rPr>
        <w:t>Kesterson</w:t>
      </w:r>
      <w:proofErr w:type="spellEnd"/>
      <w:r w:rsidRPr="00273F6A">
        <w:rPr>
          <w:rFonts w:cstheme="majorBidi"/>
        </w:rPr>
        <w:t xml:space="preserve">-Townes, Anthony Marshall y </w:t>
      </w:r>
      <w:proofErr w:type="spellStart"/>
      <w:r w:rsidRPr="00273F6A">
        <w:rPr>
          <w:rFonts w:cstheme="majorBidi"/>
        </w:rPr>
        <w:t>Robini</w:t>
      </w:r>
      <w:proofErr w:type="spellEnd"/>
      <w:r w:rsidRPr="00273F6A">
        <w:rPr>
          <w:rFonts w:cstheme="majorBidi"/>
        </w:rPr>
        <w:t xml:space="preserve"> </w:t>
      </w:r>
      <w:proofErr w:type="spellStart"/>
      <w:r w:rsidRPr="00273F6A">
        <w:rPr>
          <w:rFonts w:cstheme="majorBidi"/>
        </w:rPr>
        <w:t>Srivathsa</w:t>
      </w:r>
      <w:proofErr w:type="spellEnd"/>
      <w:r w:rsidRPr="00273F6A">
        <w:rPr>
          <w:rFonts w:cstheme="majorBidi"/>
        </w:rPr>
        <w:t>.</w:t>
      </w:r>
    </w:p>
  </w:footnote>
  <w:footnote w:id="9">
    <w:p w:rsidR="00F60529" w:rsidRPr="00273F6A" w:rsidRDefault="00F60529" w:rsidP="00007E5A">
      <w:pPr>
        <w:pStyle w:val="FootnoteText"/>
        <w:tabs>
          <w:tab w:val="left" w:pos="284"/>
        </w:tabs>
        <w:rPr>
          <w:lang w:val="es-ES_tradnl"/>
        </w:rPr>
      </w:pPr>
      <w:r w:rsidRPr="00273F6A">
        <w:rPr>
          <w:rStyle w:val="FootnoteReference"/>
        </w:rPr>
        <w:footnoteRef/>
      </w:r>
      <w:r>
        <w:rPr>
          <w:lang w:val="es-ES_tradnl"/>
        </w:rPr>
        <w:tab/>
      </w:r>
      <w:r w:rsidRPr="00273F6A">
        <w:rPr>
          <w:rFonts w:cs="Calibri"/>
          <w:color w:val="000000"/>
          <w:lang w:val="es-ES_tradnl"/>
        </w:rPr>
        <w:t xml:space="preserve">UIT y </w:t>
      </w:r>
      <w:r w:rsidRPr="00273F6A">
        <w:rPr>
          <w:lang w:val="es-ES_tradnl"/>
        </w:rPr>
        <w:t>CISCO VNI.</w:t>
      </w:r>
    </w:p>
  </w:footnote>
  <w:footnote w:id="10">
    <w:p w:rsidR="00F60529" w:rsidRPr="003B484F" w:rsidRDefault="00F60529" w:rsidP="00CD2FD0">
      <w:pPr>
        <w:pStyle w:val="FootnoteText"/>
        <w:tabs>
          <w:tab w:val="left" w:pos="284"/>
        </w:tabs>
        <w:rPr>
          <w:rFonts w:cstheme="minorHAnsi"/>
          <w:lang w:val="es-ES_tradnl"/>
        </w:rPr>
      </w:pPr>
      <w:r w:rsidRPr="003B484F">
        <w:rPr>
          <w:rStyle w:val="FootnoteReference"/>
          <w:rFonts w:cstheme="minorHAnsi"/>
        </w:rPr>
        <w:footnoteRef/>
      </w:r>
      <w:r>
        <w:rPr>
          <w:rFonts w:cstheme="minorHAnsi"/>
          <w:lang w:val="es-ES_tradnl"/>
        </w:rPr>
        <w:tab/>
      </w:r>
      <w:r w:rsidRPr="003B484F">
        <w:rPr>
          <w:rFonts w:cstheme="minorHAnsi"/>
          <w:color w:val="000000"/>
          <w:lang w:val="es-ES_tradnl"/>
        </w:rPr>
        <w:t>Base de datos de la UIT sobre Reglamentación Mundial de las Telecomunicaciones</w:t>
      </w:r>
      <w:r w:rsidRPr="003B484F">
        <w:rPr>
          <w:rFonts w:cstheme="minorHAnsi"/>
          <w:lang w:val="es-ES_tradnl"/>
        </w:rPr>
        <w:t>.</w:t>
      </w:r>
    </w:p>
  </w:footnote>
  <w:footnote w:id="11">
    <w:p w:rsidR="00F60529" w:rsidRPr="003B484F" w:rsidRDefault="00F60529" w:rsidP="00007E5A">
      <w:pPr>
        <w:pStyle w:val="FootnoteText"/>
        <w:tabs>
          <w:tab w:val="left" w:pos="284"/>
        </w:tabs>
        <w:rPr>
          <w:rFonts w:cstheme="minorHAnsi"/>
          <w:lang w:val="es-ES_tradnl"/>
        </w:rPr>
      </w:pPr>
      <w:r w:rsidRPr="003B484F">
        <w:rPr>
          <w:rStyle w:val="FootnoteReference"/>
          <w:rFonts w:cstheme="minorHAnsi"/>
        </w:rPr>
        <w:footnoteRef/>
      </w:r>
      <w:r>
        <w:rPr>
          <w:rFonts w:cstheme="minorHAnsi"/>
          <w:lang w:val="es-ES_tradnl"/>
        </w:rPr>
        <w:tab/>
      </w:r>
      <w:r w:rsidRPr="003B484F">
        <w:rPr>
          <w:rFonts w:cstheme="minorHAnsi"/>
          <w:color w:val="000000"/>
          <w:lang w:val="es-ES_tradnl"/>
        </w:rPr>
        <w:t>Directrices sobre prácticas idóneas del GSR11, UIT</w:t>
      </w:r>
      <w:r w:rsidRPr="003B484F">
        <w:rPr>
          <w:rFonts w:cstheme="minorHAnsi"/>
          <w:lang w:val="es-ES_tradnl"/>
        </w:rPr>
        <w:t xml:space="preserve">, </w:t>
      </w:r>
      <w:hyperlink r:id="rId3" w:history="1">
        <w:r w:rsidRPr="003B484F">
          <w:rPr>
            <w:rStyle w:val="Hyperlink"/>
            <w:rFonts w:cstheme="minorHAnsi"/>
            <w:lang w:val="es-ES_tradnl"/>
          </w:rPr>
          <w:t>www.itu.int/bestpractices</w:t>
        </w:r>
      </w:hyperlink>
    </w:p>
  </w:footnote>
  <w:footnote w:id="12">
    <w:p w:rsidR="00F60529" w:rsidRPr="00273F6A" w:rsidRDefault="00F60529" w:rsidP="00007E5A">
      <w:pPr>
        <w:pStyle w:val="FootnoteText"/>
        <w:tabs>
          <w:tab w:val="left" w:pos="284"/>
        </w:tabs>
        <w:rPr>
          <w:rFonts w:cstheme="majorBidi"/>
          <w:lang w:val="es-ES_tradnl"/>
        </w:rPr>
      </w:pPr>
      <w:r w:rsidRPr="00273F6A">
        <w:rPr>
          <w:rStyle w:val="FootnoteReference"/>
        </w:rPr>
        <w:footnoteRef/>
      </w:r>
      <w:r>
        <w:rPr>
          <w:rFonts w:cstheme="majorBidi"/>
          <w:lang w:val="es-ES_tradnl"/>
        </w:rPr>
        <w:tab/>
      </w:r>
      <w:r w:rsidRPr="00273F6A">
        <w:rPr>
          <w:rFonts w:cstheme="majorBidi"/>
          <w:lang w:val="es-ES_tradnl"/>
        </w:rPr>
        <w:t xml:space="preserve">Véase los capítulos dedicados a la reglamentación del acceso libre y a las estrategias para financiar el acceso universal a la banda ancha en UIT, Tendencias en las Reformas de las Telecomunicaciones 2013, Tendencias en las Reformas de las Telecomunicaciones 2012, Reglamentación inteligente para un mundo en banda ancha, para profundizar en el debate sobre esta cuestión. Véase: </w:t>
      </w:r>
      <w:hyperlink r:id="rId4" w:history="1">
        <w:r w:rsidRPr="00273F6A">
          <w:rPr>
            <w:rStyle w:val="Hyperlink"/>
            <w:rFonts w:cstheme="majorBidi"/>
            <w:lang w:val="es-ES_tradnl"/>
          </w:rPr>
          <w:t>http://www.itu.int/trends12</w:t>
        </w:r>
      </w:hyperlink>
      <w:r w:rsidRPr="00273F6A">
        <w:rPr>
          <w:rFonts w:cstheme="majorBidi"/>
          <w:lang w:val="es-ES_tradnl"/>
        </w:rPr>
        <w:t xml:space="preserve"> </w:t>
      </w:r>
    </w:p>
  </w:footnote>
  <w:footnote w:id="13">
    <w:p w:rsidR="00F60529" w:rsidRPr="00273F6A" w:rsidRDefault="00F60529" w:rsidP="00007E5A">
      <w:pPr>
        <w:pStyle w:val="FootnoteText"/>
        <w:tabs>
          <w:tab w:val="left" w:pos="284"/>
        </w:tabs>
        <w:rPr>
          <w:rFonts w:cstheme="minorHAnsi"/>
          <w:lang w:val="es-ES_tradnl"/>
        </w:rPr>
      </w:pPr>
      <w:r w:rsidRPr="00273F6A">
        <w:rPr>
          <w:rStyle w:val="FootnoteReference"/>
          <w:rFonts w:cstheme="minorHAnsi"/>
        </w:rPr>
        <w:footnoteRef/>
      </w:r>
      <w:r>
        <w:rPr>
          <w:rFonts w:cstheme="minorHAnsi"/>
          <w:lang w:val="es-ES_tradnl"/>
        </w:rPr>
        <w:tab/>
      </w:r>
      <w:r w:rsidRPr="00273F6A">
        <w:rPr>
          <w:rFonts w:cstheme="minorHAnsi"/>
          <w:color w:val="000000"/>
          <w:lang w:val="es-ES_tradnl"/>
        </w:rPr>
        <w:t>Directrices sobre prácticas idóneas del GSR11 relativas a planteamientos normativos para avanzar en el despliegue de la banda ancha, fomentar la innovación y permitir la integración digital de todos en</w:t>
      </w:r>
      <w:r w:rsidRPr="00273F6A">
        <w:rPr>
          <w:rFonts w:cstheme="minorHAnsi"/>
          <w:lang w:val="es-ES_tradnl"/>
        </w:rPr>
        <w:t xml:space="preserve">: www.itu.int/ </w:t>
      </w:r>
      <w:proofErr w:type="spellStart"/>
      <w:r w:rsidRPr="00273F6A">
        <w:rPr>
          <w:rFonts w:cstheme="minorHAnsi"/>
          <w:lang w:val="es-ES_tradnl"/>
        </w:rPr>
        <w:t>bestpractices</w:t>
      </w:r>
      <w:proofErr w:type="spellEnd"/>
      <w:r w:rsidRPr="00273F6A">
        <w:rPr>
          <w:rFonts w:cstheme="minorHAnsi"/>
          <w:lang w:val="es-ES_tradnl"/>
        </w:rPr>
        <w:t xml:space="preserve"> </w:t>
      </w:r>
    </w:p>
  </w:footnote>
  <w:footnote w:id="14">
    <w:p w:rsidR="00F60529" w:rsidRPr="00273F6A" w:rsidRDefault="00F60529" w:rsidP="00007E5A">
      <w:pPr>
        <w:pStyle w:val="FootnoteText"/>
        <w:tabs>
          <w:tab w:val="left" w:pos="284"/>
        </w:tabs>
        <w:rPr>
          <w:rFonts w:cstheme="minorHAnsi"/>
          <w:lang w:val="es-ES_tradnl"/>
        </w:rPr>
      </w:pPr>
      <w:r w:rsidRPr="00273F6A">
        <w:rPr>
          <w:rStyle w:val="FootnoteReference"/>
          <w:rFonts w:cstheme="minorHAnsi"/>
        </w:rPr>
        <w:footnoteRef/>
      </w:r>
      <w:r>
        <w:rPr>
          <w:rFonts w:cstheme="minorHAnsi"/>
          <w:lang w:val="es-ES_tradnl"/>
        </w:rPr>
        <w:tab/>
      </w:r>
      <w:r w:rsidRPr="00273F6A">
        <w:rPr>
          <w:rFonts w:cstheme="minorHAnsi"/>
          <w:color w:val="000000"/>
          <w:lang w:val="es-ES_tradnl"/>
        </w:rPr>
        <w:t>Directrices de prácticas óptimas del GSR10 para permitir el acceso abierto en</w:t>
      </w:r>
      <w:r w:rsidRPr="00273F6A">
        <w:rPr>
          <w:rFonts w:cstheme="minorHAnsi"/>
          <w:lang w:val="es-ES_tradnl"/>
        </w:rPr>
        <w:t xml:space="preserve">: ww.itu.int/ </w:t>
      </w:r>
      <w:proofErr w:type="spellStart"/>
      <w:r w:rsidRPr="00273F6A">
        <w:rPr>
          <w:rFonts w:cstheme="minorHAnsi"/>
          <w:lang w:val="es-ES_tradnl"/>
        </w:rPr>
        <w:t>bestpractices</w:t>
      </w:r>
      <w:proofErr w:type="spellEnd"/>
    </w:p>
  </w:footnote>
  <w:footnote w:id="15">
    <w:p w:rsidR="00F60529" w:rsidRPr="00273F6A" w:rsidRDefault="00F60529" w:rsidP="00CD2FD0">
      <w:pPr>
        <w:pStyle w:val="FootnoteText"/>
        <w:tabs>
          <w:tab w:val="left" w:pos="284"/>
        </w:tabs>
        <w:rPr>
          <w:rFonts w:cstheme="minorHAnsi"/>
          <w:lang w:val="es-ES_tradnl"/>
        </w:rPr>
      </w:pPr>
      <w:r w:rsidRPr="00273F6A">
        <w:rPr>
          <w:rStyle w:val="FootnoteReference"/>
          <w:rFonts w:cstheme="minorHAnsi"/>
        </w:rPr>
        <w:footnoteRef/>
      </w:r>
      <w:r>
        <w:rPr>
          <w:rFonts w:cstheme="minorHAnsi"/>
          <w:lang w:val="es-ES_tradnl"/>
        </w:rPr>
        <w:tab/>
      </w:r>
      <w:r w:rsidRPr="00273F6A">
        <w:rPr>
          <w:rFonts w:cstheme="minorHAnsi"/>
          <w:lang w:val="es-ES_tradnl"/>
        </w:rPr>
        <w:t xml:space="preserve">A partir de las respuestas suministradas por las administraciones nacionales a </w:t>
      </w:r>
      <w:r w:rsidRPr="00273F6A">
        <w:rPr>
          <w:rFonts w:cstheme="minorHAnsi"/>
          <w:color w:val="000000"/>
          <w:lang w:val="es-ES_tradnl"/>
        </w:rPr>
        <w:t xml:space="preserve">la encuesta anual de la UIT sobre reglamentación de las telecomunicaciones/TIC, disponible en </w:t>
      </w:r>
      <w:r w:rsidRPr="00273F6A">
        <w:rPr>
          <w:rFonts w:cstheme="minorHAnsi"/>
          <w:lang w:val="es-ES_tradnl"/>
        </w:rPr>
        <w:t xml:space="preserve">ITU ICT </w:t>
      </w:r>
      <w:proofErr w:type="spellStart"/>
      <w:r w:rsidRPr="00273F6A">
        <w:rPr>
          <w:rFonts w:cstheme="minorHAnsi"/>
          <w:lang w:val="es-ES_tradnl"/>
        </w:rPr>
        <w:t>Eye</w:t>
      </w:r>
      <w:proofErr w:type="spellEnd"/>
      <w:r w:rsidRPr="00273F6A">
        <w:rPr>
          <w:rFonts w:cstheme="minorHAnsi"/>
          <w:lang w:val="es-ES_tradnl"/>
        </w:rPr>
        <w:t xml:space="preserve"> en: </w:t>
      </w:r>
      <w:hyperlink r:id="rId5" w:history="1">
        <w:r w:rsidRPr="00273F6A">
          <w:rPr>
            <w:rStyle w:val="Hyperlink"/>
            <w:rFonts w:cstheme="minorHAnsi"/>
            <w:lang w:val="es-ES_tradnl"/>
          </w:rPr>
          <w:t>www.itu.int/icteye</w:t>
        </w:r>
      </w:hyperlink>
    </w:p>
  </w:footnote>
  <w:footnote w:id="16">
    <w:p w:rsidR="00F60529" w:rsidRPr="00273F6A" w:rsidRDefault="00F60529" w:rsidP="00CD2FD0">
      <w:pPr>
        <w:pStyle w:val="FootnoteText"/>
        <w:tabs>
          <w:tab w:val="left" w:pos="284"/>
        </w:tabs>
        <w:rPr>
          <w:lang w:val="es-ES_tradnl"/>
        </w:rPr>
      </w:pPr>
      <w:r w:rsidRPr="00273F6A">
        <w:rPr>
          <w:rStyle w:val="FootnoteReference"/>
        </w:rPr>
        <w:footnoteRef/>
      </w:r>
      <w:r>
        <w:rPr>
          <w:lang w:val="es-ES_tradnl"/>
        </w:rPr>
        <w:tab/>
      </w:r>
      <w:r w:rsidRPr="00273F6A">
        <w:rPr>
          <w:lang w:val="es-ES_tradnl"/>
        </w:rPr>
        <w:t>http://www.ectel.int/aboutectel.htm</w:t>
      </w:r>
    </w:p>
  </w:footnote>
  <w:footnote w:id="17">
    <w:p w:rsidR="00F60529" w:rsidRPr="00273F6A" w:rsidRDefault="00F60529" w:rsidP="00CD2FD0">
      <w:pPr>
        <w:pStyle w:val="FootnoteText"/>
        <w:tabs>
          <w:tab w:val="left" w:pos="284"/>
        </w:tabs>
        <w:rPr>
          <w:lang w:val="es-ES_tradnl"/>
        </w:rPr>
      </w:pPr>
      <w:r w:rsidRPr="00273F6A">
        <w:rPr>
          <w:rStyle w:val="FootnoteReference"/>
        </w:rPr>
        <w:footnoteRef/>
      </w:r>
      <w:r>
        <w:rPr>
          <w:lang w:val="es-ES_tradnl"/>
        </w:rPr>
        <w:tab/>
      </w:r>
      <w:r w:rsidRPr="00273F6A">
        <w:rPr>
          <w:lang w:val="es-ES_tradnl"/>
        </w:rPr>
        <w:t xml:space="preserve">La lista de países que forman parte de la Región de las Américas se basa en los grupos de países de las regiones de la BDT de la UIT, véase: </w:t>
      </w:r>
      <w:hyperlink r:id="rId6" w:history="1">
        <w:r w:rsidRPr="00273F6A">
          <w:rPr>
            <w:rStyle w:val="Hyperlink"/>
            <w:lang w:val="es-ES_tradnl"/>
          </w:rPr>
          <w:t>http://www.itu.int/ITU-D/ict/definitions/regions/index.html</w:t>
        </w:r>
      </w:hyperlink>
      <w:r w:rsidRPr="00273F6A">
        <w:rPr>
          <w:lang w:val="es-ES_tradnl"/>
        </w:rPr>
        <w:t>.</w:t>
      </w:r>
    </w:p>
  </w:footnote>
  <w:footnote w:id="18">
    <w:p w:rsidR="00F60529" w:rsidRPr="00273F6A" w:rsidRDefault="00F60529" w:rsidP="00CD2FD0">
      <w:pPr>
        <w:pStyle w:val="FootnoteText"/>
        <w:tabs>
          <w:tab w:val="left" w:pos="284"/>
        </w:tabs>
        <w:rPr>
          <w:lang w:val="es-ES_tradnl"/>
        </w:rPr>
      </w:pPr>
      <w:r w:rsidRPr="00273F6A">
        <w:rPr>
          <w:rStyle w:val="FootnoteReference"/>
        </w:rPr>
        <w:footnoteRef/>
      </w:r>
      <w:r>
        <w:rPr>
          <w:lang w:val="es-ES_tradnl"/>
        </w:rPr>
        <w:tab/>
      </w:r>
      <w:r w:rsidRPr="00273F6A">
        <w:rPr>
          <w:lang w:val="es-ES_tradnl"/>
        </w:rPr>
        <w:t>L</w:t>
      </w:r>
      <w:r w:rsidRPr="00273F6A">
        <w:rPr>
          <w:rFonts w:eastAsia="MyriadPro-Light" w:cs="MyriadPro-Light"/>
          <w:lang w:val="es-ES_tradnl"/>
        </w:rPr>
        <w:t>as referencias a los niveles de renta se basan en la clasificación del Banco Mundial, véase: http://data.worldbank.org/about/country-classifications/country-andlending-groups.</w:t>
      </w:r>
    </w:p>
  </w:footnote>
  <w:footnote w:id="19">
    <w:p w:rsidR="00F60529" w:rsidRPr="0017378D" w:rsidRDefault="00F60529" w:rsidP="00F60529">
      <w:pPr>
        <w:pStyle w:val="FootnoteText"/>
        <w:tabs>
          <w:tab w:val="left" w:pos="284"/>
        </w:tabs>
        <w:rPr>
          <w:lang w:val="es-ES_tradnl"/>
        </w:rPr>
      </w:pPr>
      <w:r>
        <w:rPr>
          <w:rStyle w:val="FootnoteReference"/>
        </w:rPr>
        <w:footnoteRef/>
      </w:r>
      <w:r>
        <w:rPr>
          <w:lang w:val="es-ES_tradnl"/>
        </w:rPr>
        <w:tab/>
      </w:r>
      <w:r w:rsidRPr="0017378D">
        <w:rPr>
          <w:lang w:val="es-ES_tradnl"/>
        </w:rPr>
        <w:t>Esta sección se basa en datos y análisis de la UIT</w:t>
      </w:r>
      <w:r>
        <w:rPr>
          <w:lang w:val="es-ES_tradnl"/>
        </w:rPr>
        <w:t xml:space="preserve"> (</w:t>
      </w:r>
      <w:r w:rsidRPr="0017378D">
        <w:rPr>
          <w:rFonts w:eastAsia="MyriadPro-Light" w:cstheme="minorHAnsi"/>
          <w:lang w:val="es-ES_tradnl"/>
        </w:rPr>
        <w:t>2012)</w:t>
      </w:r>
      <w:r w:rsidRPr="0017378D">
        <w:rPr>
          <w:lang w:val="es-ES_tradnl"/>
        </w:rPr>
        <w:t>.</w:t>
      </w:r>
    </w:p>
  </w:footnote>
  <w:footnote w:id="20">
    <w:p w:rsidR="00F60529" w:rsidRPr="001C690E" w:rsidRDefault="00F60529" w:rsidP="00F60529">
      <w:pPr>
        <w:pStyle w:val="FootnoteText"/>
        <w:tabs>
          <w:tab w:val="left" w:pos="284"/>
        </w:tabs>
        <w:rPr>
          <w:lang w:val="es-ES_tradnl"/>
        </w:rPr>
      </w:pPr>
      <w:r w:rsidRPr="006664D3">
        <w:rPr>
          <w:rStyle w:val="FootnoteReference"/>
        </w:rPr>
        <w:footnoteRef/>
      </w:r>
      <w:r>
        <w:rPr>
          <w:lang w:val="es-ES_tradnl"/>
        </w:rPr>
        <w:tab/>
      </w:r>
      <w:r>
        <w:rPr>
          <w:lang w:val="es-ES_tradnl"/>
        </w:rPr>
        <w:t>En esta publicación, e</w:t>
      </w:r>
      <w:r w:rsidRPr="001C690E">
        <w:rPr>
          <w:lang w:val="es-ES_tradnl"/>
        </w:rPr>
        <w:t xml:space="preserve">l indicador de la UIT </w:t>
      </w:r>
      <w:r>
        <w:rPr>
          <w:lang w:val="es-ES_tradnl"/>
        </w:rPr>
        <w:t>"</w:t>
      </w:r>
      <w:r w:rsidRPr="001C690E">
        <w:rPr>
          <w:lang w:val="es-ES_tradnl"/>
        </w:rPr>
        <w:t>abonos activos a banda ancha móvil</w:t>
      </w:r>
      <w:r>
        <w:rPr>
          <w:lang w:val="es-ES_tradnl"/>
        </w:rPr>
        <w:t>"</w:t>
      </w:r>
      <w:r w:rsidRPr="001C690E">
        <w:rPr>
          <w:lang w:val="es-ES_tradnl"/>
        </w:rPr>
        <w:t xml:space="preserve"> (véase UIT, 2011a) </w:t>
      </w:r>
      <w:r>
        <w:rPr>
          <w:lang w:val="es-ES_tradnl"/>
        </w:rPr>
        <w:t>recibe el nombre de "abonos a banda ancha móvil"</w:t>
      </w:r>
      <w:r w:rsidRPr="001C690E">
        <w:rPr>
          <w:lang w:val="es-ES_tradnl"/>
        </w:rPr>
        <w:t xml:space="preserve">. </w:t>
      </w:r>
    </w:p>
  </w:footnote>
  <w:footnote w:id="21">
    <w:p w:rsidR="00F60529" w:rsidRPr="001C690E" w:rsidRDefault="00F60529" w:rsidP="00F60529">
      <w:pPr>
        <w:pStyle w:val="FootnoteText"/>
        <w:tabs>
          <w:tab w:val="left" w:pos="284"/>
        </w:tabs>
        <w:rPr>
          <w:lang w:val="es-ES_tradnl"/>
        </w:rPr>
      </w:pPr>
      <w:r w:rsidRPr="006664D3">
        <w:rPr>
          <w:rStyle w:val="FootnoteReference"/>
        </w:rPr>
        <w:footnoteRef/>
      </w:r>
      <w:r>
        <w:rPr>
          <w:lang w:val="es-ES_tradnl"/>
        </w:rPr>
        <w:tab/>
      </w:r>
      <w:r w:rsidRPr="001C690E">
        <w:rPr>
          <w:lang w:val="es-ES_tradnl"/>
        </w:rPr>
        <w:t>Los datos sobre los indicadores que forman parte del subíndice aptitudes proceden del Instituto de Estad</w:t>
      </w:r>
      <w:r>
        <w:rPr>
          <w:lang w:val="es-ES_tradnl"/>
        </w:rPr>
        <w:t xml:space="preserve">ística de la UNESCO </w:t>
      </w:r>
      <w:r w:rsidRPr="001C690E">
        <w:rPr>
          <w:lang w:val="es-ES_tradnl"/>
        </w:rPr>
        <w:t>(UIS). Véase el Anexo 1 de (UIT, 2012) para más detalles sobre la definición de los indicadores.</w:t>
      </w:r>
    </w:p>
  </w:footnote>
  <w:footnote w:id="22">
    <w:p w:rsidR="00F60529" w:rsidRPr="001C690E" w:rsidRDefault="00F60529" w:rsidP="00F60529">
      <w:pPr>
        <w:pStyle w:val="FootnoteText"/>
        <w:tabs>
          <w:tab w:val="left" w:pos="284"/>
        </w:tabs>
        <w:rPr>
          <w:lang w:val="es-ES_tradnl"/>
        </w:rPr>
      </w:pPr>
      <w:r>
        <w:rPr>
          <w:rStyle w:val="FootnoteReference"/>
        </w:rPr>
        <w:footnoteRef/>
      </w:r>
      <w:r>
        <w:rPr>
          <w:lang w:val="es-ES_tradnl"/>
        </w:rPr>
        <w:tab/>
      </w:r>
      <w:r w:rsidRPr="001C690E">
        <w:rPr>
          <w:lang w:val="es-ES_tradnl"/>
        </w:rPr>
        <w:t>El IDI de 2011 incluye a los 27 países de la Región de las Am</w:t>
      </w:r>
      <w:r>
        <w:rPr>
          <w:lang w:val="es-ES_tradnl"/>
        </w:rPr>
        <w:t>éricas de los que se tienen datos</w:t>
      </w:r>
      <w:r w:rsidRPr="001C690E">
        <w:rPr>
          <w:lang w:val="es-ES_tradnl"/>
        </w:rPr>
        <w:t xml:space="preserve">. </w:t>
      </w:r>
    </w:p>
  </w:footnote>
  <w:footnote w:id="23">
    <w:p w:rsidR="00F60529" w:rsidRPr="00A37E57" w:rsidRDefault="00F60529" w:rsidP="00F60529">
      <w:pPr>
        <w:pStyle w:val="FootnoteText"/>
        <w:tabs>
          <w:tab w:val="left" w:pos="284"/>
        </w:tabs>
        <w:rPr>
          <w:lang w:val="fr-CH"/>
        </w:rPr>
      </w:pPr>
      <w:r w:rsidRPr="001E4335">
        <w:rPr>
          <w:rStyle w:val="FootnoteReference"/>
        </w:rPr>
        <w:footnoteRef/>
      </w:r>
      <w:r>
        <w:rPr>
          <w:lang w:val="fr-CH"/>
        </w:rPr>
        <w:tab/>
      </w:r>
      <w:r w:rsidRPr="00A37E57">
        <w:rPr>
          <w:lang w:val="fr-CH"/>
        </w:rPr>
        <w:t>Véase http://www.mc.gov.br/acoes-e-programas/programa-nacional-de-banda-larga-pnbl/252-temas/programa-nacional-de-banda-largapnbl/23723-termos-de-compromisso.</w:t>
      </w:r>
    </w:p>
  </w:footnote>
  <w:footnote w:id="24">
    <w:p w:rsidR="00F60529" w:rsidRPr="002A17D0" w:rsidRDefault="00F60529" w:rsidP="00F60529">
      <w:pPr>
        <w:pStyle w:val="FootnoteText"/>
        <w:tabs>
          <w:tab w:val="left" w:pos="284"/>
        </w:tabs>
        <w:rPr>
          <w:lang w:val="fr-CH"/>
        </w:rPr>
      </w:pPr>
      <w:r w:rsidRPr="001E4335">
        <w:rPr>
          <w:rStyle w:val="FootnoteReference"/>
        </w:rPr>
        <w:footnoteRef/>
      </w:r>
      <w:r>
        <w:rPr>
          <w:lang w:val="fr-CH"/>
        </w:rPr>
        <w:tab/>
      </w:r>
      <w:r w:rsidRPr="002A17D0">
        <w:rPr>
          <w:lang w:val="fr-CH"/>
        </w:rPr>
        <w:t>Véase http://www.teleco.com.br/ncel.asp.</w:t>
      </w:r>
    </w:p>
  </w:footnote>
  <w:footnote w:id="25">
    <w:p w:rsidR="00F60529" w:rsidRPr="002A17D0" w:rsidRDefault="00F60529" w:rsidP="00F60529">
      <w:pPr>
        <w:pStyle w:val="FootnoteText"/>
        <w:tabs>
          <w:tab w:val="left" w:pos="284"/>
        </w:tabs>
        <w:rPr>
          <w:lang w:val="fr-CH"/>
        </w:rPr>
      </w:pPr>
      <w:r w:rsidRPr="00252888">
        <w:rPr>
          <w:rStyle w:val="FootnoteReference"/>
        </w:rPr>
        <w:footnoteRef/>
      </w:r>
      <w:r>
        <w:rPr>
          <w:lang w:val="fr-CH"/>
        </w:rPr>
        <w:tab/>
      </w:r>
      <w:r w:rsidRPr="002A17D0">
        <w:rPr>
          <w:lang w:val="fr-CH" w:eastAsia="en-US"/>
        </w:rPr>
        <w:t>Véase http://www.telecomsinsight.com/file/92741/costa-rica-telecoms-ready-to-reach-potential.html.</w:t>
      </w:r>
    </w:p>
  </w:footnote>
  <w:footnote w:id="26">
    <w:p w:rsidR="00F60529" w:rsidRPr="003F51A7" w:rsidRDefault="00F60529" w:rsidP="00F60529">
      <w:pPr>
        <w:pStyle w:val="FootnoteText"/>
        <w:tabs>
          <w:tab w:val="left" w:pos="284"/>
        </w:tabs>
        <w:rPr>
          <w:lang w:val="es-ES_tradnl" w:eastAsia="en-US"/>
        </w:rPr>
      </w:pPr>
      <w:r w:rsidRPr="00252888">
        <w:rPr>
          <w:rStyle w:val="FootnoteReference"/>
        </w:rPr>
        <w:footnoteRef/>
      </w:r>
      <w:r>
        <w:rPr>
          <w:lang w:val="es-ES_tradnl"/>
        </w:rPr>
        <w:tab/>
      </w:r>
      <w:r w:rsidRPr="003F51A7">
        <w:rPr>
          <w:lang w:val="es-ES_tradnl" w:eastAsia="en-US"/>
        </w:rPr>
        <w:t>Claro (</w:t>
      </w:r>
      <w:proofErr w:type="spellStart"/>
      <w:r w:rsidRPr="003F51A7">
        <w:rPr>
          <w:lang w:val="es-ES_tradnl" w:eastAsia="en-US"/>
        </w:rPr>
        <w:t>AmericaMovil</w:t>
      </w:r>
      <w:proofErr w:type="spellEnd"/>
      <w:r w:rsidRPr="003F51A7">
        <w:rPr>
          <w:lang w:val="es-ES_tradnl" w:eastAsia="en-US"/>
        </w:rPr>
        <w:t xml:space="preserve">) y Movistar (Telefónica) pusieron en marcha </w:t>
      </w:r>
      <w:r>
        <w:rPr>
          <w:lang w:val="es-ES_tradnl" w:eastAsia="en-US"/>
        </w:rPr>
        <w:t xml:space="preserve">distintos servicios en el país en </w:t>
      </w:r>
      <w:r w:rsidRPr="003F51A7">
        <w:rPr>
          <w:lang w:val="es-ES_tradnl" w:eastAsia="en-US"/>
        </w:rPr>
        <w:t xml:space="preserve">2011, </w:t>
      </w:r>
      <w:r>
        <w:rPr>
          <w:lang w:val="es-ES_tradnl" w:eastAsia="en-US"/>
        </w:rPr>
        <w:t xml:space="preserve">véase </w:t>
      </w:r>
      <w:r w:rsidRPr="003F51A7">
        <w:rPr>
          <w:lang w:val="es-ES_tradnl" w:eastAsia="en-US"/>
        </w:rPr>
        <w:t>http://www.americamovil.com/amx/cm/reports/Q/1Q12EN.pdf.</w:t>
      </w:r>
    </w:p>
  </w:footnote>
  <w:footnote w:id="27">
    <w:p w:rsidR="00F60529" w:rsidRPr="003F51A7" w:rsidRDefault="00F60529" w:rsidP="00F60529">
      <w:pPr>
        <w:pStyle w:val="FootnoteText"/>
        <w:tabs>
          <w:tab w:val="left" w:pos="284"/>
        </w:tabs>
        <w:rPr>
          <w:lang w:val="es-ES_tradnl"/>
        </w:rPr>
      </w:pPr>
      <w:r>
        <w:rPr>
          <w:rStyle w:val="FootnoteReference"/>
        </w:rPr>
        <w:footnoteRef/>
      </w:r>
      <w:r>
        <w:rPr>
          <w:lang w:val="es-ES_tradnl"/>
        </w:rPr>
        <w:tab/>
      </w:r>
      <w:r w:rsidRPr="003F51A7">
        <w:rPr>
          <w:lang w:val="es-ES_tradnl"/>
        </w:rPr>
        <w:t xml:space="preserve">Barbados lanzó servicios de banda ancha móvil 3G en 2012. </w:t>
      </w:r>
    </w:p>
  </w:footnote>
  <w:footnote w:id="28">
    <w:p w:rsidR="00F60529" w:rsidRPr="005A0F06" w:rsidRDefault="00F60529" w:rsidP="00F60529">
      <w:pPr>
        <w:pStyle w:val="FootnoteText"/>
        <w:tabs>
          <w:tab w:val="left" w:pos="284"/>
        </w:tabs>
        <w:rPr>
          <w:lang w:val="es-ES_tradnl"/>
        </w:rPr>
      </w:pPr>
      <w:r>
        <w:rPr>
          <w:rStyle w:val="FootnoteReference"/>
        </w:rPr>
        <w:footnoteRef/>
      </w:r>
      <w:r>
        <w:rPr>
          <w:lang w:val="es-ES_tradnl"/>
        </w:rPr>
        <w:tab/>
      </w:r>
      <w:r w:rsidRPr="005A0F06">
        <w:rPr>
          <w:lang w:val="es-ES_tradnl"/>
        </w:rPr>
        <w:t xml:space="preserve">Esta sección se basa en los datos y los análisis de UIT </w:t>
      </w:r>
      <w:r w:rsidRPr="005A0F06">
        <w:rPr>
          <w:rFonts w:eastAsia="MyriadPro-Light" w:cstheme="minorHAnsi"/>
          <w:lang w:val="es-ES_tradnl"/>
        </w:rPr>
        <w:t>(2012)</w:t>
      </w:r>
      <w:r w:rsidRPr="005A0F06">
        <w:rPr>
          <w:lang w:val="es-ES_tradnl"/>
        </w:rPr>
        <w:t>. El análisis se basa en los 34 países de la Región de las Am</w:t>
      </w:r>
      <w:r>
        <w:rPr>
          <w:lang w:val="es-ES_tradnl"/>
        </w:rPr>
        <w:t>éricas de los que se disponen datos de la IPB para 2011</w:t>
      </w:r>
      <w:r w:rsidRPr="005A0F06">
        <w:rPr>
          <w:lang w:val="es-ES_tradnl"/>
        </w:rPr>
        <w:t>.</w:t>
      </w:r>
    </w:p>
  </w:footnote>
  <w:footnote w:id="29">
    <w:p w:rsidR="00F60529" w:rsidRPr="00A535E5" w:rsidRDefault="00F60529" w:rsidP="00F60529">
      <w:pPr>
        <w:tabs>
          <w:tab w:val="left" w:pos="284"/>
        </w:tabs>
        <w:autoSpaceDE w:val="0"/>
        <w:autoSpaceDN w:val="0"/>
        <w:adjustRightInd w:val="0"/>
        <w:spacing w:after="0" w:line="240" w:lineRule="auto"/>
        <w:rPr>
          <w:lang w:val="es-ES_tradnl"/>
        </w:rPr>
      </w:pPr>
      <w:r w:rsidRPr="00667755">
        <w:rPr>
          <w:rStyle w:val="FootnoteTextChar"/>
          <w:sz w:val="18"/>
          <w:szCs w:val="18"/>
          <w:vertAlign w:val="superscript"/>
        </w:rPr>
        <w:footnoteRef/>
      </w:r>
      <w:r>
        <w:rPr>
          <w:rStyle w:val="FootnoteTextChar"/>
          <w:sz w:val="18"/>
          <w:szCs w:val="18"/>
          <w:lang w:val="es-ES_tradnl"/>
        </w:rPr>
        <w:tab/>
      </w:r>
      <w:r w:rsidRPr="002A17D0">
        <w:rPr>
          <w:rStyle w:val="FootnoteTextChar"/>
          <w:lang w:val="es-ES_tradnl"/>
        </w:rPr>
        <w:t xml:space="preserve">Según el estudio </w:t>
      </w:r>
      <w:proofErr w:type="spellStart"/>
      <w:r w:rsidRPr="002A17D0">
        <w:rPr>
          <w:rStyle w:val="FootnoteTextChar"/>
          <w:lang w:val="es-ES_tradnl"/>
        </w:rPr>
        <w:t>semianual</w:t>
      </w:r>
      <w:proofErr w:type="spellEnd"/>
      <w:r w:rsidRPr="002A17D0">
        <w:rPr>
          <w:rStyle w:val="FootnoteTextChar"/>
          <w:lang w:val="es-ES_tradnl"/>
        </w:rPr>
        <w:t xml:space="preserve"> de la CTIA, el ciudadano medio de los Estados Unidos de América realiza unos 400 minutos de llamadas y envía alrededor de 200 sms. Los operadores se han adaptado a la coyuntura ofreciendo un abanico amplio de paquetes para usuarios que realizan un gran uso del teléfono o planes de tarifa plana, en los que el coste real del minuto y de la llamada es muy inferior al coste en el que se basa la IPB. Por ejemplo, "el plan “</w:t>
      </w:r>
      <w:proofErr w:type="spellStart"/>
      <w:r w:rsidRPr="002A17D0">
        <w:rPr>
          <w:rStyle w:val="FootnoteTextChar"/>
          <w:lang w:val="es-ES_tradnl"/>
        </w:rPr>
        <w:t>Straight</w:t>
      </w:r>
      <w:proofErr w:type="spellEnd"/>
      <w:r w:rsidRPr="002A17D0">
        <w:rPr>
          <w:rStyle w:val="FootnoteTextChar"/>
          <w:lang w:val="es-ES_tradnl"/>
        </w:rPr>
        <w:t xml:space="preserve"> </w:t>
      </w:r>
      <w:proofErr w:type="spellStart"/>
      <w:r w:rsidRPr="002A17D0">
        <w:rPr>
          <w:rStyle w:val="FootnoteTextChar"/>
          <w:lang w:val="es-ES_tradnl"/>
        </w:rPr>
        <w:t>Talk</w:t>
      </w:r>
      <w:proofErr w:type="spellEnd"/>
      <w:r w:rsidRPr="002A17D0">
        <w:rPr>
          <w:rStyle w:val="FootnoteTextChar"/>
          <w:lang w:val="es-ES_tradnl"/>
        </w:rPr>
        <w:t xml:space="preserve">” de </w:t>
      </w:r>
      <w:proofErr w:type="spellStart"/>
      <w:r w:rsidRPr="002A17D0">
        <w:rPr>
          <w:rStyle w:val="FootnoteTextChar"/>
          <w:lang w:val="es-ES_tradnl"/>
        </w:rPr>
        <w:t>Tracfone</w:t>
      </w:r>
      <w:proofErr w:type="spellEnd"/>
      <w:r w:rsidRPr="002A17D0">
        <w:rPr>
          <w:rStyle w:val="FootnoteTextChar"/>
          <w:lang w:val="es-ES_tradnl"/>
        </w:rPr>
        <w:t xml:space="preserve">  ofrece la posibilidad de llamar sin límite de minutos y de enviar un número ilimitado de mensajes por 45 USD al mes, mientras que </w:t>
      </w:r>
      <w:proofErr w:type="spellStart"/>
      <w:r w:rsidRPr="002A17D0">
        <w:rPr>
          <w:rStyle w:val="FootnoteTextChar"/>
          <w:lang w:val="es-ES_tradnl"/>
        </w:rPr>
        <w:t>Boost</w:t>
      </w:r>
      <w:proofErr w:type="spellEnd"/>
      <w:r w:rsidRPr="002A17D0">
        <w:rPr>
          <w:rStyle w:val="FootnoteTextChar"/>
          <w:lang w:val="es-ES_tradnl"/>
        </w:rPr>
        <w:t xml:space="preserve"> ofrece un plan que, por 50 USD, permite a los usuarios llamar, enviar mensajes de texto, navegar por la web y acceder a un servicio de radioteléfono sin límite". </w:t>
      </w:r>
      <w:r w:rsidRPr="002A17D0">
        <w:rPr>
          <w:rStyle w:val="FootnoteTextChar"/>
          <w:lang w:val="fr-CH"/>
        </w:rPr>
        <w:t xml:space="preserve">Véase http://telecoms.cytalk.com/2011/05/us-canada-and-spain-win-the-battle-for-most-expensive-cellphone-bills/. </w:t>
      </w:r>
      <w:r w:rsidRPr="002A17D0">
        <w:rPr>
          <w:rStyle w:val="FootnoteTextChar"/>
          <w:lang w:val="es-ES_tradnl"/>
        </w:rPr>
        <w:t>Asimismo, en su estudio Perspectivas de las comunicaciones correspondiente a 2011, la OCDE confirma que, "de media, los usuarios de los Estados Unidos de América suelen utilizar la telefonía móvil más que los usuarios de otros países, por la mayor disponibilidad de planes de voz de tarifa plana o de planes que ofrecen una gran cantidad</w:t>
      </w:r>
      <w:r w:rsidRPr="00A535E5">
        <w:rPr>
          <w:rFonts w:eastAsia="MyriadPro-Light" w:cs="MyriadPro-Light"/>
          <w:sz w:val="20"/>
          <w:szCs w:val="20"/>
          <w:lang w:val="es-ES_tradnl"/>
        </w:rPr>
        <w:t xml:space="preserve"> de minutos", </w:t>
      </w:r>
      <w:r w:rsidRPr="00DD1EAA">
        <w:rPr>
          <w:rStyle w:val="FootnoteTextChar"/>
          <w:lang w:val="es-ES_tradnl"/>
        </w:rPr>
        <w:t>véase OCDE (2011).</w:t>
      </w:r>
    </w:p>
  </w:footnote>
  <w:footnote w:id="30">
    <w:p w:rsidR="00F60529" w:rsidRPr="00921959" w:rsidRDefault="00F60529" w:rsidP="00F60529">
      <w:pPr>
        <w:pStyle w:val="FootnoteText"/>
        <w:tabs>
          <w:tab w:val="left" w:pos="284"/>
        </w:tabs>
        <w:rPr>
          <w:lang w:val="fr-CH"/>
        </w:rPr>
      </w:pPr>
      <w:r w:rsidRPr="00C82431">
        <w:rPr>
          <w:rStyle w:val="FootnoteReference"/>
        </w:rPr>
        <w:footnoteRef/>
      </w:r>
      <w:r>
        <w:rPr>
          <w:lang w:val="fr-CH"/>
        </w:rPr>
        <w:tab/>
      </w:r>
      <w:r w:rsidRPr="00921959">
        <w:rPr>
          <w:rFonts w:eastAsia="MyriadPro-Light" w:cs="MyriadPro-Light"/>
          <w:lang w:val="fr-CH"/>
        </w:rPr>
        <w:t>Véase http://www.ft.com/cms/s/0/74e1a934-0914-11df-ba88-00144feabdc0.html#axzz1sU0BzEbd.</w:t>
      </w:r>
    </w:p>
  </w:footnote>
  <w:footnote w:id="31">
    <w:p w:rsidR="00F60529" w:rsidRPr="00921959" w:rsidRDefault="00F60529" w:rsidP="00F60529">
      <w:pPr>
        <w:tabs>
          <w:tab w:val="left" w:pos="284"/>
        </w:tabs>
        <w:autoSpaceDE w:val="0"/>
        <w:autoSpaceDN w:val="0"/>
        <w:adjustRightInd w:val="0"/>
        <w:spacing w:after="0" w:line="240" w:lineRule="auto"/>
        <w:rPr>
          <w:rFonts w:eastAsia="MyriadPro-Light" w:cs="MyriadPro-Light"/>
          <w:sz w:val="20"/>
          <w:szCs w:val="20"/>
          <w:lang w:val="es-ES_tradnl"/>
        </w:rPr>
      </w:pPr>
      <w:r w:rsidRPr="00C82431">
        <w:rPr>
          <w:rStyle w:val="FootnoteReference"/>
          <w:sz w:val="20"/>
          <w:szCs w:val="20"/>
        </w:rPr>
        <w:footnoteRef/>
      </w:r>
      <w:r>
        <w:rPr>
          <w:sz w:val="20"/>
          <w:szCs w:val="20"/>
          <w:lang w:val="es-ES_tradnl"/>
        </w:rPr>
        <w:tab/>
      </w:r>
      <w:r w:rsidRPr="00921959">
        <w:rPr>
          <w:rFonts w:eastAsia="MyriadPro-Light" w:cs="MyriadPro-Light"/>
          <w:sz w:val="20"/>
          <w:szCs w:val="20"/>
          <w:lang w:val="es-ES_tradnl"/>
        </w:rPr>
        <w:t>“En marzo [2011] Cofetel decretó la reducción de las tarifas de interconexión, que pasaron de 0,95 pesos (0</w:t>
      </w:r>
      <w:r>
        <w:rPr>
          <w:rFonts w:eastAsia="MyriadPro-Light" w:cs="MyriadPro-Light"/>
          <w:sz w:val="20"/>
          <w:szCs w:val="20"/>
          <w:lang w:val="es-ES_tradnl"/>
        </w:rPr>
        <w:t>,</w:t>
      </w:r>
      <w:r w:rsidRPr="00921959">
        <w:rPr>
          <w:rFonts w:eastAsia="MyriadPro-Light" w:cs="MyriadPro-Light"/>
          <w:sz w:val="20"/>
          <w:szCs w:val="20"/>
          <w:lang w:val="es-ES_tradnl"/>
        </w:rPr>
        <w:t>08</w:t>
      </w:r>
      <w:r>
        <w:rPr>
          <w:rFonts w:eastAsia="MyriadPro-Light" w:cs="MyriadPro-Light"/>
          <w:sz w:val="20"/>
          <w:szCs w:val="20"/>
          <w:lang w:val="es-ES_tradnl"/>
        </w:rPr>
        <w:t xml:space="preserve"> USD</w:t>
      </w:r>
      <w:r w:rsidRPr="00921959">
        <w:rPr>
          <w:rFonts w:eastAsia="MyriadPro-Light" w:cs="MyriadPro-Light"/>
          <w:sz w:val="20"/>
          <w:szCs w:val="20"/>
          <w:lang w:val="es-ES_tradnl"/>
        </w:rPr>
        <w:t xml:space="preserve">) </w:t>
      </w:r>
      <w:r>
        <w:rPr>
          <w:rFonts w:eastAsia="MyriadPro-Light" w:cs="MyriadPro-Light"/>
          <w:sz w:val="20"/>
          <w:szCs w:val="20"/>
          <w:lang w:val="es-ES_tradnl"/>
        </w:rPr>
        <w:t>a</w:t>
      </w:r>
      <w:r w:rsidRPr="00921959">
        <w:rPr>
          <w:rFonts w:eastAsia="MyriadPro-Light" w:cs="MyriadPro-Light"/>
          <w:sz w:val="20"/>
          <w:szCs w:val="20"/>
          <w:lang w:val="es-ES_tradnl"/>
        </w:rPr>
        <w:t xml:space="preserve"> 0</w:t>
      </w:r>
      <w:r>
        <w:rPr>
          <w:rFonts w:eastAsia="MyriadPro-Light" w:cs="MyriadPro-Light"/>
          <w:sz w:val="20"/>
          <w:szCs w:val="20"/>
          <w:lang w:val="es-ES_tradnl"/>
        </w:rPr>
        <w:t>,</w:t>
      </w:r>
      <w:r w:rsidRPr="00921959">
        <w:rPr>
          <w:rFonts w:eastAsia="MyriadPro-Light" w:cs="MyriadPro-Light"/>
          <w:sz w:val="20"/>
          <w:szCs w:val="20"/>
          <w:lang w:val="es-ES_tradnl"/>
        </w:rPr>
        <w:t xml:space="preserve">39 pesos, </w:t>
      </w:r>
      <w:r>
        <w:rPr>
          <w:rFonts w:eastAsia="MyriadPro-Light" w:cs="MyriadPro-Light"/>
          <w:sz w:val="20"/>
          <w:szCs w:val="20"/>
          <w:lang w:val="es-ES_tradnl"/>
        </w:rPr>
        <w:t xml:space="preserve">lo que provocó que México pasara de ser uno de los países de la OCDE con una tarifa relativamente alta a uno de los países con una de las tarifas más bajas. </w:t>
      </w:r>
      <w:r w:rsidRPr="00921959">
        <w:rPr>
          <w:rFonts w:eastAsia="MyriadPro-Light" w:cs="MyriadPro-Light"/>
          <w:sz w:val="20"/>
          <w:szCs w:val="20"/>
          <w:lang w:val="es-ES_tradnl"/>
        </w:rPr>
        <w:t xml:space="preserve">Los precios minoristas se han desplomado: Telcel redujo en dos tercios el precio </w:t>
      </w:r>
      <w:r>
        <w:rPr>
          <w:rFonts w:eastAsia="MyriadPro-Light" w:cs="MyriadPro-Light"/>
          <w:sz w:val="20"/>
          <w:szCs w:val="20"/>
          <w:lang w:val="es-ES_tradnl"/>
        </w:rPr>
        <w:t xml:space="preserve">de las llamadas a otras redes y Telefónica, en un 50%. </w:t>
      </w:r>
      <w:r w:rsidRPr="00921959">
        <w:rPr>
          <w:rFonts w:eastAsia="MyriadPro-Light" w:cs="MyriadPro-Light"/>
          <w:sz w:val="20"/>
          <w:szCs w:val="20"/>
          <w:lang w:val="es-ES_tradnl"/>
        </w:rPr>
        <w:t>Telmex redujo el precio de las llamadas a móviles (</w:t>
      </w:r>
      <w:r>
        <w:rPr>
          <w:rFonts w:eastAsia="MyriadPro-Light" w:cs="MyriadPro-Light"/>
          <w:sz w:val="20"/>
          <w:szCs w:val="20"/>
          <w:lang w:val="es-ES_tradnl"/>
        </w:rPr>
        <w:t xml:space="preserve">lo que </w:t>
      </w:r>
      <w:r w:rsidRPr="00921959">
        <w:rPr>
          <w:rFonts w:eastAsia="MyriadPro-Light" w:cs="MyriadPro-Light"/>
          <w:sz w:val="20"/>
          <w:szCs w:val="20"/>
          <w:lang w:val="es-ES_tradnl"/>
        </w:rPr>
        <w:t xml:space="preserve">probablemente </w:t>
      </w:r>
      <w:r>
        <w:rPr>
          <w:rFonts w:eastAsia="MyriadPro-Light" w:cs="MyriadPro-Light"/>
          <w:sz w:val="20"/>
          <w:szCs w:val="20"/>
          <w:lang w:val="es-ES_tradnl"/>
        </w:rPr>
        <w:t xml:space="preserve">contribuyó a reducir </w:t>
      </w:r>
      <w:r w:rsidRPr="00921959">
        <w:rPr>
          <w:rFonts w:eastAsia="MyriadPro-Light" w:cs="MyriadPro-Light"/>
          <w:sz w:val="20"/>
          <w:szCs w:val="20"/>
          <w:lang w:val="es-ES_tradnl"/>
        </w:rPr>
        <w:t xml:space="preserve">la </w:t>
      </w:r>
      <w:r>
        <w:rPr>
          <w:rFonts w:eastAsia="MyriadPro-Light" w:cs="MyriadPro-Light"/>
          <w:sz w:val="20"/>
          <w:szCs w:val="20"/>
          <w:lang w:val="es-ES_tradnl"/>
        </w:rPr>
        <w:t xml:space="preserve">inflación nacional). </w:t>
      </w:r>
      <w:r w:rsidRPr="00921959">
        <w:rPr>
          <w:rFonts w:eastAsia="MyriadPro-Light" w:cs="MyriadPro-Light"/>
          <w:sz w:val="20"/>
          <w:szCs w:val="20"/>
          <w:lang w:val="es-ES_tradnl"/>
        </w:rPr>
        <w:t>Los recortes podrían no terminar ahí: Cofetel está estudiando la posibilidad de aplicar una "regulaci</w:t>
      </w:r>
      <w:r>
        <w:rPr>
          <w:rFonts w:eastAsia="MyriadPro-Light" w:cs="MyriadPro-Light"/>
          <w:sz w:val="20"/>
          <w:szCs w:val="20"/>
          <w:lang w:val="es-ES_tradnl"/>
        </w:rPr>
        <w:t>ón asimétrica" a América Mó</w:t>
      </w:r>
      <w:r w:rsidRPr="00921959">
        <w:rPr>
          <w:rFonts w:eastAsia="MyriadPro-Light" w:cs="MyriadPro-Light"/>
          <w:sz w:val="20"/>
          <w:szCs w:val="20"/>
          <w:lang w:val="es-ES_tradnl"/>
        </w:rPr>
        <w:t xml:space="preserve">vil, </w:t>
      </w:r>
      <w:r>
        <w:rPr>
          <w:rFonts w:eastAsia="MyriadPro-Light" w:cs="MyriadPro-Light"/>
          <w:sz w:val="20"/>
          <w:szCs w:val="20"/>
          <w:lang w:val="es-ES_tradnl"/>
        </w:rPr>
        <w:t>lo que podría obligar a la compañía a cobrar a sus competidores menos de lo que estos le cobran</w:t>
      </w:r>
      <w:r w:rsidRPr="00921959">
        <w:rPr>
          <w:rFonts w:eastAsia="MyriadPro-Light" w:cs="MyriadPro-Light"/>
          <w:sz w:val="20"/>
          <w:szCs w:val="20"/>
          <w:lang w:val="es-ES_tradnl"/>
        </w:rPr>
        <w:t xml:space="preserve">.” Véase: </w:t>
      </w:r>
      <w:hyperlink r:id="rId7" w:history="1">
        <w:r w:rsidRPr="00921959">
          <w:rPr>
            <w:rStyle w:val="Hyperlink"/>
            <w:rFonts w:eastAsia="MyriadPro-Light" w:cs="MyriadPro-Light"/>
            <w:sz w:val="20"/>
            <w:szCs w:val="20"/>
            <w:lang w:val="es-ES_tradnl"/>
          </w:rPr>
          <w:t>http://www.economist.com/node/21546028</w:t>
        </w:r>
      </w:hyperlink>
      <w:r w:rsidRPr="00921959">
        <w:rPr>
          <w:rFonts w:eastAsia="MyriadPro-Light" w:cs="MyriadPro-Light"/>
          <w:sz w:val="20"/>
          <w:szCs w:val="20"/>
          <w:lang w:val="es-ES_tradnl"/>
        </w:rPr>
        <w:t>. Véase también OCDE (2012).</w:t>
      </w:r>
    </w:p>
  </w:footnote>
  <w:footnote w:id="32">
    <w:p w:rsidR="00F60529" w:rsidRPr="00A91BB0" w:rsidRDefault="00F60529" w:rsidP="00F60529">
      <w:pPr>
        <w:pStyle w:val="FootnoteText"/>
        <w:tabs>
          <w:tab w:val="left" w:pos="284"/>
        </w:tabs>
        <w:rPr>
          <w:lang w:val="es-ES_tradnl"/>
        </w:rPr>
      </w:pPr>
      <w:r w:rsidRPr="00211DE4">
        <w:rPr>
          <w:rStyle w:val="FootnoteReference"/>
        </w:rPr>
        <w:footnoteRef/>
      </w:r>
      <w:r w:rsidRPr="00A91BB0">
        <w:rPr>
          <w:lang w:val="es-ES_tradnl"/>
        </w:rPr>
        <w:tab/>
      </w:r>
      <w:r w:rsidRPr="00A91BB0">
        <w:rPr>
          <w:rFonts w:eastAsia="MyriadPro-Light" w:cs="MyriadPro-Light"/>
          <w:lang w:val="es-ES_tradnl"/>
        </w:rPr>
        <w:t>Véase http://www.pyramidresearch.com/pr_prlist/PR111610_INSLA2.8.htm.</w:t>
      </w:r>
    </w:p>
  </w:footnote>
  <w:footnote w:id="33">
    <w:p w:rsidR="00F60529" w:rsidRPr="007933F6" w:rsidRDefault="00F60529" w:rsidP="00F60529">
      <w:pPr>
        <w:pStyle w:val="FootnoteText"/>
        <w:tabs>
          <w:tab w:val="left" w:pos="284"/>
        </w:tabs>
        <w:rPr>
          <w:lang w:val="fr-CH"/>
        </w:rPr>
      </w:pPr>
      <w:r w:rsidRPr="00211DE4">
        <w:rPr>
          <w:rStyle w:val="FootnoteReference"/>
        </w:rPr>
        <w:footnoteRef/>
      </w:r>
      <w:r>
        <w:rPr>
          <w:lang w:val="fr-CH"/>
        </w:rPr>
        <w:tab/>
      </w:r>
      <w:r w:rsidRPr="007933F6">
        <w:rPr>
          <w:rFonts w:eastAsia="MyriadPro-Light" w:cs="MyriadPro-Light"/>
          <w:lang w:val="fr-CH"/>
        </w:rPr>
        <w:t>Véase http://www.fiercetelecom.com/story/finding-niche-mvnos-latin-america/2010-06-01.</w:t>
      </w:r>
    </w:p>
  </w:footnote>
  <w:footnote w:id="34">
    <w:p w:rsidR="00F60529" w:rsidRPr="00DF0A89" w:rsidRDefault="00F60529" w:rsidP="00F60529">
      <w:pPr>
        <w:pStyle w:val="FootnoteText"/>
        <w:tabs>
          <w:tab w:val="left" w:pos="284"/>
        </w:tabs>
        <w:rPr>
          <w:lang w:val="fr-CH"/>
        </w:rPr>
      </w:pPr>
      <w:r w:rsidRPr="00211DE4">
        <w:rPr>
          <w:rStyle w:val="FootnoteReference"/>
        </w:rPr>
        <w:footnoteRef/>
      </w:r>
      <w:r>
        <w:rPr>
          <w:lang w:val="fr-CH"/>
        </w:rPr>
        <w:tab/>
      </w:r>
      <w:r w:rsidRPr="007933F6">
        <w:rPr>
          <w:rFonts w:eastAsia="MyriadPro-Light" w:cs="MyriadPro-Light"/>
          <w:lang w:val="fr-CH"/>
        </w:rPr>
        <w:t>Véase</w:t>
      </w:r>
      <w:r w:rsidRPr="00DF0A89">
        <w:rPr>
          <w:rFonts w:eastAsia="MyriadPro-Light" w:cs="MyriadPro-Light"/>
          <w:lang w:val="fr-CH"/>
        </w:rPr>
        <w:t xml:space="preserve"> http://wirelessfederation.com/news/90633-virgin-mobile-to-launch-mvno-services-in-chile-in-2012-latin-america.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529" w:rsidRPr="008B1922" w:rsidRDefault="00F60529" w:rsidP="008B1922">
    <w:pPr>
      <w:tabs>
        <w:tab w:val="center" w:pos="4253"/>
        <w:tab w:val="right" w:pos="9214"/>
      </w:tabs>
      <w:ind w:left="-142" w:right="1"/>
      <w:rPr>
        <w:rFonts w:ascii="Verdana" w:hAnsi="Verdana"/>
        <w:smallCaps/>
        <w:spacing w:val="24"/>
        <w:sz w:val="18"/>
        <w:szCs w:val="18"/>
      </w:rPr>
    </w:pPr>
    <w:r w:rsidRPr="00A9505C">
      <w:rPr>
        <w:rFonts w:ascii="Verdana" w:hAnsi="Verdana"/>
        <w:smallCaps/>
        <w:spacing w:val="24"/>
        <w:sz w:val="18"/>
        <w:szCs w:val="18"/>
      </w:rPr>
      <w:tab/>
    </w:r>
    <w:r w:rsidRPr="008B1922">
      <w:rPr>
        <w:rFonts w:ascii="Verdana" w:hAnsi="Verdana"/>
        <w:smallCaps/>
        <w:spacing w:val="24"/>
        <w:sz w:val="18"/>
        <w:szCs w:val="18"/>
      </w:rPr>
      <w:t>ITU-D/</w:t>
    </w:r>
    <w:bookmarkStart w:id="19" w:name="DocRef2"/>
    <w:bookmarkEnd w:id="19"/>
    <w:r w:rsidRPr="008B1922">
      <w:rPr>
        <w:rFonts w:ascii="Verdana" w:hAnsi="Verdana"/>
        <w:smallCaps/>
        <w:spacing w:val="24"/>
        <w:sz w:val="18"/>
        <w:szCs w:val="18"/>
      </w:rPr>
      <w:t>RPM-AMS13/3-S</w:t>
    </w:r>
    <w:r w:rsidRPr="008B1922">
      <w:rPr>
        <w:rFonts w:ascii="Verdana" w:hAnsi="Verdana"/>
        <w:smallCaps/>
        <w:spacing w:val="24"/>
        <w:sz w:val="18"/>
        <w:szCs w:val="18"/>
      </w:rPr>
      <w:tab/>
    </w:r>
    <w:proofErr w:type="spellStart"/>
    <w:r>
      <w:rPr>
        <w:rFonts w:ascii="Verdana" w:hAnsi="Verdana"/>
        <w:smallCaps/>
        <w:spacing w:val="24"/>
        <w:sz w:val="18"/>
        <w:szCs w:val="18"/>
      </w:rPr>
      <w:t>Página</w:t>
    </w:r>
    <w:proofErr w:type="spellEnd"/>
    <w:r w:rsidRPr="008B1922">
      <w:rPr>
        <w:rFonts w:ascii="Verdana" w:hAnsi="Verdana"/>
        <w:smallCaps/>
        <w:spacing w:val="24"/>
        <w:sz w:val="18"/>
        <w:szCs w:val="18"/>
      </w:rPr>
      <w:t xml:space="preserve"> </w:t>
    </w:r>
    <w:r w:rsidRPr="00A9505C">
      <w:rPr>
        <w:rFonts w:ascii="Verdana" w:hAnsi="Verdana"/>
        <w:smallCaps/>
        <w:spacing w:val="24"/>
        <w:sz w:val="18"/>
        <w:szCs w:val="18"/>
        <w:lang w:val="en-GB"/>
      </w:rPr>
      <w:fldChar w:fldCharType="begin"/>
    </w:r>
    <w:r w:rsidRPr="008B1922">
      <w:rPr>
        <w:rFonts w:ascii="Verdana" w:hAnsi="Verdana"/>
        <w:smallCaps/>
        <w:spacing w:val="24"/>
        <w:sz w:val="18"/>
        <w:szCs w:val="18"/>
      </w:rPr>
      <w:instrText xml:space="preserve"> PAGE </w:instrText>
    </w:r>
    <w:r w:rsidRPr="00A9505C">
      <w:rPr>
        <w:rFonts w:ascii="Verdana" w:hAnsi="Verdana"/>
        <w:smallCaps/>
        <w:spacing w:val="24"/>
        <w:sz w:val="18"/>
        <w:szCs w:val="18"/>
        <w:lang w:val="en-GB"/>
      </w:rPr>
      <w:fldChar w:fldCharType="separate"/>
    </w:r>
    <w:r w:rsidR="00485725">
      <w:rPr>
        <w:rFonts w:ascii="Verdana" w:hAnsi="Verdana"/>
        <w:smallCaps/>
        <w:noProof/>
        <w:spacing w:val="24"/>
        <w:sz w:val="18"/>
        <w:szCs w:val="18"/>
      </w:rPr>
      <w:t>47</w:t>
    </w:r>
    <w:r w:rsidRPr="00A9505C">
      <w:rPr>
        <w:rFonts w:ascii="Verdana" w:hAnsi="Verdana"/>
        <w:smallCaps/>
        <w:spacing w:val="24"/>
        <w:sz w:val="18"/>
        <w:szCs w:val="18"/>
        <w:lang w:val="en-GB"/>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1B2"/>
    <w:multiLevelType w:val="hybridMultilevel"/>
    <w:tmpl w:val="AEFA50A0"/>
    <w:lvl w:ilvl="0" w:tplc="41CC957E">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0E3D67"/>
    <w:multiLevelType w:val="hybridMultilevel"/>
    <w:tmpl w:val="C40A6EC8"/>
    <w:lvl w:ilvl="0" w:tplc="0EFEA61A">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133ACC"/>
    <w:multiLevelType w:val="hybridMultilevel"/>
    <w:tmpl w:val="D70A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CC654B"/>
    <w:multiLevelType w:val="hybridMultilevel"/>
    <w:tmpl w:val="86D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CA7C67"/>
    <w:multiLevelType w:val="hybridMultilevel"/>
    <w:tmpl w:val="B29C76C8"/>
    <w:lvl w:ilvl="0" w:tplc="C4268018">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8E17411"/>
    <w:multiLevelType w:val="hybridMultilevel"/>
    <w:tmpl w:val="E21AB76E"/>
    <w:lvl w:ilvl="0" w:tplc="151EA246">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2C0F9C"/>
    <w:multiLevelType w:val="multilevel"/>
    <w:tmpl w:val="AB3A526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2BB56A6E"/>
    <w:multiLevelType w:val="hybridMultilevel"/>
    <w:tmpl w:val="E4BA3E1E"/>
    <w:lvl w:ilvl="0" w:tplc="F150542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CA2707C"/>
    <w:multiLevelType w:val="hybridMultilevel"/>
    <w:tmpl w:val="D068CD52"/>
    <w:lvl w:ilvl="0" w:tplc="E0F81318">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D2168C"/>
    <w:multiLevelType w:val="hybridMultilevel"/>
    <w:tmpl w:val="771CE65C"/>
    <w:lvl w:ilvl="0" w:tplc="967A716A">
      <w:numFmt w:val="bullet"/>
      <w:lvlText w:val="-"/>
      <w:lvlJc w:val="left"/>
      <w:pPr>
        <w:ind w:left="720" w:hanging="360"/>
      </w:pPr>
      <w:rPr>
        <w:rFonts w:ascii="MyriadPro-Light" w:eastAsia="MyriadPro-Light" w:hAnsiTheme="minorHAnsi" w:cs="MyriadPro-Ligh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78555E"/>
    <w:multiLevelType w:val="hybridMultilevel"/>
    <w:tmpl w:val="C5FA8966"/>
    <w:lvl w:ilvl="0" w:tplc="9982984A">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F516AD"/>
    <w:multiLevelType w:val="multilevel"/>
    <w:tmpl w:val="1C80C60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99B1EC3"/>
    <w:multiLevelType w:val="hybridMultilevel"/>
    <w:tmpl w:val="5B3A26A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52384E"/>
    <w:multiLevelType w:val="hybridMultilevel"/>
    <w:tmpl w:val="CCCC42DA"/>
    <w:lvl w:ilvl="0" w:tplc="342242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49A19F1"/>
    <w:multiLevelType w:val="hybridMultilevel"/>
    <w:tmpl w:val="226CE4E2"/>
    <w:lvl w:ilvl="0" w:tplc="52888CEE">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C977C11"/>
    <w:multiLevelType w:val="hybridMultilevel"/>
    <w:tmpl w:val="85D00C22"/>
    <w:lvl w:ilvl="0" w:tplc="340648D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0256380"/>
    <w:multiLevelType w:val="hybridMultilevel"/>
    <w:tmpl w:val="5D421B30"/>
    <w:lvl w:ilvl="0" w:tplc="CEFE9BA4">
      <w:numFmt w:val="bullet"/>
      <w:lvlText w:val="-"/>
      <w:lvlJc w:val="left"/>
      <w:pPr>
        <w:ind w:left="720" w:hanging="360"/>
      </w:pPr>
      <w:rPr>
        <w:rFonts w:ascii="Calibri" w:eastAsia="MyriadPro-Light"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4A91EDC"/>
    <w:multiLevelType w:val="hybridMultilevel"/>
    <w:tmpl w:val="2CFC1D84"/>
    <w:lvl w:ilvl="0" w:tplc="CBF2B5FC">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A12443"/>
    <w:multiLevelType w:val="hybridMultilevel"/>
    <w:tmpl w:val="8684100A"/>
    <w:lvl w:ilvl="0" w:tplc="57A6EEFA">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C7300B8"/>
    <w:multiLevelType w:val="hybridMultilevel"/>
    <w:tmpl w:val="BFD03F1A"/>
    <w:lvl w:ilvl="0" w:tplc="092C3A6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DF24A4E"/>
    <w:multiLevelType w:val="hybridMultilevel"/>
    <w:tmpl w:val="D1CE8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CB6BAC"/>
    <w:multiLevelType w:val="hybridMultilevel"/>
    <w:tmpl w:val="5C50CB5E"/>
    <w:lvl w:ilvl="0" w:tplc="3A5E94AE">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4F77003"/>
    <w:multiLevelType w:val="hybridMultilevel"/>
    <w:tmpl w:val="6346D4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6"/>
  </w:num>
  <w:num w:numId="4">
    <w:abstractNumId w:val="2"/>
  </w:num>
  <w:num w:numId="5">
    <w:abstractNumId w:val="20"/>
  </w:num>
  <w:num w:numId="6">
    <w:abstractNumId w:val="13"/>
  </w:num>
  <w:num w:numId="7">
    <w:abstractNumId w:val="11"/>
  </w:num>
  <w:num w:numId="8">
    <w:abstractNumId w:val="17"/>
  </w:num>
  <w:num w:numId="9">
    <w:abstractNumId w:val="22"/>
  </w:num>
  <w:num w:numId="10">
    <w:abstractNumId w:val="16"/>
  </w:num>
  <w:num w:numId="11">
    <w:abstractNumId w:val="9"/>
  </w:num>
  <w:num w:numId="12">
    <w:abstractNumId w:val="8"/>
  </w:num>
  <w:num w:numId="13">
    <w:abstractNumId w:val="0"/>
  </w:num>
  <w:num w:numId="14">
    <w:abstractNumId w:val="14"/>
  </w:num>
  <w:num w:numId="15">
    <w:abstractNumId w:val="1"/>
  </w:num>
  <w:num w:numId="16">
    <w:abstractNumId w:val="10"/>
  </w:num>
  <w:num w:numId="17">
    <w:abstractNumId w:val="19"/>
  </w:num>
  <w:num w:numId="18">
    <w:abstractNumId w:val="4"/>
  </w:num>
  <w:num w:numId="19">
    <w:abstractNumId w:val="5"/>
  </w:num>
  <w:num w:numId="20">
    <w:abstractNumId w:val="15"/>
  </w:num>
  <w:num w:numId="21">
    <w:abstractNumId w:val="7"/>
  </w:num>
  <w:num w:numId="22">
    <w:abstractNumId w:val="1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E37"/>
    <w:rsid w:val="0000140A"/>
    <w:rsid w:val="000016D2"/>
    <w:rsid w:val="00004D82"/>
    <w:rsid w:val="00004E00"/>
    <w:rsid w:val="000066A7"/>
    <w:rsid w:val="00006BB6"/>
    <w:rsid w:val="00007E5A"/>
    <w:rsid w:val="0001235E"/>
    <w:rsid w:val="00022704"/>
    <w:rsid w:val="00023EA1"/>
    <w:rsid w:val="000318DE"/>
    <w:rsid w:val="000348C1"/>
    <w:rsid w:val="000357CF"/>
    <w:rsid w:val="00036373"/>
    <w:rsid w:val="00037920"/>
    <w:rsid w:val="00037C7A"/>
    <w:rsid w:val="00037E65"/>
    <w:rsid w:val="00037E8F"/>
    <w:rsid w:val="00042144"/>
    <w:rsid w:val="000470D0"/>
    <w:rsid w:val="0004742B"/>
    <w:rsid w:val="00047C71"/>
    <w:rsid w:val="00053375"/>
    <w:rsid w:val="00054A56"/>
    <w:rsid w:val="000571FB"/>
    <w:rsid w:val="00057925"/>
    <w:rsid w:val="00062978"/>
    <w:rsid w:val="00063AAA"/>
    <w:rsid w:val="00064159"/>
    <w:rsid w:val="000708E5"/>
    <w:rsid w:val="00070B4B"/>
    <w:rsid w:val="000717EB"/>
    <w:rsid w:val="00082735"/>
    <w:rsid w:val="00083E68"/>
    <w:rsid w:val="00084187"/>
    <w:rsid w:val="0009303F"/>
    <w:rsid w:val="00093E87"/>
    <w:rsid w:val="000942C7"/>
    <w:rsid w:val="000A13B7"/>
    <w:rsid w:val="000A5355"/>
    <w:rsid w:val="000A6AEF"/>
    <w:rsid w:val="000A7D3E"/>
    <w:rsid w:val="000B03B6"/>
    <w:rsid w:val="000B2163"/>
    <w:rsid w:val="000B27CC"/>
    <w:rsid w:val="000B5915"/>
    <w:rsid w:val="000B5AB7"/>
    <w:rsid w:val="000B767B"/>
    <w:rsid w:val="000C1307"/>
    <w:rsid w:val="000C1A28"/>
    <w:rsid w:val="000C24D8"/>
    <w:rsid w:val="000C4348"/>
    <w:rsid w:val="000C5EE6"/>
    <w:rsid w:val="000C64BC"/>
    <w:rsid w:val="000C6899"/>
    <w:rsid w:val="000C7E37"/>
    <w:rsid w:val="000D26F4"/>
    <w:rsid w:val="000D2B28"/>
    <w:rsid w:val="000E0844"/>
    <w:rsid w:val="000E201B"/>
    <w:rsid w:val="000E236E"/>
    <w:rsid w:val="000E2B84"/>
    <w:rsid w:val="000E34C7"/>
    <w:rsid w:val="000E4661"/>
    <w:rsid w:val="000E6136"/>
    <w:rsid w:val="000F2618"/>
    <w:rsid w:val="000F43F3"/>
    <w:rsid w:val="000F56A4"/>
    <w:rsid w:val="000F689C"/>
    <w:rsid w:val="001050FF"/>
    <w:rsid w:val="00105D92"/>
    <w:rsid w:val="00106FED"/>
    <w:rsid w:val="00110182"/>
    <w:rsid w:val="001108EF"/>
    <w:rsid w:val="00110CCA"/>
    <w:rsid w:val="00125638"/>
    <w:rsid w:val="00125F8C"/>
    <w:rsid w:val="00127199"/>
    <w:rsid w:val="001272E8"/>
    <w:rsid w:val="00133353"/>
    <w:rsid w:val="001367F4"/>
    <w:rsid w:val="001402D2"/>
    <w:rsid w:val="001409F7"/>
    <w:rsid w:val="001415BF"/>
    <w:rsid w:val="0014286A"/>
    <w:rsid w:val="00145680"/>
    <w:rsid w:val="00150E98"/>
    <w:rsid w:val="00151AD2"/>
    <w:rsid w:val="0015222E"/>
    <w:rsid w:val="00153D99"/>
    <w:rsid w:val="00154160"/>
    <w:rsid w:val="0015518F"/>
    <w:rsid w:val="00156D36"/>
    <w:rsid w:val="0016195D"/>
    <w:rsid w:val="00161E0B"/>
    <w:rsid w:val="0016597F"/>
    <w:rsid w:val="001677BA"/>
    <w:rsid w:val="00167E8C"/>
    <w:rsid w:val="00171678"/>
    <w:rsid w:val="00171679"/>
    <w:rsid w:val="0017378D"/>
    <w:rsid w:val="00177BB9"/>
    <w:rsid w:val="0018002A"/>
    <w:rsid w:val="001808D4"/>
    <w:rsid w:val="00183F5B"/>
    <w:rsid w:val="00185090"/>
    <w:rsid w:val="00190FC3"/>
    <w:rsid w:val="001910C2"/>
    <w:rsid w:val="00192946"/>
    <w:rsid w:val="001936CE"/>
    <w:rsid w:val="00193B98"/>
    <w:rsid w:val="00196113"/>
    <w:rsid w:val="001973F9"/>
    <w:rsid w:val="001A04AC"/>
    <w:rsid w:val="001A09D4"/>
    <w:rsid w:val="001A180F"/>
    <w:rsid w:val="001A3525"/>
    <w:rsid w:val="001A4B68"/>
    <w:rsid w:val="001A643F"/>
    <w:rsid w:val="001B05CE"/>
    <w:rsid w:val="001B2427"/>
    <w:rsid w:val="001B782C"/>
    <w:rsid w:val="001C07CB"/>
    <w:rsid w:val="001C1534"/>
    <w:rsid w:val="001C2993"/>
    <w:rsid w:val="001C38E7"/>
    <w:rsid w:val="001C3B53"/>
    <w:rsid w:val="001C4A1D"/>
    <w:rsid w:val="001C4A3E"/>
    <w:rsid w:val="001C690E"/>
    <w:rsid w:val="001D1214"/>
    <w:rsid w:val="001D42E0"/>
    <w:rsid w:val="001D4578"/>
    <w:rsid w:val="001D5A04"/>
    <w:rsid w:val="001E187D"/>
    <w:rsid w:val="001E18FF"/>
    <w:rsid w:val="001E282C"/>
    <w:rsid w:val="001E36A9"/>
    <w:rsid w:val="001E43CB"/>
    <w:rsid w:val="001F1420"/>
    <w:rsid w:val="001F1A78"/>
    <w:rsid w:val="001F281B"/>
    <w:rsid w:val="00203176"/>
    <w:rsid w:val="0020484C"/>
    <w:rsid w:val="00206EF3"/>
    <w:rsid w:val="00207843"/>
    <w:rsid w:val="002103B2"/>
    <w:rsid w:val="002121C7"/>
    <w:rsid w:val="00212E52"/>
    <w:rsid w:val="00214B16"/>
    <w:rsid w:val="00215345"/>
    <w:rsid w:val="00217A75"/>
    <w:rsid w:val="00221B43"/>
    <w:rsid w:val="00222460"/>
    <w:rsid w:val="00225952"/>
    <w:rsid w:val="0023127C"/>
    <w:rsid w:val="002323DD"/>
    <w:rsid w:val="0023420F"/>
    <w:rsid w:val="0023679A"/>
    <w:rsid w:val="0024158D"/>
    <w:rsid w:val="0024509B"/>
    <w:rsid w:val="00245792"/>
    <w:rsid w:val="00246BE6"/>
    <w:rsid w:val="00247391"/>
    <w:rsid w:val="0025734B"/>
    <w:rsid w:val="00257EE8"/>
    <w:rsid w:val="00260FAD"/>
    <w:rsid w:val="00261C0B"/>
    <w:rsid w:val="00270AB9"/>
    <w:rsid w:val="002733B3"/>
    <w:rsid w:val="00273F6A"/>
    <w:rsid w:val="00274300"/>
    <w:rsid w:val="0027774B"/>
    <w:rsid w:val="002817FD"/>
    <w:rsid w:val="002827C4"/>
    <w:rsid w:val="00283741"/>
    <w:rsid w:val="00285816"/>
    <w:rsid w:val="00286BDE"/>
    <w:rsid w:val="002947CC"/>
    <w:rsid w:val="00296DA7"/>
    <w:rsid w:val="002978BD"/>
    <w:rsid w:val="002A282C"/>
    <w:rsid w:val="002A48AB"/>
    <w:rsid w:val="002A5C03"/>
    <w:rsid w:val="002B4B72"/>
    <w:rsid w:val="002B501B"/>
    <w:rsid w:val="002B5499"/>
    <w:rsid w:val="002B6D92"/>
    <w:rsid w:val="002B763E"/>
    <w:rsid w:val="002C24D0"/>
    <w:rsid w:val="002C48DE"/>
    <w:rsid w:val="002C70B7"/>
    <w:rsid w:val="002C738E"/>
    <w:rsid w:val="002D08F3"/>
    <w:rsid w:val="002D2342"/>
    <w:rsid w:val="002D3534"/>
    <w:rsid w:val="002D4848"/>
    <w:rsid w:val="002D5E63"/>
    <w:rsid w:val="002D6E7C"/>
    <w:rsid w:val="002E0C2D"/>
    <w:rsid w:val="002E3F3F"/>
    <w:rsid w:val="002E51F0"/>
    <w:rsid w:val="002E7E1A"/>
    <w:rsid w:val="002F3D04"/>
    <w:rsid w:val="002F4F38"/>
    <w:rsid w:val="00300AD6"/>
    <w:rsid w:val="00301C53"/>
    <w:rsid w:val="00301C9F"/>
    <w:rsid w:val="003029B2"/>
    <w:rsid w:val="00303187"/>
    <w:rsid w:val="00305E9D"/>
    <w:rsid w:val="0031020C"/>
    <w:rsid w:val="00310DB8"/>
    <w:rsid w:val="00311A97"/>
    <w:rsid w:val="00312EA1"/>
    <w:rsid w:val="0031409B"/>
    <w:rsid w:val="00315FAB"/>
    <w:rsid w:val="00316364"/>
    <w:rsid w:val="0031690A"/>
    <w:rsid w:val="00323EAF"/>
    <w:rsid w:val="00330667"/>
    <w:rsid w:val="00331ABC"/>
    <w:rsid w:val="00331BAD"/>
    <w:rsid w:val="00331FCA"/>
    <w:rsid w:val="00335AB1"/>
    <w:rsid w:val="00335CA1"/>
    <w:rsid w:val="0034162D"/>
    <w:rsid w:val="0034248A"/>
    <w:rsid w:val="00344ED9"/>
    <w:rsid w:val="003453A3"/>
    <w:rsid w:val="00351B93"/>
    <w:rsid w:val="00352BCA"/>
    <w:rsid w:val="00353866"/>
    <w:rsid w:val="00354D62"/>
    <w:rsid w:val="00356CEB"/>
    <w:rsid w:val="00357E9D"/>
    <w:rsid w:val="003645DD"/>
    <w:rsid w:val="003651A0"/>
    <w:rsid w:val="00365F97"/>
    <w:rsid w:val="003661F4"/>
    <w:rsid w:val="003717BD"/>
    <w:rsid w:val="00373207"/>
    <w:rsid w:val="0037521B"/>
    <w:rsid w:val="003761D5"/>
    <w:rsid w:val="00377869"/>
    <w:rsid w:val="00377FD9"/>
    <w:rsid w:val="003829AF"/>
    <w:rsid w:val="00382DCB"/>
    <w:rsid w:val="00383591"/>
    <w:rsid w:val="00392E68"/>
    <w:rsid w:val="003A5793"/>
    <w:rsid w:val="003B4709"/>
    <w:rsid w:val="003B484F"/>
    <w:rsid w:val="003B58B3"/>
    <w:rsid w:val="003B717C"/>
    <w:rsid w:val="003C2EAC"/>
    <w:rsid w:val="003C4B74"/>
    <w:rsid w:val="003C66EA"/>
    <w:rsid w:val="003C7981"/>
    <w:rsid w:val="003D2D04"/>
    <w:rsid w:val="003D30A7"/>
    <w:rsid w:val="003D4BEE"/>
    <w:rsid w:val="003D5C6D"/>
    <w:rsid w:val="003D67EF"/>
    <w:rsid w:val="003E049D"/>
    <w:rsid w:val="003E0A67"/>
    <w:rsid w:val="003E1EBC"/>
    <w:rsid w:val="003E2AEC"/>
    <w:rsid w:val="003E4BC5"/>
    <w:rsid w:val="003E6850"/>
    <w:rsid w:val="003E777B"/>
    <w:rsid w:val="003F286A"/>
    <w:rsid w:val="003F357E"/>
    <w:rsid w:val="003F4291"/>
    <w:rsid w:val="003F497A"/>
    <w:rsid w:val="003F51A7"/>
    <w:rsid w:val="003F67EF"/>
    <w:rsid w:val="003F734B"/>
    <w:rsid w:val="003F736A"/>
    <w:rsid w:val="0040153A"/>
    <w:rsid w:val="00402AAE"/>
    <w:rsid w:val="00403373"/>
    <w:rsid w:val="00404D6E"/>
    <w:rsid w:val="00405EA2"/>
    <w:rsid w:val="004073C8"/>
    <w:rsid w:val="00410350"/>
    <w:rsid w:val="0041446D"/>
    <w:rsid w:val="004144D3"/>
    <w:rsid w:val="00415045"/>
    <w:rsid w:val="00420BF3"/>
    <w:rsid w:val="00423E88"/>
    <w:rsid w:val="00431642"/>
    <w:rsid w:val="004327BF"/>
    <w:rsid w:val="00434E2A"/>
    <w:rsid w:val="004405AB"/>
    <w:rsid w:val="004405D6"/>
    <w:rsid w:val="00441FFE"/>
    <w:rsid w:val="0044291A"/>
    <w:rsid w:val="00443F89"/>
    <w:rsid w:val="00444F61"/>
    <w:rsid w:val="004467A7"/>
    <w:rsid w:val="00447674"/>
    <w:rsid w:val="004505B2"/>
    <w:rsid w:val="00453F3D"/>
    <w:rsid w:val="004576A1"/>
    <w:rsid w:val="0046007D"/>
    <w:rsid w:val="00460853"/>
    <w:rsid w:val="00460ED7"/>
    <w:rsid w:val="00461633"/>
    <w:rsid w:val="00463362"/>
    <w:rsid w:val="00465A27"/>
    <w:rsid w:val="00466E45"/>
    <w:rsid w:val="00467226"/>
    <w:rsid w:val="0046731B"/>
    <w:rsid w:val="00467B07"/>
    <w:rsid w:val="00470142"/>
    <w:rsid w:val="00470778"/>
    <w:rsid w:val="00470E52"/>
    <w:rsid w:val="00474BA8"/>
    <w:rsid w:val="0047507B"/>
    <w:rsid w:val="00477618"/>
    <w:rsid w:val="004777C9"/>
    <w:rsid w:val="00480293"/>
    <w:rsid w:val="00485725"/>
    <w:rsid w:val="00487730"/>
    <w:rsid w:val="00487E65"/>
    <w:rsid w:val="004904C1"/>
    <w:rsid w:val="00494507"/>
    <w:rsid w:val="00494C80"/>
    <w:rsid w:val="004A0019"/>
    <w:rsid w:val="004A1497"/>
    <w:rsid w:val="004B2A44"/>
    <w:rsid w:val="004B3F48"/>
    <w:rsid w:val="004C0157"/>
    <w:rsid w:val="004C0B1C"/>
    <w:rsid w:val="004C1EC7"/>
    <w:rsid w:val="004C4CB4"/>
    <w:rsid w:val="004C6A03"/>
    <w:rsid w:val="004C6EA2"/>
    <w:rsid w:val="004D3FA9"/>
    <w:rsid w:val="004D4981"/>
    <w:rsid w:val="004D62BB"/>
    <w:rsid w:val="004E1B90"/>
    <w:rsid w:val="004E7C38"/>
    <w:rsid w:val="004F2D96"/>
    <w:rsid w:val="004F3F73"/>
    <w:rsid w:val="004F741F"/>
    <w:rsid w:val="004F7E57"/>
    <w:rsid w:val="00503175"/>
    <w:rsid w:val="00504BFF"/>
    <w:rsid w:val="005170B2"/>
    <w:rsid w:val="005221A9"/>
    <w:rsid w:val="00525DED"/>
    <w:rsid w:val="005310EF"/>
    <w:rsid w:val="00532072"/>
    <w:rsid w:val="0053267C"/>
    <w:rsid w:val="0053288C"/>
    <w:rsid w:val="00537AB6"/>
    <w:rsid w:val="00540D2A"/>
    <w:rsid w:val="00541EB8"/>
    <w:rsid w:val="005445FE"/>
    <w:rsid w:val="0054617E"/>
    <w:rsid w:val="00546AB7"/>
    <w:rsid w:val="00553F75"/>
    <w:rsid w:val="005563D0"/>
    <w:rsid w:val="0056461D"/>
    <w:rsid w:val="0057439F"/>
    <w:rsid w:val="00574978"/>
    <w:rsid w:val="00574CA7"/>
    <w:rsid w:val="005759E5"/>
    <w:rsid w:val="00576E30"/>
    <w:rsid w:val="00577F5C"/>
    <w:rsid w:val="00580570"/>
    <w:rsid w:val="005807B7"/>
    <w:rsid w:val="005816BD"/>
    <w:rsid w:val="00582D19"/>
    <w:rsid w:val="0059035E"/>
    <w:rsid w:val="00590922"/>
    <w:rsid w:val="00592AE8"/>
    <w:rsid w:val="0059490C"/>
    <w:rsid w:val="00594EE7"/>
    <w:rsid w:val="0059625F"/>
    <w:rsid w:val="005A0F06"/>
    <w:rsid w:val="005A36EA"/>
    <w:rsid w:val="005A413A"/>
    <w:rsid w:val="005A591C"/>
    <w:rsid w:val="005A6F76"/>
    <w:rsid w:val="005B00ED"/>
    <w:rsid w:val="005B0FCF"/>
    <w:rsid w:val="005B1ADF"/>
    <w:rsid w:val="005B26E9"/>
    <w:rsid w:val="005B45B4"/>
    <w:rsid w:val="005B5D9E"/>
    <w:rsid w:val="005C14C5"/>
    <w:rsid w:val="005C357C"/>
    <w:rsid w:val="005C5A54"/>
    <w:rsid w:val="005C6B08"/>
    <w:rsid w:val="005D2504"/>
    <w:rsid w:val="005D3301"/>
    <w:rsid w:val="005D43B1"/>
    <w:rsid w:val="005D6F4F"/>
    <w:rsid w:val="005D76B3"/>
    <w:rsid w:val="005D77E2"/>
    <w:rsid w:val="005E081A"/>
    <w:rsid w:val="005E26DB"/>
    <w:rsid w:val="005E2C46"/>
    <w:rsid w:val="005E34CD"/>
    <w:rsid w:val="005F2111"/>
    <w:rsid w:val="005F7EE8"/>
    <w:rsid w:val="006002B1"/>
    <w:rsid w:val="006025CB"/>
    <w:rsid w:val="006029CD"/>
    <w:rsid w:val="006037FC"/>
    <w:rsid w:val="00604CEE"/>
    <w:rsid w:val="0061090E"/>
    <w:rsid w:val="00611F23"/>
    <w:rsid w:val="006121C2"/>
    <w:rsid w:val="00615233"/>
    <w:rsid w:val="00622D06"/>
    <w:rsid w:val="0062423B"/>
    <w:rsid w:val="00624C77"/>
    <w:rsid w:val="00625DE0"/>
    <w:rsid w:val="00625E15"/>
    <w:rsid w:val="00627F56"/>
    <w:rsid w:val="006304A9"/>
    <w:rsid w:val="006357AF"/>
    <w:rsid w:val="00636644"/>
    <w:rsid w:val="00637B31"/>
    <w:rsid w:val="00646A2E"/>
    <w:rsid w:val="00646A8B"/>
    <w:rsid w:val="00646C88"/>
    <w:rsid w:val="00647A23"/>
    <w:rsid w:val="00652595"/>
    <w:rsid w:val="0065478D"/>
    <w:rsid w:val="00657979"/>
    <w:rsid w:val="00663AB1"/>
    <w:rsid w:val="006664D3"/>
    <w:rsid w:val="00667F11"/>
    <w:rsid w:val="00671C93"/>
    <w:rsid w:val="0067334F"/>
    <w:rsid w:val="00675AAD"/>
    <w:rsid w:val="00675AE0"/>
    <w:rsid w:val="00676C9C"/>
    <w:rsid w:val="0068074A"/>
    <w:rsid w:val="00680D42"/>
    <w:rsid w:val="006813AD"/>
    <w:rsid w:val="00682B6D"/>
    <w:rsid w:val="00692602"/>
    <w:rsid w:val="00694A82"/>
    <w:rsid w:val="00697346"/>
    <w:rsid w:val="006A1D50"/>
    <w:rsid w:val="006A60BD"/>
    <w:rsid w:val="006A7A94"/>
    <w:rsid w:val="006C3B0E"/>
    <w:rsid w:val="006C6CB3"/>
    <w:rsid w:val="006D4491"/>
    <w:rsid w:val="006D46F4"/>
    <w:rsid w:val="006D4A9A"/>
    <w:rsid w:val="006D592C"/>
    <w:rsid w:val="006E3C6E"/>
    <w:rsid w:val="006E53E2"/>
    <w:rsid w:val="006F1561"/>
    <w:rsid w:val="006F35F3"/>
    <w:rsid w:val="006F5055"/>
    <w:rsid w:val="006F6B3C"/>
    <w:rsid w:val="00701E3C"/>
    <w:rsid w:val="00703904"/>
    <w:rsid w:val="00703955"/>
    <w:rsid w:val="00706543"/>
    <w:rsid w:val="0070735D"/>
    <w:rsid w:val="00711D91"/>
    <w:rsid w:val="00714410"/>
    <w:rsid w:val="0072274C"/>
    <w:rsid w:val="00726CC0"/>
    <w:rsid w:val="00731F25"/>
    <w:rsid w:val="00732A96"/>
    <w:rsid w:val="007409F9"/>
    <w:rsid w:val="00742397"/>
    <w:rsid w:val="00743714"/>
    <w:rsid w:val="00743901"/>
    <w:rsid w:val="007455FF"/>
    <w:rsid w:val="00745F07"/>
    <w:rsid w:val="00746650"/>
    <w:rsid w:val="007476F1"/>
    <w:rsid w:val="007515C8"/>
    <w:rsid w:val="00753669"/>
    <w:rsid w:val="0075706C"/>
    <w:rsid w:val="00760500"/>
    <w:rsid w:val="00760F32"/>
    <w:rsid w:val="007648B7"/>
    <w:rsid w:val="0077188C"/>
    <w:rsid w:val="00771FF9"/>
    <w:rsid w:val="0077275E"/>
    <w:rsid w:val="00776627"/>
    <w:rsid w:val="00776E26"/>
    <w:rsid w:val="0078178C"/>
    <w:rsid w:val="00781A3F"/>
    <w:rsid w:val="00785663"/>
    <w:rsid w:val="007868E2"/>
    <w:rsid w:val="00787C6C"/>
    <w:rsid w:val="007933F6"/>
    <w:rsid w:val="007943F3"/>
    <w:rsid w:val="0079477D"/>
    <w:rsid w:val="007955F4"/>
    <w:rsid w:val="0079779F"/>
    <w:rsid w:val="007A06F3"/>
    <w:rsid w:val="007A15F1"/>
    <w:rsid w:val="007A228C"/>
    <w:rsid w:val="007A7A5F"/>
    <w:rsid w:val="007A7D87"/>
    <w:rsid w:val="007B1B16"/>
    <w:rsid w:val="007B357E"/>
    <w:rsid w:val="007B36CF"/>
    <w:rsid w:val="007B7822"/>
    <w:rsid w:val="007C3450"/>
    <w:rsid w:val="007C7E0C"/>
    <w:rsid w:val="007D2414"/>
    <w:rsid w:val="007D41E3"/>
    <w:rsid w:val="007D78A9"/>
    <w:rsid w:val="007D794C"/>
    <w:rsid w:val="007F01D2"/>
    <w:rsid w:val="007F0ED4"/>
    <w:rsid w:val="007F3C69"/>
    <w:rsid w:val="007F4A69"/>
    <w:rsid w:val="007F4DDB"/>
    <w:rsid w:val="007F6757"/>
    <w:rsid w:val="008006D8"/>
    <w:rsid w:val="008019C2"/>
    <w:rsid w:val="00801F8F"/>
    <w:rsid w:val="00802476"/>
    <w:rsid w:val="008031F1"/>
    <w:rsid w:val="00804DF3"/>
    <w:rsid w:val="0080752A"/>
    <w:rsid w:val="00807AA0"/>
    <w:rsid w:val="00812538"/>
    <w:rsid w:val="00813B9F"/>
    <w:rsid w:val="0081452A"/>
    <w:rsid w:val="008162D8"/>
    <w:rsid w:val="0081737F"/>
    <w:rsid w:val="00817A86"/>
    <w:rsid w:val="00817C24"/>
    <w:rsid w:val="00825B78"/>
    <w:rsid w:val="00827E9C"/>
    <w:rsid w:val="008305DB"/>
    <w:rsid w:val="0083124D"/>
    <w:rsid w:val="008324DC"/>
    <w:rsid w:val="00833151"/>
    <w:rsid w:val="008349D8"/>
    <w:rsid w:val="00835387"/>
    <w:rsid w:val="00837DD6"/>
    <w:rsid w:val="008430C4"/>
    <w:rsid w:val="008479A0"/>
    <w:rsid w:val="008517AB"/>
    <w:rsid w:val="00851934"/>
    <w:rsid w:val="00853256"/>
    <w:rsid w:val="00853476"/>
    <w:rsid w:val="00855437"/>
    <w:rsid w:val="008564A4"/>
    <w:rsid w:val="008642EF"/>
    <w:rsid w:val="00864DED"/>
    <w:rsid w:val="00864EF5"/>
    <w:rsid w:val="00865971"/>
    <w:rsid w:val="00871511"/>
    <w:rsid w:val="008720A6"/>
    <w:rsid w:val="00874CA3"/>
    <w:rsid w:val="00874F5D"/>
    <w:rsid w:val="00876198"/>
    <w:rsid w:val="00880B93"/>
    <w:rsid w:val="00884AFE"/>
    <w:rsid w:val="008870F4"/>
    <w:rsid w:val="00890C5B"/>
    <w:rsid w:val="00890D68"/>
    <w:rsid w:val="00890D8A"/>
    <w:rsid w:val="00892AC2"/>
    <w:rsid w:val="00892FFC"/>
    <w:rsid w:val="00893DAC"/>
    <w:rsid w:val="00893FA9"/>
    <w:rsid w:val="00895E10"/>
    <w:rsid w:val="00897D08"/>
    <w:rsid w:val="008A04E3"/>
    <w:rsid w:val="008A7BF5"/>
    <w:rsid w:val="008B0C52"/>
    <w:rsid w:val="008B0FBA"/>
    <w:rsid w:val="008B1922"/>
    <w:rsid w:val="008B2EB5"/>
    <w:rsid w:val="008B3C29"/>
    <w:rsid w:val="008B42AD"/>
    <w:rsid w:val="008B78C9"/>
    <w:rsid w:val="008B7E63"/>
    <w:rsid w:val="008C190E"/>
    <w:rsid w:val="008C62F2"/>
    <w:rsid w:val="008D0476"/>
    <w:rsid w:val="008D35FB"/>
    <w:rsid w:val="008D3D0B"/>
    <w:rsid w:val="008D7CF1"/>
    <w:rsid w:val="008E00DA"/>
    <w:rsid w:val="008E3B39"/>
    <w:rsid w:val="008E6B53"/>
    <w:rsid w:val="008E7549"/>
    <w:rsid w:val="008F683F"/>
    <w:rsid w:val="00900319"/>
    <w:rsid w:val="00900F5E"/>
    <w:rsid w:val="0090238F"/>
    <w:rsid w:val="00902F5A"/>
    <w:rsid w:val="00905673"/>
    <w:rsid w:val="00910890"/>
    <w:rsid w:val="0091114E"/>
    <w:rsid w:val="00917E7D"/>
    <w:rsid w:val="00921401"/>
    <w:rsid w:val="0092145B"/>
    <w:rsid w:val="00921959"/>
    <w:rsid w:val="00922311"/>
    <w:rsid w:val="00922901"/>
    <w:rsid w:val="00922FC1"/>
    <w:rsid w:val="00923B25"/>
    <w:rsid w:val="0093260E"/>
    <w:rsid w:val="0093310F"/>
    <w:rsid w:val="0093442A"/>
    <w:rsid w:val="00935113"/>
    <w:rsid w:val="009366B3"/>
    <w:rsid w:val="00943584"/>
    <w:rsid w:val="00946388"/>
    <w:rsid w:val="0094657D"/>
    <w:rsid w:val="00952F0C"/>
    <w:rsid w:val="00954424"/>
    <w:rsid w:val="0095746D"/>
    <w:rsid w:val="00960602"/>
    <w:rsid w:val="009641C8"/>
    <w:rsid w:val="009647E0"/>
    <w:rsid w:val="00966003"/>
    <w:rsid w:val="00977F99"/>
    <w:rsid w:val="009819BD"/>
    <w:rsid w:val="00982500"/>
    <w:rsid w:val="0098517B"/>
    <w:rsid w:val="0099282C"/>
    <w:rsid w:val="00992C6C"/>
    <w:rsid w:val="00995D91"/>
    <w:rsid w:val="00996AD4"/>
    <w:rsid w:val="009973EA"/>
    <w:rsid w:val="009A1133"/>
    <w:rsid w:val="009A2234"/>
    <w:rsid w:val="009A2309"/>
    <w:rsid w:val="009A2D66"/>
    <w:rsid w:val="009A2FED"/>
    <w:rsid w:val="009A6AA5"/>
    <w:rsid w:val="009A7CCA"/>
    <w:rsid w:val="009B0142"/>
    <w:rsid w:val="009B2F0D"/>
    <w:rsid w:val="009B5906"/>
    <w:rsid w:val="009B6BE6"/>
    <w:rsid w:val="009C0FFB"/>
    <w:rsid w:val="009C1D3A"/>
    <w:rsid w:val="009C2D21"/>
    <w:rsid w:val="009C3233"/>
    <w:rsid w:val="009E11FA"/>
    <w:rsid w:val="009E28B4"/>
    <w:rsid w:val="009E4DAA"/>
    <w:rsid w:val="009F729F"/>
    <w:rsid w:val="009F7AF9"/>
    <w:rsid w:val="00A048FD"/>
    <w:rsid w:val="00A06474"/>
    <w:rsid w:val="00A07CE9"/>
    <w:rsid w:val="00A1378D"/>
    <w:rsid w:val="00A176A3"/>
    <w:rsid w:val="00A178C2"/>
    <w:rsid w:val="00A22200"/>
    <w:rsid w:val="00A22CAB"/>
    <w:rsid w:val="00A36629"/>
    <w:rsid w:val="00A36D4E"/>
    <w:rsid w:val="00A41D1B"/>
    <w:rsid w:val="00A43535"/>
    <w:rsid w:val="00A445A7"/>
    <w:rsid w:val="00A51EF5"/>
    <w:rsid w:val="00A535E5"/>
    <w:rsid w:val="00A6299F"/>
    <w:rsid w:val="00A62D08"/>
    <w:rsid w:val="00A64225"/>
    <w:rsid w:val="00A66137"/>
    <w:rsid w:val="00A6696D"/>
    <w:rsid w:val="00A67330"/>
    <w:rsid w:val="00A7049A"/>
    <w:rsid w:val="00A7547E"/>
    <w:rsid w:val="00A75CF0"/>
    <w:rsid w:val="00A7659E"/>
    <w:rsid w:val="00A77B34"/>
    <w:rsid w:val="00A80676"/>
    <w:rsid w:val="00A808A2"/>
    <w:rsid w:val="00A813C8"/>
    <w:rsid w:val="00A83124"/>
    <w:rsid w:val="00A9024F"/>
    <w:rsid w:val="00A91BB0"/>
    <w:rsid w:val="00A95553"/>
    <w:rsid w:val="00A971F3"/>
    <w:rsid w:val="00AA4F75"/>
    <w:rsid w:val="00AA6561"/>
    <w:rsid w:val="00AB00A0"/>
    <w:rsid w:val="00AB0BF4"/>
    <w:rsid w:val="00AB0CA8"/>
    <w:rsid w:val="00AB28DC"/>
    <w:rsid w:val="00AC02BA"/>
    <w:rsid w:val="00AD04BF"/>
    <w:rsid w:val="00AD077E"/>
    <w:rsid w:val="00AD3AF3"/>
    <w:rsid w:val="00AD48B6"/>
    <w:rsid w:val="00AE0AC3"/>
    <w:rsid w:val="00AE1F9E"/>
    <w:rsid w:val="00AE32B5"/>
    <w:rsid w:val="00AE528D"/>
    <w:rsid w:val="00AE5305"/>
    <w:rsid w:val="00AE54F8"/>
    <w:rsid w:val="00AF78B0"/>
    <w:rsid w:val="00B014DF"/>
    <w:rsid w:val="00B014F1"/>
    <w:rsid w:val="00B01FA5"/>
    <w:rsid w:val="00B069A8"/>
    <w:rsid w:val="00B10500"/>
    <w:rsid w:val="00B10ADE"/>
    <w:rsid w:val="00B115B7"/>
    <w:rsid w:val="00B20EA6"/>
    <w:rsid w:val="00B231A8"/>
    <w:rsid w:val="00B23FD4"/>
    <w:rsid w:val="00B25D89"/>
    <w:rsid w:val="00B26C45"/>
    <w:rsid w:val="00B300C0"/>
    <w:rsid w:val="00B31168"/>
    <w:rsid w:val="00B34B9F"/>
    <w:rsid w:val="00B37148"/>
    <w:rsid w:val="00B4194C"/>
    <w:rsid w:val="00B42A79"/>
    <w:rsid w:val="00B44507"/>
    <w:rsid w:val="00B44AC0"/>
    <w:rsid w:val="00B44CDA"/>
    <w:rsid w:val="00B471DB"/>
    <w:rsid w:val="00B47370"/>
    <w:rsid w:val="00B539C8"/>
    <w:rsid w:val="00B56256"/>
    <w:rsid w:val="00B62DEA"/>
    <w:rsid w:val="00B63279"/>
    <w:rsid w:val="00B6425E"/>
    <w:rsid w:val="00B715FB"/>
    <w:rsid w:val="00B71B90"/>
    <w:rsid w:val="00B72DD9"/>
    <w:rsid w:val="00B7515B"/>
    <w:rsid w:val="00B7537D"/>
    <w:rsid w:val="00B7701A"/>
    <w:rsid w:val="00B90D08"/>
    <w:rsid w:val="00B94071"/>
    <w:rsid w:val="00B94E3F"/>
    <w:rsid w:val="00B96B03"/>
    <w:rsid w:val="00BA4A72"/>
    <w:rsid w:val="00BA68D3"/>
    <w:rsid w:val="00BA6ACF"/>
    <w:rsid w:val="00BB148D"/>
    <w:rsid w:val="00BB24AF"/>
    <w:rsid w:val="00BB71A7"/>
    <w:rsid w:val="00BC1907"/>
    <w:rsid w:val="00BC2574"/>
    <w:rsid w:val="00BC3067"/>
    <w:rsid w:val="00BC3B66"/>
    <w:rsid w:val="00BC61C1"/>
    <w:rsid w:val="00BC6A9F"/>
    <w:rsid w:val="00BC746D"/>
    <w:rsid w:val="00BD09F8"/>
    <w:rsid w:val="00BD2EBB"/>
    <w:rsid w:val="00BD79DD"/>
    <w:rsid w:val="00BE18AC"/>
    <w:rsid w:val="00BE2244"/>
    <w:rsid w:val="00BE2E9A"/>
    <w:rsid w:val="00BE2F22"/>
    <w:rsid w:val="00BE364A"/>
    <w:rsid w:val="00BE48F5"/>
    <w:rsid w:val="00BF096D"/>
    <w:rsid w:val="00BF59A7"/>
    <w:rsid w:val="00BF78ED"/>
    <w:rsid w:val="00C01EFD"/>
    <w:rsid w:val="00C03DD1"/>
    <w:rsid w:val="00C04F0C"/>
    <w:rsid w:val="00C051D9"/>
    <w:rsid w:val="00C102BD"/>
    <w:rsid w:val="00C13EED"/>
    <w:rsid w:val="00C17EA9"/>
    <w:rsid w:val="00C23B8D"/>
    <w:rsid w:val="00C23C29"/>
    <w:rsid w:val="00C242F6"/>
    <w:rsid w:val="00C2509E"/>
    <w:rsid w:val="00C25630"/>
    <w:rsid w:val="00C263B5"/>
    <w:rsid w:val="00C27640"/>
    <w:rsid w:val="00C27BEF"/>
    <w:rsid w:val="00C33BAB"/>
    <w:rsid w:val="00C362F1"/>
    <w:rsid w:val="00C36CEA"/>
    <w:rsid w:val="00C37954"/>
    <w:rsid w:val="00C40454"/>
    <w:rsid w:val="00C43E8A"/>
    <w:rsid w:val="00C441B5"/>
    <w:rsid w:val="00C4450E"/>
    <w:rsid w:val="00C44B54"/>
    <w:rsid w:val="00C45ACC"/>
    <w:rsid w:val="00C45C61"/>
    <w:rsid w:val="00C5101B"/>
    <w:rsid w:val="00C52ECD"/>
    <w:rsid w:val="00C530B2"/>
    <w:rsid w:val="00C54A07"/>
    <w:rsid w:val="00C577BC"/>
    <w:rsid w:val="00C60397"/>
    <w:rsid w:val="00C66039"/>
    <w:rsid w:val="00C665AA"/>
    <w:rsid w:val="00C72B00"/>
    <w:rsid w:val="00C74543"/>
    <w:rsid w:val="00C758AA"/>
    <w:rsid w:val="00C82431"/>
    <w:rsid w:val="00C82901"/>
    <w:rsid w:val="00C82F0F"/>
    <w:rsid w:val="00CA0FC0"/>
    <w:rsid w:val="00CA2D2A"/>
    <w:rsid w:val="00CA42D8"/>
    <w:rsid w:val="00CB0F92"/>
    <w:rsid w:val="00CB353E"/>
    <w:rsid w:val="00CB52ED"/>
    <w:rsid w:val="00CB5B1D"/>
    <w:rsid w:val="00CB739D"/>
    <w:rsid w:val="00CC0B03"/>
    <w:rsid w:val="00CC29F2"/>
    <w:rsid w:val="00CC3A35"/>
    <w:rsid w:val="00CC4276"/>
    <w:rsid w:val="00CC6B14"/>
    <w:rsid w:val="00CC710E"/>
    <w:rsid w:val="00CC76AC"/>
    <w:rsid w:val="00CD11B0"/>
    <w:rsid w:val="00CD2B42"/>
    <w:rsid w:val="00CD2FD0"/>
    <w:rsid w:val="00CD464C"/>
    <w:rsid w:val="00CD79B5"/>
    <w:rsid w:val="00CE48B9"/>
    <w:rsid w:val="00CE4E05"/>
    <w:rsid w:val="00CE5255"/>
    <w:rsid w:val="00CF313A"/>
    <w:rsid w:val="00CF40AE"/>
    <w:rsid w:val="00CF7C14"/>
    <w:rsid w:val="00D01ABE"/>
    <w:rsid w:val="00D02074"/>
    <w:rsid w:val="00D02A5E"/>
    <w:rsid w:val="00D03BA2"/>
    <w:rsid w:val="00D04437"/>
    <w:rsid w:val="00D049B3"/>
    <w:rsid w:val="00D0625B"/>
    <w:rsid w:val="00D2064D"/>
    <w:rsid w:val="00D220B8"/>
    <w:rsid w:val="00D229D5"/>
    <w:rsid w:val="00D277B8"/>
    <w:rsid w:val="00D30FB2"/>
    <w:rsid w:val="00D317A2"/>
    <w:rsid w:val="00D322CE"/>
    <w:rsid w:val="00D347A2"/>
    <w:rsid w:val="00D34E94"/>
    <w:rsid w:val="00D36B24"/>
    <w:rsid w:val="00D37202"/>
    <w:rsid w:val="00D448AD"/>
    <w:rsid w:val="00D4622A"/>
    <w:rsid w:val="00D47513"/>
    <w:rsid w:val="00D47C80"/>
    <w:rsid w:val="00D52BF1"/>
    <w:rsid w:val="00D622A6"/>
    <w:rsid w:val="00D64E71"/>
    <w:rsid w:val="00D70A5D"/>
    <w:rsid w:val="00D7374E"/>
    <w:rsid w:val="00D75A66"/>
    <w:rsid w:val="00D75F20"/>
    <w:rsid w:val="00D76555"/>
    <w:rsid w:val="00D811CF"/>
    <w:rsid w:val="00D82203"/>
    <w:rsid w:val="00D85EBD"/>
    <w:rsid w:val="00D940B5"/>
    <w:rsid w:val="00D9410E"/>
    <w:rsid w:val="00D9476C"/>
    <w:rsid w:val="00DA2590"/>
    <w:rsid w:val="00DA77A0"/>
    <w:rsid w:val="00DB013D"/>
    <w:rsid w:val="00DB5028"/>
    <w:rsid w:val="00DB64F2"/>
    <w:rsid w:val="00DC1BAE"/>
    <w:rsid w:val="00DC1C70"/>
    <w:rsid w:val="00DC30E9"/>
    <w:rsid w:val="00DC64CC"/>
    <w:rsid w:val="00DD285D"/>
    <w:rsid w:val="00DD55F0"/>
    <w:rsid w:val="00DE19B0"/>
    <w:rsid w:val="00DE2157"/>
    <w:rsid w:val="00DE4F53"/>
    <w:rsid w:val="00DE5723"/>
    <w:rsid w:val="00DE5CF9"/>
    <w:rsid w:val="00DE7444"/>
    <w:rsid w:val="00DE792D"/>
    <w:rsid w:val="00DF0A89"/>
    <w:rsid w:val="00DF1268"/>
    <w:rsid w:val="00DF3961"/>
    <w:rsid w:val="00DF493D"/>
    <w:rsid w:val="00E001F3"/>
    <w:rsid w:val="00E01BCC"/>
    <w:rsid w:val="00E01E8F"/>
    <w:rsid w:val="00E02292"/>
    <w:rsid w:val="00E041A7"/>
    <w:rsid w:val="00E0591C"/>
    <w:rsid w:val="00E064C1"/>
    <w:rsid w:val="00E1345A"/>
    <w:rsid w:val="00E13ED6"/>
    <w:rsid w:val="00E15BDD"/>
    <w:rsid w:val="00E15D17"/>
    <w:rsid w:val="00E17640"/>
    <w:rsid w:val="00E2367D"/>
    <w:rsid w:val="00E23B76"/>
    <w:rsid w:val="00E30BDF"/>
    <w:rsid w:val="00E30C71"/>
    <w:rsid w:val="00E30D13"/>
    <w:rsid w:val="00E3469D"/>
    <w:rsid w:val="00E4013C"/>
    <w:rsid w:val="00E40E4F"/>
    <w:rsid w:val="00E43ABB"/>
    <w:rsid w:val="00E4551B"/>
    <w:rsid w:val="00E53480"/>
    <w:rsid w:val="00E56628"/>
    <w:rsid w:val="00E5714E"/>
    <w:rsid w:val="00E613A7"/>
    <w:rsid w:val="00E62EBE"/>
    <w:rsid w:val="00E642FE"/>
    <w:rsid w:val="00E700FF"/>
    <w:rsid w:val="00E70A65"/>
    <w:rsid w:val="00E722F3"/>
    <w:rsid w:val="00E75605"/>
    <w:rsid w:val="00E767AC"/>
    <w:rsid w:val="00E76AFE"/>
    <w:rsid w:val="00E80F46"/>
    <w:rsid w:val="00E83BD6"/>
    <w:rsid w:val="00E8531E"/>
    <w:rsid w:val="00E867C3"/>
    <w:rsid w:val="00E907A2"/>
    <w:rsid w:val="00E918B1"/>
    <w:rsid w:val="00E93CE6"/>
    <w:rsid w:val="00E96565"/>
    <w:rsid w:val="00E97CC3"/>
    <w:rsid w:val="00EA0A7F"/>
    <w:rsid w:val="00EA0DB5"/>
    <w:rsid w:val="00EA0EC8"/>
    <w:rsid w:val="00EA3518"/>
    <w:rsid w:val="00EA3F0A"/>
    <w:rsid w:val="00EB0DCF"/>
    <w:rsid w:val="00EB470D"/>
    <w:rsid w:val="00EB593F"/>
    <w:rsid w:val="00EB7356"/>
    <w:rsid w:val="00EB7D7E"/>
    <w:rsid w:val="00EB7E5A"/>
    <w:rsid w:val="00EC0346"/>
    <w:rsid w:val="00EC17C3"/>
    <w:rsid w:val="00EC233A"/>
    <w:rsid w:val="00EC24D0"/>
    <w:rsid w:val="00EC2606"/>
    <w:rsid w:val="00EC39AB"/>
    <w:rsid w:val="00EC5837"/>
    <w:rsid w:val="00EC6C3C"/>
    <w:rsid w:val="00ED0BB4"/>
    <w:rsid w:val="00ED14D7"/>
    <w:rsid w:val="00ED1E70"/>
    <w:rsid w:val="00ED3624"/>
    <w:rsid w:val="00EE1226"/>
    <w:rsid w:val="00EE1739"/>
    <w:rsid w:val="00EE2021"/>
    <w:rsid w:val="00EE6A00"/>
    <w:rsid w:val="00EE762B"/>
    <w:rsid w:val="00EF198D"/>
    <w:rsid w:val="00EF495A"/>
    <w:rsid w:val="00EF5CA4"/>
    <w:rsid w:val="00EF6740"/>
    <w:rsid w:val="00EF6978"/>
    <w:rsid w:val="00EF7E20"/>
    <w:rsid w:val="00F014E9"/>
    <w:rsid w:val="00F01A14"/>
    <w:rsid w:val="00F026E0"/>
    <w:rsid w:val="00F05971"/>
    <w:rsid w:val="00F15C46"/>
    <w:rsid w:val="00F17001"/>
    <w:rsid w:val="00F171A6"/>
    <w:rsid w:val="00F17E6E"/>
    <w:rsid w:val="00F20422"/>
    <w:rsid w:val="00F22412"/>
    <w:rsid w:val="00F22BBB"/>
    <w:rsid w:val="00F23E9C"/>
    <w:rsid w:val="00F242DD"/>
    <w:rsid w:val="00F26288"/>
    <w:rsid w:val="00F303A8"/>
    <w:rsid w:val="00F321B6"/>
    <w:rsid w:val="00F34665"/>
    <w:rsid w:val="00F346D4"/>
    <w:rsid w:val="00F401E9"/>
    <w:rsid w:val="00F40CC2"/>
    <w:rsid w:val="00F475CC"/>
    <w:rsid w:val="00F51776"/>
    <w:rsid w:val="00F52007"/>
    <w:rsid w:val="00F53455"/>
    <w:rsid w:val="00F53B0F"/>
    <w:rsid w:val="00F543C3"/>
    <w:rsid w:val="00F54DD5"/>
    <w:rsid w:val="00F60529"/>
    <w:rsid w:val="00F6135F"/>
    <w:rsid w:val="00F7549A"/>
    <w:rsid w:val="00F756FB"/>
    <w:rsid w:val="00F83236"/>
    <w:rsid w:val="00F83396"/>
    <w:rsid w:val="00F872F3"/>
    <w:rsid w:val="00F87BF3"/>
    <w:rsid w:val="00F93C95"/>
    <w:rsid w:val="00F955A2"/>
    <w:rsid w:val="00FA2558"/>
    <w:rsid w:val="00FA2993"/>
    <w:rsid w:val="00FA2BDC"/>
    <w:rsid w:val="00FB2FD8"/>
    <w:rsid w:val="00FB4445"/>
    <w:rsid w:val="00FB6693"/>
    <w:rsid w:val="00FB70E4"/>
    <w:rsid w:val="00FC0DD7"/>
    <w:rsid w:val="00FC1BC9"/>
    <w:rsid w:val="00FC2224"/>
    <w:rsid w:val="00FC4FE0"/>
    <w:rsid w:val="00FC6357"/>
    <w:rsid w:val="00FD12C6"/>
    <w:rsid w:val="00FD629F"/>
    <w:rsid w:val="00FE5F6B"/>
    <w:rsid w:val="00FE732D"/>
    <w:rsid w:val="00FF036B"/>
    <w:rsid w:val="00FF1363"/>
    <w:rsid w:val="00FF1488"/>
    <w:rsid w:val="00FF1B98"/>
    <w:rsid w:val="00FF1BD7"/>
    <w:rsid w:val="00FF4926"/>
    <w:rsid w:val="00FF568C"/>
    <w:rsid w:val="00FF60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3F8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paragraph" w:styleId="Heading2">
    <w:name w:val="heading 2"/>
    <w:basedOn w:val="Normal"/>
    <w:next w:val="Normal"/>
    <w:link w:val="Heading2Char"/>
    <w:uiPriority w:val="9"/>
    <w:unhideWhenUsed/>
    <w:qFormat/>
    <w:rsid w:val="007A15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53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D91"/>
    <w:pPr>
      <w:ind w:left="720"/>
      <w:contextualSpacing/>
    </w:pPr>
  </w:style>
  <w:style w:type="paragraph" w:styleId="BalloonText">
    <w:name w:val="Balloon Text"/>
    <w:basedOn w:val="Normal"/>
    <w:link w:val="BalloonTextChar"/>
    <w:uiPriority w:val="99"/>
    <w:semiHidden/>
    <w:unhideWhenUsed/>
    <w:rsid w:val="00443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F89"/>
    <w:rPr>
      <w:rFonts w:ascii="Tahoma" w:hAnsi="Tahoma" w:cs="Tahoma"/>
      <w:sz w:val="16"/>
      <w:szCs w:val="16"/>
    </w:rPr>
  </w:style>
  <w:style w:type="character" w:customStyle="1" w:styleId="Heading1Char">
    <w:name w:val="Heading 1 Char"/>
    <w:basedOn w:val="DefaultParagraphFont"/>
    <w:link w:val="Heading1"/>
    <w:uiPriority w:val="9"/>
    <w:rsid w:val="00443F89"/>
    <w:rPr>
      <w:rFonts w:asciiTheme="majorHAnsi" w:eastAsiaTheme="majorEastAsia" w:hAnsiTheme="majorHAnsi" w:cstheme="majorBidi"/>
      <w:b/>
      <w:bCs/>
      <w:color w:val="365F91" w:themeColor="accent1" w:themeShade="BF"/>
      <w:sz w:val="28"/>
      <w:szCs w:val="28"/>
      <w:lang w:eastAsia="en-US" w:bidi="en-US"/>
    </w:rPr>
  </w:style>
  <w:style w:type="character" w:customStyle="1" w:styleId="Heading3Char">
    <w:name w:val="Heading 3 Char"/>
    <w:basedOn w:val="DefaultParagraphFont"/>
    <w:link w:val="Heading3"/>
    <w:uiPriority w:val="9"/>
    <w:rsid w:val="00E8531E"/>
    <w:rPr>
      <w:rFonts w:asciiTheme="majorHAnsi" w:eastAsiaTheme="majorEastAsia" w:hAnsiTheme="majorHAnsi" w:cstheme="majorBidi"/>
      <w:b/>
      <w:bCs/>
      <w:color w:val="4F81BD" w:themeColor="accent1"/>
    </w:rPr>
  </w:style>
  <w:style w:type="paragraph" w:styleId="FootnoteText">
    <w:name w:val="footnote text"/>
    <w:aliases w:val="ALTS FOOTNOTE,Schriftart: 9 pt,Schriftart: 10 pt,Schriftart: 8 pt,WB-Fuكnotentext,Footnote text,Footnote Text Char Char Char Char,Footnote Text Char Char,Footnote Text Char Char Char Char Char,Char"/>
    <w:basedOn w:val="Normal"/>
    <w:link w:val="FootnoteTextChar"/>
    <w:uiPriority w:val="99"/>
    <w:rsid w:val="00E8531E"/>
    <w:pPr>
      <w:spacing w:after="0" w:line="240" w:lineRule="auto"/>
    </w:pPr>
    <w:rPr>
      <w:rFonts w:eastAsia="SimSun" w:cs="Times New Roman"/>
      <w:sz w:val="20"/>
      <w:szCs w:val="20"/>
      <w:lang w:val="en-GB"/>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
    <w:basedOn w:val="DefaultParagraphFont"/>
    <w:link w:val="FootnoteText"/>
    <w:uiPriority w:val="99"/>
    <w:rsid w:val="00E8531E"/>
    <w:rPr>
      <w:rFonts w:eastAsia="SimSun" w:cs="Times New Roman"/>
      <w:sz w:val="20"/>
      <w:szCs w:val="20"/>
      <w:lang w:val="en-GB"/>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uiPriority w:val="99"/>
    <w:rsid w:val="00E8531E"/>
    <w:rPr>
      <w:vertAlign w:val="superscript"/>
    </w:rPr>
  </w:style>
  <w:style w:type="character" w:styleId="Hyperlink">
    <w:name w:val="Hyperlink"/>
    <w:basedOn w:val="DefaultParagraphFont"/>
    <w:uiPriority w:val="99"/>
    <w:rsid w:val="00E8531E"/>
    <w:rPr>
      <w:color w:val="0000FF"/>
      <w:u w:val="single"/>
    </w:rPr>
  </w:style>
  <w:style w:type="paragraph" w:styleId="Title">
    <w:name w:val="Title"/>
    <w:basedOn w:val="Normal"/>
    <w:next w:val="Normal"/>
    <w:link w:val="TitleChar"/>
    <w:qFormat/>
    <w:rsid w:val="00E853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8"/>
      <w:szCs w:val="52"/>
      <w:lang w:val="en-GB"/>
    </w:rPr>
  </w:style>
  <w:style w:type="character" w:customStyle="1" w:styleId="TitleChar">
    <w:name w:val="Title Char"/>
    <w:basedOn w:val="DefaultParagraphFont"/>
    <w:link w:val="Title"/>
    <w:rsid w:val="00E8531E"/>
    <w:rPr>
      <w:rFonts w:asciiTheme="majorHAnsi" w:eastAsiaTheme="majorEastAsia" w:hAnsiTheme="majorHAnsi" w:cstheme="majorBidi"/>
      <w:color w:val="17365D" w:themeColor="text2" w:themeShade="BF"/>
      <w:spacing w:val="5"/>
      <w:kern w:val="28"/>
      <w:sz w:val="28"/>
      <w:szCs w:val="52"/>
      <w:lang w:val="en-GB"/>
    </w:rPr>
  </w:style>
  <w:style w:type="paragraph" w:styleId="Header">
    <w:name w:val="header"/>
    <w:basedOn w:val="Normal"/>
    <w:link w:val="HeaderChar"/>
    <w:uiPriority w:val="99"/>
    <w:unhideWhenUsed/>
    <w:rsid w:val="00BF5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9A7"/>
  </w:style>
  <w:style w:type="paragraph" w:styleId="Footer">
    <w:name w:val="footer"/>
    <w:basedOn w:val="Normal"/>
    <w:link w:val="FooterChar"/>
    <w:unhideWhenUsed/>
    <w:rsid w:val="00BF5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9A7"/>
  </w:style>
  <w:style w:type="character" w:styleId="CommentReference">
    <w:name w:val="annotation reference"/>
    <w:basedOn w:val="DefaultParagraphFont"/>
    <w:uiPriority w:val="99"/>
    <w:semiHidden/>
    <w:unhideWhenUsed/>
    <w:rsid w:val="0031409B"/>
    <w:rPr>
      <w:sz w:val="16"/>
      <w:szCs w:val="16"/>
    </w:rPr>
  </w:style>
  <w:style w:type="paragraph" w:styleId="CommentText">
    <w:name w:val="annotation text"/>
    <w:basedOn w:val="Normal"/>
    <w:link w:val="CommentTextChar"/>
    <w:uiPriority w:val="99"/>
    <w:semiHidden/>
    <w:unhideWhenUsed/>
    <w:rsid w:val="0031409B"/>
    <w:pPr>
      <w:spacing w:line="240" w:lineRule="auto"/>
    </w:pPr>
    <w:rPr>
      <w:sz w:val="20"/>
      <w:szCs w:val="20"/>
    </w:rPr>
  </w:style>
  <w:style w:type="character" w:customStyle="1" w:styleId="CommentTextChar">
    <w:name w:val="Comment Text Char"/>
    <w:basedOn w:val="DefaultParagraphFont"/>
    <w:link w:val="CommentText"/>
    <w:uiPriority w:val="99"/>
    <w:semiHidden/>
    <w:rsid w:val="0031409B"/>
    <w:rPr>
      <w:sz w:val="20"/>
      <w:szCs w:val="20"/>
    </w:rPr>
  </w:style>
  <w:style w:type="paragraph" w:styleId="CommentSubject">
    <w:name w:val="annotation subject"/>
    <w:basedOn w:val="CommentText"/>
    <w:next w:val="CommentText"/>
    <w:link w:val="CommentSubjectChar"/>
    <w:uiPriority w:val="99"/>
    <w:semiHidden/>
    <w:unhideWhenUsed/>
    <w:rsid w:val="0031409B"/>
    <w:rPr>
      <w:b/>
      <w:bCs/>
    </w:rPr>
  </w:style>
  <w:style w:type="character" w:customStyle="1" w:styleId="CommentSubjectChar">
    <w:name w:val="Comment Subject Char"/>
    <w:basedOn w:val="CommentTextChar"/>
    <w:link w:val="CommentSubject"/>
    <w:uiPriority w:val="99"/>
    <w:semiHidden/>
    <w:rsid w:val="0031409B"/>
    <w:rPr>
      <w:b/>
      <w:bCs/>
      <w:sz w:val="20"/>
      <w:szCs w:val="20"/>
    </w:rPr>
  </w:style>
  <w:style w:type="paragraph" w:styleId="NormalWeb">
    <w:name w:val="Normal (Web)"/>
    <w:basedOn w:val="Normal"/>
    <w:uiPriority w:val="99"/>
    <w:rsid w:val="00E0591C"/>
    <w:pPr>
      <w:spacing w:before="100" w:after="100" w:line="240" w:lineRule="atLeast"/>
    </w:pPr>
    <w:rPr>
      <w:rFonts w:ascii="Verdana" w:hAnsi="Verdana" w:cs="Times New Roman"/>
      <w:color w:val="000000"/>
      <w:sz w:val="18"/>
      <w:szCs w:val="18"/>
      <w:lang w:eastAsia="en-US" w:bidi="en-US"/>
    </w:rPr>
  </w:style>
  <w:style w:type="character" w:customStyle="1" w:styleId="Heading2Char">
    <w:name w:val="Heading 2 Char"/>
    <w:basedOn w:val="DefaultParagraphFont"/>
    <w:link w:val="Heading2"/>
    <w:uiPriority w:val="9"/>
    <w:rsid w:val="007A15F1"/>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rsid w:val="007A15F1"/>
    <w:pPr>
      <w:spacing w:after="0" w:line="240" w:lineRule="auto"/>
    </w:pPr>
    <w:rPr>
      <w:rFonts w:eastAsia="SimSun" w:cs="Times New Roman"/>
      <w:sz w:val="20"/>
      <w:szCs w:val="20"/>
      <w:lang w:val="en-GB"/>
    </w:rPr>
  </w:style>
  <w:style w:type="character" w:customStyle="1" w:styleId="EndnoteTextChar">
    <w:name w:val="Endnote Text Char"/>
    <w:basedOn w:val="DefaultParagraphFont"/>
    <w:link w:val="EndnoteText"/>
    <w:uiPriority w:val="99"/>
    <w:rsid w:val="007A15F1"/>
    <w:rPr>
      <w:rFonts w:eastAsia="SimSun" w:cs="Times New Roman"/>
      <w:sz w:val="20"/>
      <w:szCs w:val="20"/>
      <w:lang w:val="en-GB"/>
    </w:rPr>
  </w:style>
  <w:style w:type="character" w:styleId="EndnoteReference">
    <w:name w:val="endnote reference"/>
    <w:basedOn w:val="DefaultParagraphFont"/>
    <w:uiPriority w:val="99"/>
    <w:qFormat/>
    <w:rsid w:val="007A15F1"/>
    <w:rPr>
      <w:vertAlign w:val="superscript"/>
    </w:rPr>
  </w:style>
  <w:style w:type="character" w:styleId="FollowedHyperlink">
    <w:name w:val="FollowedHyperlink"/>
    <w:basedOn w:val="DefaultParagraphFont"/>
    <w:uiPriority w:val="99"/>
    <w:semiHidden/>
    <w:unhideWhenUsed/>
    <w:rsid w:val="00781A3F"/>
    <w:rPr>
      <w:color w:val="800080" w:themeColor="followedHyperlink"/>
      <w:u w:val="single"/>
    </w:rPr>
  </w:style>
  <w:style w:type="paragraph" w:styleId="BodyText">
    <w:name w:val="Body Text"/>
    <w:basedOn w:val="Normal"/>
    <w:link w:val="BodyTextChar"/>
    <w:rsid w:val="00D4622A"/>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D4622A"/>
    <w:rPr>
      <w:rFonts w:ascii="Times New Roman" w:eastAsia="Times New Roman" w:hAnsi="Times New Roman" w:cs="Times New Roman"/>
      <w:sz w:val="24"/>
      <w:szCs w:val="24"/>
      <w:lang w:eastAsia="ar-SA"/>
    </w:rPr>
  </w:style>
  <w:style w:type="paragraph" w:customStyle="1" w:styleId="BasicParagraph">
    <w:name w:val="[Basic Paragraph]"/>
    <w:basedOn w:val="Normal"/>
    <w:rsid w:val="00D4622A"/>
    <w:pPr>
      <w:suppressAutoHyphens/>
      <w:autoSpaceDE w:val="0"/>
      <w:autoSpaceDN w:val="0"/>
      <w:adjustRightInd w:val="0"/>
      <w:spacing w:after="0" w:line="288" w:lineRule="auto"/>
      <w:textAlignment w:val="center"/>
    </w:pPr>
    <w:rPr>
      <w:rFonts w:ascii="Arial" w:eastAsia="SimSun" w:hAnsi="Arial" w:cs="Arial"/>
      <w:color w:val="006195"/>
      <w:sz w:val="26"/>
      <w:szCs w:val="26"/>
      <w:lang w:val="en-GB"/>
    </w:rPr>
  </w:style>
  <w:style w:type="paragraph" w:styleId="Revision">
    <w:name w:val="Revision"/>
    <w:hidden/>
    <w:uiPriority w:val="99"/>
    <w:semiHidden/>
    <w:rsid w:val="00892FFC"/>
    <w:pPr>
      <w:spacing w:after="0" w:line="240" w:lineRule="auto"/>
    </w:pPr>
  </w:style>
  <w:style w:type="paragraph" w:customStyle="1" w:styleId="CEONormal">
    <w:name w:val="CEO_Normal"/>
    <w:link w:val="CEONormalChar"/>
    <w:rsid w:val="00037E8F"/>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rsid w:val="00037E8F"/>
    <w:rPr>
      <w:rFonts w:ascii="Calibri" w:eastAsia="SimSun" w:hAnsi="Calibri" w:cs="Simplified Arabic"/>
      <w:szCs w:val="19"/>
      <w:lang w:val="en-GB" w:eastAsia="en-US"/>
    </w:rPr>
  </w:style>
  <w:style w:type="paragraph" w:customStyle="1" w:styleId="CEOForAction">
    <w:name w:val="CEO_ForAction"/>
    <w:basedOn w:val="CEONormal"/>
    <w:next w:val="CEOSourceTitle"/>
    <w:rsid w:val="00037E8F"/>
    <w:pPr>
      <w:spacing w:before="160"/>
      <w:ind w:left="1593"/>
    </w:pPr>
    <w:rPr>
      <w:b/>
      <w:bCs/>
      <w:iCs/>
    </w:rPr>
  </w:style>
  <w:style w:type="paragraph" w:customStyle="1" w:styleId="CEOSourceTitle">
    <w:name w:val="CEO_Source_Title"/>
    <w:basedOn w:val="CEONormal"/>
    <w:rsid w:val="00037E8F"/>
    <w:pPr>
      <w:spacing w:before="0"/>
    </w:pPr>
    <w:rPr>
      <w:b/>
      <w:bCs/>
    </w:rPr>
  </w:style>
  <w:style w:type="paragraph" w:customStyle="1" w:styleId="CEODocDates">
    <w:name w:val="CEO_DocDates"/>
    <w:basedOn w:val="CEONormal"/>
    <w:next w:val="CEOOriginalLanguage"/>
    <w:rsid w:val="00037E8F"/>
    <w:pPr>
      <w:spacing w:before="0" w:after="0"/>
    </w:pPr>
    <w:rPr>
      <w:b/>
      <w:bCs/>
    </w:rPr>
  </w:style>
  <w:style w:type="paragraph" w:customStyle="1" w:styleId="CEOOriginalLanguage">
    <w:name w:val="CEO_OriginalLanguage"/>
    <w:basedOn w:val="CEONormal"/>
    <w:next w:val="CEONormal"/>
    <w:rsid w:val="00037E8F"/>
    <w:rPr>
      <w:b/>
      <w:bCs/>
    </w:rPr>
  </w:style>
  <w:style w:type="paragraph" w:customStyle="1" w:styleId="CEODocNo">
    <w:name w:val="CEO_DocNo"/>
    <w:basedOn w:val="CEONormal"/>
    <w:next w:val="CEODocDates"/>
    <w:rsid w:val="00037E8F"/>
    <w:pPr>
      <w:spacing w:before="0" w:after="0"/>
    </w:pPr>
    <w:rPr>
      <w:b/>
      <w:bCs/>
    </w:rPr>
  </w:style>
  <w:style w:type="paragraph" w:customStyle="1" w:styleId="CEOMeetingDates">
    <w:name w:val="CEO_MeetingDates"/>
    <w:basedOn w:val="CEONormal"/>
    <w:rsid w:val="00037E8F"/>
    <w:pPr>
      <w:spacing w:before="0" w:after="40"/>
    </w:pPr>
    <w:rPr>
      <w:b/>
      <w:bCs/>
      <w:sz w:val="24"/>
    </w:rPr>
  </w:style>
  <w:style w:type="paragraph" w:customStyle="1" w:styleId="CEOMeetingName">
    <w:name w:val="CEO_MeetingName"/>
    <w:rsid w:val="00037E8F"/>
    <w:pPr>
      <w:spacing w:after="0" w:line="240" w:lineRule="auto"/>
    </w:pPr>
    <w:rPr>
      <w:rFonts w:ascii="Calibri" w:eastAsia="SimSun" w:hAnsi="Calibri" w:cs="Simplified Arabic"/>
      <w:b/>
      <w:bCs/>
      <w:sz w:val="24"/>
      <w:szCs w:val="19"/>
      <w:lang w:val="en-GB" w:eastAsia="en-US"/>
    </w:rPr>
  </w:style>
  <w:style w:type="paragraph" w:customStyle="1" w:styleId="CEOSectorName">
    <w:name w:val="CEO_SectorName"/>
    <w:rsid w:val="00037E8F"/>
    <w:pPr>
      <w:spacing w:after="0" w:line="240" w:lineRule="auto"/>
    </w:pPr>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037E8F"/>
    <w:pPr>
      <w:spacing w:before="120"/>
    </w:pPr>
    <w:rPr>
      <w:b w:val="0"/>
      <w:bCs w:val="0"/>
    </w:rPr>
  </w:style>
  <w:style w:type="paragraph" w:customStyle="1" w:styleId="CEOLogo">
    <w:name w:val="CEO_Logo"/>
    <w:basedOn w:val="CEONormal"/>
    <w:rsid w:val="00037E8F"/>
    <w:pPr>
      <w:spacing w:before="0" w:after="0"/>
      <w:jc w:val="right"/>
    </w:pPr>
  </w:style>
  <w:style w:type="paragraph" w:customStyle="1" w:styleId="CEOSpace">
    <w:name w:val="CEO_Space"/>
    <w:qFormat/>
    <w:rsid w:val="00037E8F"/>
    <w:pPr>
      <w:spacing w:after="0" w:line="240" w:lineRule="auto"/>
    </w:pPr>
    <w:rPr>
      <w:rFonts w:ascii="Verdana" w:eastAsia="SimHei" w:hAnsi="Verdana" w:cs="Simplified Arabic"/>
      <w:sz w:val="19"/>
      <w:szCs w:val="19"/>
      <w:lang w:val="en-GB" w:eastAsia="en-US"/>
    </w:rPr>
  </w:style>
  <w:style w:type="paragraph" w:customStyle="1" w:styleId="CEOFooterContact2-3">
    <w:name w:val="CEO_FooterContact2-3"/>
    <w:basedOn w:val="CEONormal"/>
    <w:rsid w:val="00037E8F"/>
    <w:pPr>
      <w:spacing w:before="0" w:after="0"/>
      <w:ind w:left="1276" w:hanging="1275"/>
    </w:pPr>
    <w:rPr>
      <w:sz w:val="18"/>
      <w:szCs w:val="16"/>
    </w:rPr>
  </w:style>
  <w:style w:type="paragraph" w:customStyle="1" w:styleId="CEOFooterContact1">
    <w:name w:val="CEO_FooterContact1"/>
    <w:basedOn w:val="CEOFooterContact2-3"/>
    <w:next w:val="CEOFooterContact2-3"/>
    <w:rsid w:val="00037E8F"/>
    <w:pPr>
      <w:pBdr>
        <w:top w:val="single" w:sz="4" w:space="1" w:color="auto"/>
      </w:pBdr>
    </w:pPr>
  </w:style>
  <w:style w:type="paragraph" w:styleId="TOCHeading">
    <w:name w:val="TOC Heading"/>
    <w:basedOn w:val="Heading1"/>
    <w:next w:val="Normal"/>
    <w:uiPriority w:val="39"/>
    <w:semiHidden/>
    <w:unhideWhenUsed/>
    <w:qFormat/>
    <w:rsid w:val="006E53E2"/>
    <w:pPr>
      <w:outlineLvl w:val="9"/>
    </w:pPr>
    <w:rPr>
      <w:lang w:bidi="ar-SA"/>
    </w:rPr>
  </w:style>
  <w:style w:type="paragraph" w:styleId="TOC1">
    <w:name w:val="toc 1"/>
    <w:basedOn w:val="Normal"/>
    <w:next w:val="Normal"/>
    <w:autoRedefine/>
    <w:uiPriority w:val="39"/>
    <w:unhideWhenUsed/>
    <w:rsid w:val="006E53E2"/>
    <w:pPr>
      <w:spacing w:after="100"/>
    </w:pPr>
  </w:style>
  <w:style w:type="paragraph" w:styleId="TOC2">
    <w:name w:val="toc 2"/>
    <w:basedOn w:val="Normal"/>
    <w:next w:val="Normal"/>
    <w:autoRedefine/>
    <w:uiPriority w:val="39"/>
    <w:unhideWhenUsed/>
    <w:rsid w:val="006E53E2"/>
    <w:pPr>
      <w:spacing w:after="100"/>
      <w:ind w:left="220"/>
    </w:pPr>
  </w:style>
  <w:style w:type="character" w:customStyle="1" w:styleId="st1">
    <w:name w:val="st1"/>
    <w:basedOn w:val="DefaultParagraphFont"/>
    <w:rsid w:val="001367F4"/>
  </w:style>
  <w:style w:type="character" w:customStyle="1" w:styleId="ccmtdefault">
    <w:name w:val="ccmtdefault"/>
    <w:basedOn w:val="DefaultParagraphFont"/>
    <w:rsid w:val="0054617E"/>
  </w:style>
  <w:style w:type="character" w:styleId="Strong">
    <w:name w:val="Strong"/>
    <w:basedOn w:val="DefaultParagraphFont"/>
    <w:uiPriority w:val="22"/>
    <w:qFormat/>
    <w:rsid w:val="001F1420"/>
    <w:rPr>
      <w:b/>
      <w:bCs/>
    </w:rPr>
  </w:style>
  <w:style w:type="paragraph" w:styleId="TOC3">
    <w:name w:val="toc 3"/>
    <w:basedOn w:val="Normal"/>
    <w:next w:val="Normal"/>
    <w:autoRedefine/>
    <w:uiPriority w:val="39"/>
    <w:unhideWhenUsed/>
    <w:rsid w:val="008B7E63"/>
    <w:pPr>
      <w:tabs>
        <w:tab w:val="left" w:pos="1134"/>
        <w:tab w:val="right" w:leader="dot" w:pos="9017"/>
      </w:tabs>
      <w:spacing w:after="100"/>
      <w:ind w:left="440"/>
    </w:pPr>
  </w:style>
  <w:style w:type="table" w:styleId="TableGrid">
    <w:name w:val="Table Grid"/>
    <w:basedOn w:val="TableNormal"/>
    <w:rsid w:val="00911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Footer">
    <w:name w:val="CEO_Footer"/>
    <w:rsid w:val="00E064C1"/>
    <w:pPr>
      <w:tabs>
        <w:tab w:val="right" w:pos="9072"/>
      </w:tabs>
      <w:spacing w:before="120" w:after="120" w:line="240" w:lineRule="auto"/>
    </w:pPr>
    <w:rPr>
      <w:rFonts w:ascii="Calibri" w:eastAsia="SimHei" w:hAnsi="Calibri" w:cs="Simplified Arabic"/>
      <w:bCs/>
      <w:sz w:val="18"/>
      <w:szCs w:val="19"/>
      <w:lang w:val="en-GB" w:eastAsia="en-US"/>
    </w:rPr>
  </w:style>
  <w:style w:type="paragraph" w:customStyle="1" w:styleId="Figuretitre">
    <w:name w:val="Figure titre"/>
    <w:basedOn w:val="Normal"/>
    <w:next w:val="Normal"/>
    <w:rsid w:val="00EC5837"/>
    <w:pPr>
      <w:tabs>
        <w:tab w:val="left" w:pos="340"/>
        <w:tab w:val="left" w:pos="1021"/>
      </w:tabs>
      <w:spacing w:before="120" w:after="0" w:line="240" w:lineRule="auto"/>
      <w:ind w:right="113" w:firstLine="340"/>
      <w:jc w:val="both"/>
    </w:pPr>
    <w:rPr>
      <w:rFonts w:ascii="Calibri" w:eastAsia="Times New Roman" w:hAnsi="Calibri" w:cs="Times New Roman"/>
      <w:b/>
      <w:bCs/>
      <w:spacing w:val="-4"/>
      <w:kern w:val="21"/>
      <w:sz w:val="21"/>
      <w:szCs w:val="18"/>
      <w:lang w:val="en-GB"/>
    </w:rPr>
  </w:style>
  <w:style w:type="paragraph" w:customStyle="1" w:styleId="Source">
    <w:name w:val="Source"/>
    <w:basedOn w:val="Normal"/>
    <w:link w:val="SourceChar"/>
    <w:rsid w:val="00EC5837"/>
    <w:pPr>
      <w:tabs>
        <w:tab w:val="left" w:pos="340"/>
        <w:tab w:val="left" w:pos="1021"/>
      </w:tabs>
      <w:spacing w:before="60" w:after="60" w:line="260" w:lineRule="exact"/>
      <w:ind w:right="113" w:firstLine="340"/>
      <w:jc w:val="both"/>
    </w:pPr>
    <w:rPr>
      <w:rFonts w:ascii="Calibri" w:eastAsia="SimSun" w:hAnsi="Calibri" w:cs="Times New Roman"/>
      <w:i/>
      <w:iCs/>
      <w:sz w:val="17"/>
      <w:szCs w:val="17"/>
      <w:lang w:val="x-none"/>
    </w:rPr>
  </w:style>
  <w:style w:type="character" w:customStyle="1" w:styleId="SourceChar">
    <w:name w:val="Source Char"/>
    <w:link w:val="Source"/>
    <w:rsid w:val="00EC5837"/>
    <w:rPr>
      <w:rFonts w:ascii="Calibri" w:eastAsia="SimSun" w:hAnsi="Calibri" w:cs="Times New Roman"/>
      <w:i/>
      <w:iCs/>
      <w:sz w:val="17"/>
      <w:szCs w:val="17"/>
      <w:lang w:val="x-none"/>
    </w:rPr>
  </w:style>
  <w:style w:type="character" w:customStyle="1" w:styleId="apple-converted-space">
    <w:name w:val="apple-converted-space"/>
    <w:basedOn w:val="DefaultParagraphFont"/>
    <w:rsid w:val="00A813C8"/>
  </w:style>
  <w:style w:type="paragraph" w:customStyle="1" w:styleId="Figuretitle">
    <w:name w:val="Figure title"/>
    <w:basedOn w:val="Figuretitre"/>
    <w:rsid w:val="00BA4A72"/>
    <w:pPr>
      <w:tabs>
        <w:tab w:val="left" w:pos="6360"/>
      </w:tabs>
      <w:spacing w:after="240"/>
      <w:ind w:left="1021" w:hanging="987"/>
      <w:jc w:val="center"/>
    </w:pPr>
    <w:rPr>
      <w:rFonts w:eastAsia="SimSun" w:cs="Calibri"/>
      <w:szCs w:val="22"/>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3F8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paragraph" w:styleId="Heading2">
    <w:name w:val="heading 2"/>
    <w:basedOn w:val="Normal"/>
    <w:next w:val="Normal"/>
    <w:link w:val="Heading2Char"/>
    <w:uiPriority w:val="9"/>
    <w:unhideWhenUsed/>
    <w:qFormat/>
    <w:rsid w:val="007A15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53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D91"/>
    <w:pPr>
      <w:ind w:left="720"/>
      <w:contextualSpacing/>
    </w:pPr>
  </w:style>
  <w:style w:type="paragraph" w:styleId="BalloonText">
    <w:name w:val="Balloon Text"/>
    <w:basedOn w:val="Normal"/>
    <w:link w:val="BalloonTextChar"/>
    <w:uiPriority w:val="99"/>
    <w:semiHidden/>
    <w:unhideWhenUsed/>
    <w:rsid w:val="00443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F89"/>
    <w:rPr>
      <w:rFonts w:ascii="Tahoma" w:hAnsi="Tahoma" w:cs="Tahoma"/>
      <w:sz w:val="16"/>
      <w:szCs w:val="16"/>
    </w:rPr>
  </w:style>
  <w:style w:type="character" w:customStyle="1" w:styleId="Heading1Char">
    <w:name w:val="Heading 1 Char"/>
    <w:basedOn w:val="DefaultParagraphFont"/>
    <w:link w:val="Heading1"/>
    <w:uiPriority w:val="9"/>
    <w:rsid w:val="00443F89"/>
    <w:rPr>
      <w:rFonts w:asciiTheme="majorHAnsi" w:eastAsiaTheme="majorEastAsia" w:hAnsiTheme="majorHAnsi" w:cstheme="majorBidi"/>
      <w:b/>
      <w:bCs/>
      <w:color w:val="365F91" w:themeColor="accent1" w:themeShade="BF"/>
      <w:sz w:val="28"/>
      <w:szCs w:val="28"/>
      <w:lang w:eastAsia="en-US" w:bidi="en-US"/>
    </w:rPr>
  </w:style>
  <w:style w:type="character" w:customStyle="1" w:styleId="Heading3Char">
    <w:name w:val="Heading 3 Char"/>
    <w:basedOn w:val="DefaultParagraphFont"/>
    <w:link w:val="Heading3"/>
    <w:uiPriority w:val="9"/>
    <w:rsid w:val="00E8531E"/>
    <w:rPr>
      <w:rFonts w:asciiTheme="majorHAnsi" w:eastAsiaTheme="majorEastAsia" w:hAnsiTheme="majorHAnsi" w:cstheme="majorBidi"/>
      <w:b/>
      <w:bCs/>
      <w:color w:val="4F81BD" w:themeColor="accent1"/>
    </w:rPr>
  </w:style>
  <w:style w:type="paragraph" w:styleId="FootnoteText">
    <w:name w:val="footnote text"/>
    <w:aliases w:val="ALTS FOOTNOTE,Schriftart: 9 pt,Schriftart: 10 pt,Schriftart: 8 pt,WB-Fuكnotentext,Footnote text,Footnote Text Char Char Char Char,Footnote Text Char Char,Footnote Text Char Char Char Char Char,Char"/>
    <w:basedOn w:val="Normal"/>
    <w:link w:val="FootnoteTextChar"/>
    <w:uiPriority w:val="99"/>
    <w:rsid w:val="00E8531E"/>
    <w:pPr>
      <w:spacing w:after="0" w:line="240" w:lineRule="auto"/>
    </w:pPr>
    <w:rPr>
      <w:rFonts w:eastAsia="SimSun" w:cs="Times New Roman"/>
      <w:sz w:val="20"/>
      <w:szCs w:val="20"/>
      <w:lang w:val="en-GB"/>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
    <w:basedOn w:val="DefaultParagraphFont"/>
    <w:link w:val="FootnoteText"/>
    <w:uiPriority w:val="99"/>
    <w:rsid w:val="00E8531E"/>
    <w:rPr>
      <w:rFonts w:eastAsia="SimSun" w:cs="Times New Roman"/>
      <w:sz w:val="20"/>
      <w:szCs w:val="20"/>
      <w:lang w:val="en-GB"/>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uiPriority w:val="99"/>
    <w:rsid w:val="00E8531E"/>
    <w:rPr>
      <w:vertAlign w:val="superscript"/>
    </w:rPr>
  </w:style>
  <w:style w:type="character" w:styleId="Hyperlink">
    <w:name w:val="Hyperlink"/>
    <w:basedOn w:val="DefaultParagraphFont"/>
    <w:uiPriority w:val="99"/>
    <w:rsid w:val="00E8531E"/>
    <w:rPr>
      <w:color w:val="0000FF"/>
      <w:u w:val="single"/>
    </w:rPr>
  </w:style>
  <w:style w:type="paragraph" w:styleId="Title">
    <w:name w:val="Title"/>
    <w:basedOn w:val="Normal"/>
    <w:next w:val="Normal"/>
    <w:link w:val="TitleChar"/>
    <w:qFormat/>
    <w:rsid w:val="00E853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8"/>
      <w:szCs w:val="52"/>
      <w:lang w:val="en-GB"/>
    </w:rPr>
  </w:style>
  <w:style w:type="character" w:customStyle="1" w:styleId="TitleChar">
    <w:name w:val="Title Char"/>
    <w:basedOn w:val="DefaultParagraphFont"/>
    <w:link w:val="Title"/>
    <w:rsid w:val="00E8531E"/>
    <w:rPr>
      <w:rFonts w:asciiTheme="majorHAnsi" w:eastAsiaTheme="majorEastAsia" w:hAnsiTheme="majorHAnsi" w:cstheme="majorBidi"/>
      <w:color w:val="17365D" w:themeColor="text2" w:themeShade="BF"/>
      <w:spacing w:val="5"/>
      <w:kern w:val="28"/>
      <w:sz w:val="28"/>
      <w:szCs w:val="52"/>
      <w:lang w:val="en-GB"/>
    </w:rPr>
  </w:style>
  <w:style w:type="paragraph" w:styleId="Header">
    <w:name w:val="header"/>
    <w:basedOn w:val="Normal"/>
    <w:link w:val="HeaderChar"/>
    <w:uiPriority w:val="99"/>
    <w:unhideWhenUsed/>
    <w:rsid w:val="00BF5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9A7"/>
  </w:style>
  <w:style w:type="paragraph" w:styleId="Footer">
    <w:name w:val="footer"/>
    <w:basedOn w:val="Normal"/>
    <w:link w:val="FooterChar"/>
    <w:unhideWhenUsed/>
    <w:rsid w:val="00BF5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9A7"/>
  </w:style>
  <w:style w:type="character" w:styleId="CommentReference">
    <w:name w:val="annotation reference"/>
    <w:basedOn w:val="DefaultParagraphFont"/>
    <w:uiPriority w:val="99"/>
    <w:semiHidden/>
    <w:unhideWhenUsed/>
    <w:rsid w:val="0031409B"/>
    <w:rPr>
      <w:sz w:val="16"/>
      <w:szCs w:val="16"/>
    </w:rPr>
  </w:style>
  <w:style w:type="paragraph" w:styleId="CommentText">
    <w:name w:val="annotation text"/>
    <w:basedOn w:val="Normal"/>
    <w:link w:val="CommentTextChar"/>
    <w:uiPriority w:val="99"/>
    <w:semiHidden/>
    <w:unhideWhenUsed/>
    <w:rsid w:val="0031409B"/>
    <w:pPr>
      <w:spacing w:line="240" w:lineRule="auto"/>
    </w:pPr>
    <w:rPr>
      <w:sz w:val="20"/>
      <w:szCs w:val="20"/>
    </w:rPr>
  </w:style>
  <w:style w:type="character" w:customStyle="1" w:styleId="CommentTextChar">
    <w:name w:val="Comment Text Char"/>
    <w:basedOn w:val="DefaultParagraphFont"/>
    <w:link w:val="CommentText"/>
    <w:uiPriority w:val="99"/>
    <w:semiHidden/>
    <w:rsid w:val="0031409B"/>
    <w:rPr>
      <w:sz w:val="20"/>
      <w:szCs w:val="20"/>
    </w:rPr>
  </w:style>
  <w:style w:type="paragraph" w:styleId="CommentSubject">
    <w:name w:val="annotation subject"/>
    <w:basedOn w:val="CommentText"/>
    <w:next w:val="CommentText"/>
    <w:link w:val="CommentSubjectChar"/>
    <w:uiPriority w:val="99"/>
    <w:semiHidden/>
    <w:unhideWhenUsed/>
    <w:rsid w:val="0031409B"/>
    <w:rPr>
      <w:b/>
      <w:bCs/>
    </w:rPr>
  </w:style>
  <w:style w:type="character" w:customStyle="1" w:styleId="CommentSubjectChar">
    <w:name w:val="Comment Subject Char"/>
    <w:basedOn w:val="CommentTextChar"/>
    <w:link w:val="CommentSubject"/>
    <w:uiPriority w:val="99"/>
    <w:semiHidden/>
    <w:rsid w:val="0031409B"/>
    <w:rPr>
      <w:b/>
      <w:bCs/>
      <w:sz w:val="20"/>
      <w:szCs w:val="20"/>
    </w:rPr>
  </w:style>
  <w:style w:type="paragraph" w:styleId="NormalWeb">
    <w:name w:val="Normal (Web)"/>
    <w:basedOn w:val="Normal"/>
    <w:uiPriority w:val="99"/>
    <w:rsid w:val="00E0591C"/>
    <w:pPr>
      <w:spacing w:before="100" w:after="100" w:line="240" w:lineRule="atLeast"/>
    </w:pPr>
    <w:rPr>
      <w:rFonts w:ascii="Verdana" w:hAnsi="Verdana" w:cs="Times New Roman"/>
      <w:color w:val="000000"/>
      <w:sz w:val="18"/>
      <w:szCs w:val="18"/>
      <w:lang w:eastAsia="en-US" w:bidi="en-US"/>
    </w:rPr>
  </w:style>
  <w:style w:type="character" w:customStyle="1" w:styleId="Heading2Char">
    <w:name w:val="Heading 2 Char"/>
    <w:basedOn w:val="DefaultParagraphFont"/>
    <w:link w:val="Heading2"/>
    <w:uiPriority w:val="9"/>
    <w:rsid w:val="007A15F1"/>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rsid w:val="007A15F1"/>
    <w:pPr>
      <w:spacing w:after="0" w:line="240" w:lineRule="auto"/>
    </w:pPr>
    <w:rPr>
      <w:rFonts w:eastAsia="SimSun" w:cs="Times New Roman"/>
      <w:sz w:val="20"/>
      <w:szCs w:val="20"/>
      <w:lang w:val="en-GB"/>
    </w:rPr>
  </w:style>
  <w:style w:type="character" w:customStyle="1" w:styleId="EndnoteTextChar">
    <w:name w:val="Endnote Text Char"/>
    <w:basedOn w:val="DefaultParagraphFont"/>
    <w:link w:val="EndnoteText"/>
    <w:uiPriority w:val="99"/>
    <w:rsid w:val="007A15F1"/>
    <w:rPr>
      <w:rFonts w:eastAsia="SimSun" w:cs="Times New Roman"/>
      <w:sz w:val="20"/>
      <w:szCs w:val="20"/>
      <w:lang w:val="en-GB"/>
    </w:rPr>
  </w:style>
  <w:style w:type="character" w:styleId="EndnoteReference">
    <w:name w:val="endnote reference"/>
    <w:basedOn w:val="DefaultParagraphFont"/>
    <w:uiPriority w:val="99"/>
    <w:qFormat/>
    <w:rsid w:val="007A15F1"/>
    <w:rPr>
      <w:vertAlign w:val="superscript"/>
    </w:rPr>
  </w:style>
  <w:style w:type="character" w:styleId="FollowedHyperlink">
    <w:name w:val="FollowedHyperlink"/>
    <w:basedOn w:val="DefaultParagraphFont"/>
    <w:uiPriority w:val="99"/>
    <w:semiHidden/>
    <w:unhideWhenUsed/>
    <w:rsid w:val="00781A3F"/>
    <w:rPr>
      <w:color w:val="800080" w:themeColor="followedHyperlink"/>
      <w:u w:val="single"/>
    </w:rPr>
  </w:style>
  <w:style w:type="paragraph" w:styleId="BodyText">
    <w:name w:val="Body Text"/>
    <w:basedOn w:val="Normal"/>
    <w:link w:val="BodyTextChar"/>
    <w:rsid w:val="00D4622A"/>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D4622A"/>
    <w:rPr>
      <w:rFonts w:ascii="Times New Roman" w:eastAsia="Times New Roman" w:hAnsi="Times New Roman" w:cs="Times New Roman"/>
      <w:sz w:val="24"/>
      <w:szCs w:val="24"/>
      <w:lang w:eastAsia="ar-SA"/>
    </w:rPr>
  </w:style>
  <w:style w:type="paragraph" w:customStyle="1" w:styleId="BasicParagraph">
    <w:name w:val="[Basic Paragraph]"/>
    <w:basedOn w:val="Normal"/>
    <w:rsid w:val="00D4622A"/>
    <w:pPr>
      <w:suppressAutoHyphens/>
      <w:autoSpaceDE w:val="0"/>
      <w:autoSpaceDN w:val="0"/>
      <w:adjustRightInd w:val="0"/>
      <w:spacing w:after="0" w:line="288" w:lineRule="auto"/>
      <w:textAlignment w:val="center"/>
    </w:pPr>
    <w:rPr>
      <w:rFonts w:ascii="Arial" w:eastAsia="SimSun" w:hAnsi="Arial" w:cs="Arial"/>
      <w:color w:val="006195"/>
      <w:sz w:val="26"/>
      <w:szCs w:val="26"/>
      <w:lang w:val="en-GB"/>
    </w:rPr>
  </w:style>
  <w:style w:type="paragraph" w:styleId="Revision">
    <w:name w:val="Revision"/>
    <w:hidden/>
    <w:uiPriority w:val="99"/>
    <w:semiHidden/>
    <w:rsid w:val="00892FFC"/>
    <w:pPr>
      <w:spacing w:after="0" w:line="240" w:lineRule="auto"/>
    </w:pPr>
  </w:style>
  <w:style w:type="paragraph" w:customStyle="1" w:styleId="CEONormal">
    <w:name w:val="CEO_Normal"/>
    <w:link w:val="CEONormalChar"/>
    <w:rsid w:val="00037E8F"/>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rsid w:val="00037E8F"/>
    <w:rPr>
      <w:rFonts w:ascii="Calibri" w:eastAsia="SimSun" w:hAnsi="Calibri" w:cs="Simplified Arabic"/>
      <w:szCs w:val="19"/>
      <w:lang w:val="en-GB" w:eastAsia="en-US"/>
    </w:rPr>
  </w:style>
  <w:style w:type="paragraph" w:customStyle="1" w:styleId="CEOForAction">
    <w:name w:val="CEO_ForAction"/>
    <w:basedOn w:val="CEONormal"/>
    <w:next w:val="CEOSourceTitle"/>
    <w:rsid w:val="00037E8F"/>
    <w:pPr>
      <w:spacing w:before="160"/>
      <w:ind w:left="1593"/>
    </w:pPr>
    <w:rPr>
      <w:b/>
      <w:bCs/>
      <w:iCs/>
    </w:rPr>
  </w:style>
  <w:style w:type="paragraph" w:customStyle="1" w:styleId="CEOSourceTitle">
    <w:name w:val="CEO_Source_Title"/>
    <w:basedOn w:val="CEONormal"/>
    <w:rsid w:val="00037E8F"/>
    <w:pPr>
      <w:spacing w:before="0"/>
    </w:pPr>
    <w:rPr>
      <w:b/>
      <w:bCs/>
    </w:rPr>
  </w:style>
  <w:style w:type="paragraph" w:customStyle="1" w:styleId="CEODocDates">
    <w:name w:val="CEO_DocDates"/>
    <w:basedOn w:val="CEONormal"/>
    <w:next w:val="CEOOriginalLanguage"/>
    <w:rsid w:val="00037E8F"/>
    <w:pPr>
      <w:spacing w:before="0" w:after="0"/>
    </w:pPr>
    <w:rPr>
      <w:b/>
      <w:bCs/>
    </w:rPr>
  </w:style>
  <w:style w:type="paragraph" w:customStyle="1" w:styleId="CEOOriginalLanguage">
    <w:name w:val="CEO_OriginalLanguage"/>
    <w:basedOn w:val="CEONormal"/>
    <w:next w:val="CEONormal"/>
    <w:rsid w:val="00037E8F"/>
    <w:rPr>
      <w:b/>
      <w:bCs/>
    </w:rPr>
  </w:style>
  <w:style w:type="paragraph" w:customStyle="1" w:styleId="CEODocNo">
    <w:name w:val="CEO_DocNo"/>
    <w:basedOn w:val="CEONormal"/>
    <w:next w:val="CEODocDates"/>
    <w:rsid w:val="00037E8F"/>
    <w:pPr>
      <w:spacing w:before="0" w:after="0"/>
    </w:pPr>
    <w:rPr>
      <w:b/>
      <w:bCs/>
    </w:rPr>
  </w:style>
  <w:style w:type="paragraph" w:customStyle="1" w:styleId="CEOMeetingDates">
    <w:name w:val="CEO_MeetingDates"/>
    <w:basedOn w:val="CEONormal"/>
    <w:rsid w:val="00037E8F"/>
    <w:pPr>
      <w:spacing w:before="0" w:after="40"/>
    </w:pPr>
    <w:rPr>
      <w:b/>
      <w:bCs/>
      <w:sz w:val="24"/>
    </w:rPr>
  </w:style>
  <w:style w:type="paragraph" w:customStyle="1" w:styleId="CEOMeetingName">
    <w:name w:val="CEO_MeetingName"/>
    <w:rsid w:val="00037E8F"/>
    <w:pPr>
      <w:spacing w:after="0" w:line="240" w:lineRule="auto"/>
    </w:pPr>
    <w:rPr>
      <w:rFonts w:ascii="Calibri" w:eastAsia="SimSun" w:hAnsi="Calibri" w:cs="Simplified Arabic"/>
      <w:b/>
      <w:bCs/>
      <w:sz w:val="24"/>
      <w:szCs w:val="19"/>
      <w:lang w:val="en-GB" w:eastAsia="en-US"/>
    </w:rPr>
  </w:style>
  <w:style w:type="paragraph" w:customStyle="1" w:styleId="CEOSectorName">
    <w:name w:val="CEO_SectorName"/>
    <w:rsid w:val="00037E8F"/>
    <w:pPr>
      <w:spacing w:after="0" w:line="240" w:lineRule="auto"/>
    </w:pPr>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037E8F"/>
    <w:pPr>
      <w:spacing w:before="120"/>
    </w:pPr>
    <w:rPr>
      <w:b w:val="0"/>
      <w:bCs w:val="0"/>
    </w:rPr>
  </w:style>
  <w:style w:type="paragraph" w:customStyle="1" w:styleId="CEOLogo">
    <w:name w:val="CEO_Logo"/>
    <w:basedOn w:val="CEONormal"/>
    <w:rsid w:val="00037E8F"/>
    <w:pPr>
      <w:spacing w:before="0" w:after="0"/>
      <w:jc w:val="right"/>
    </w:pPr>
  </w:style>
  <w:style w:type="paragraph" w:customStyle="1" w:styleId="CEOSpace">
    <w:name w:val="CEO_Space"/>
    <w:qFormat/>
    <w:rsid w:val="00037E8F"/>
    <w:pPr>
      <w:spacing w:after="0" w:line="240" w:lineRule="auto"/>
    </w:pPr>
    <w:rPr>
      <w:rFonts w:ascii="Verdana" w:eastAsia="SimHei" w:hAnsi="Verdana" w:cs="Simplified Arabic"/>
      <w:sz w:val="19"/>
      <w:szCs w:val="19"/>
      <w:lang w:val="en-GB" w:eastAsia="en-US"/>
    </w:rPr>
  </w:style>
  <w:style w:type="paragraph" w:customStyle="1" w:styleId="CEOFooterContact2-3">
    <w:name w:val="CEO_FooterContact2-3"/>
    <w:basedOn w:val="CEONormal"/>
    <w:rsid w:val="00037E8F"/>
    <w:pPr>
      <w:spacing w:before="0" w:after="0"/>
      <w:ind w:left="1276" w:hanging="1275"/>
    </w:pPr>
    <w:rPr>
      <w:sz w:val="18"/>
      <w:szCs w:val="16"/>
    </w:rPr>
  </w:style>
  <w:style w:type="paragraph" w:customStyle="1" w:styleId="CEOFooterContact1">
    <w:name w:val="CEO_FooterContact1"/>
    <w:basedOn w:val="CEOFooterContact2-3"/>
    <w:next w:val="CEOFooterContact2-3"/>
    <w:rsid w:val="00037E8F"/>
    <w:pPr>
      <w:pBdr>
        <w:top w:val="single" w:sz="4" w:space="1" w:color="auto"/>
      </w:pBdr>
    </w:pPr>
  </w:style>
  <w:style w:type="paragraph" w:styleId="TOCHeading">
    <w:name w:val="TOC Heading"/>
    <w:basedOn w:val="Heading1"/>
    <w:next w:val="Normal"/>
    <w:uiPriority w:val="39"/>
    <w:semiHidden/>
    <w:unhideWhenUsed/>
    <w:qFormat/>
    <w:rsid w:val="006E53E2"/>
    <w:pPr>
      <w:outlineLvl w:val="9"/>
    </w:pPr>
    <w:rPr>
      <w:lang w:bidi="ar-SA"/>
    </w:rPr>
  </w:style>
  <w:style w:type="paragraph" w:styleId="TOC1">
    <w:name w:val="toc 1"/>
    <w:basedOn w:val="Normal"/>
    <w:next w:val="Normal"/>
    <w:autoRedefine/>
    <w:uiPriority w:val="39"/>
    <w:unhideWhenUsed/>
    <w:rsid w:val="006E53E2"/>
    <w:pPr>
      <w:spacing w:after="100"/>
    </w:pPr>
  </w:style>
  <w:style w:type="paragraph" w:styleId="TOC2">
    <w:name w:val="toc 2"/>
    <w:basedOn w:val="Normal"/>
    <w:next w:val="Normal"/>
    <w:autoRedefine/>
    <w:uiPriority w:val="39"/>
    <w:unhideWhenUsed/>
    <w:rsid w:val="006E53E2"/>
    <w:pPr>
      <w:spacing w:after="100"/>
      <w:ind w:left="220"/>
    </w:pPr>
  </w:style>
  <w:style w:type="character" w:customStyle="1" w:styleId="st1">
    <w:name w:val="st1"/>
    <w:basedOn w:val="DefaultParagraphFont"/>
    <w:rsid w:val="001367F4"/>
  </w:style>
  <w:style w:type="character" w:customStyle="1" w:styleId="ccmtdefault">
    <w:name w:val="ccmtdefault"/>
    <w:basedOn w:val="DefaultParagraphFont"/>
    <w:rsid w:val="0054617E"/>
  </w:style>
  <w:style w:type="character" w:styleId="Strong">
    <w:name w:val="Strong"/>
    <w:basedOn w:val="DefaultParagraphFont"/>
    <w:uiPriority w:val="22"/>
    <w:qFormat/>
    <w:rsid w:val="001F1420"/>
    <w:rPr>
      <w:b/>
      <w:bCs/>
    </w:rPr>
  </w:style>
  <w:style w:type="paragraph" w:styleId="TOC3">
    <w:name w:val="toc 3"/>
    <w:basedOn w:val="Normal"/>
    <w:next w:val="Normal"/>
    <w:autoRedefine/>
    <w:uiPriority w:val="39"/>
    <w:unhideWhenUsed/>
    <w:rsid w:val="008B7E63"/>
    <w:pPr>
      <w:tabs>
        <w:tab w:val="left" w:pos="1134"/>
        <w:tab w:val="right" w:leader="dot" w:pos="9017"/>
      </w:tabs>
      <w:spacing w:after="100"/>
      <w:ind w:left="440"/>
    </w:pPr>
  </w:style>
  <w:style w:type="table" w:styleId="TableGrid">
    <w:name w:val="Table Grid"/>
    <w:basedOn w:val="TableNormal"/>
    <w:rsid w:val="00911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Footer">
    <w:name w:val="CEO_Footer"/>
    <w:rsid w:val="00E064C1"/>
    <w:pPr>
      <w:tabs>
        <w:tab w:val="right" w:pos="9072"/>
      </w:tabs>
      <w:spacing w:before="120" w:after="120" w:line="240" w:lineRule="auto"/>
    </w:pPr>
    <w:rPr>
      <w:rFonts w:ascii="Calibri" w:eastAsia="SimHei" w:hAnsi="Calibri" w:cs="Simplified Arabic"/>
      <w:bCs/>
      <w:sz w:val="18"/>
      <w:szCs w:val="19"/>
      <w:lang w:val="en-GB" w:eastAsia="en-US"/>
    </w:rPr>
  </w:style>
  <w:style w:type="paragraph" w:customStyle="1" w:styleId="Figuretitre">
    <w:name w:val="Figure titre"/>
    <w:basedOn w:val="Normal"/>
    <w:next w:val="Normal"/>
    <w:rsid w:val="00EC5837"/>
    <w:pPr>
      <w:tabs>
        <w:tab w:val="left" w:pos="340"/>
        <w:tab w:val="left" w:pos="1021"/>
      </w:tabs>
      <w:spacing w:before="120" w:after="0" w:line="240" w:lineRule="auto"/>
      <w:ind w:right="113" w:firstLine="340"/>
      <w:jc w:val="both"/>
    </w:pPr>
    <w:rPr>
      <w:rFonts w:ascii="Calibri" w:eastAsia="Times New Roman" w:hAnsi="Calibri" w:cs="Times New Roman"/>
      <w:b/>
      <w:bCs/>
      <w:spacing w:val="-4"/>
      <w:kern w:val="21"/>
      <w:sz w:val="21"/>
      <w:szCs w:val="18"/>
      <w:lang w:val="en-GB"/>
    </w:rPr>
  </w:style>
  <w:style w:type="paragraph" w:customStyle="1" w:styleId="Source">
    <w:name w:val="Source"/>
    <w:basedOn w:val="Normal"/>
    <w:link w:val="SourceChar"/>
    <w:rsid w:val="00EC5837"/>
    <w:pPr>
      <w:tabs>
        <w:tab w:val="left" w:pos="340"/>
        <w:tab w:val="left" w:pos="1021"/>
      </w:tabs>
      <w:spacing w:before="60" w:after="60" w:line="260" w:lineRule="exact"/>
      <w:ind w:right="113" w:firstLine="340"/>
      <w:jc w:val="both"/>
    </w:pPr>
    <w:rPr>
      <w:rFonts w:ascii="Calibri" w:eastAsia="SimSun" w:hAnsi="Calibri" w:cs="Times New Roman"/>
      <w:i/>
      <w:iCs/>
      <w:sz w:val="17"/>
      <w:szCs w:val="17"/>
      <w:lang w:val="x-none"/>
    </w:rPr>
  </w:style>
  <w:style w:type="character" w:customStyle="1" w:styleId="SourceChar">
    <w:name w:val="Source Char"/>
    <w:link w:val="Source"/>
    <w:rsid w:val="00EC5837"/>
    <w:rPr>
      <w:rFonts w:ascii="Calibri" w:eastAsia="SimSun" w:hAnsi="Calibri" w:cs="Times New Roman"/>
      <w:i/>
      <w:iCs/>
      <w:sz w:val="17"/>
      <w:szCs w:val="17"/>
      <w:lang w:val="x-none"/>
    </w:rPr>
  </w:style>
  <w:style w:type="character" w:customStyle="1" w:styleId="apple-converted-space">
    <w:name w:val="apple-converted-space"/>
    <w:basedOn w:val="DefaultParagraphFont"/>
    <w:rsid w:val="00A813C8"/>
  </w:style>
  <w:style w:type="paragraph" w:customStyle="1" w:styleId="Figuretitle">
    <w:name w:val="Figure title"/>
    <w:basedOn w:val="Figuretitre"/>
    <w:rsid w:val="00BA4A72"/>
    <w:pPr>
      <w:tabs>
        <w:tab w:val="left" w:pos="6360"/>
      </w:tabs>
      <w:spacing w:after="240"/>
      <w:ind w:left="1021" w:hanging="987"/>
      <w:jc w:val="center"/>
    </w:pPr>
    <w:rPr>
      <w:rFonts w:eastAsia="SimSun" w:cs="Calibri"/>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55640">
      <w:bodyDiv w:val="1"/>
      <w:marLeft w:val="0"/>
      <w:marRight w:val="0"/>
      <w:marTop w:val="0"/>
      <w:marBottom w:val="0"/>
      <w:divBdr>
        <w:top w:val="none" w:sz="0" w:space="0" w:color="auto"/>
        <w:left w:val="none" w:sz="0" w:space="0" w:color="auto"/>
        <w:bottom w:val="none" w:sz="0" w:space="0" w:color="auto"/>
        <w:right w:val="none" w:sz="0" w:space="0" w:color="auto"/>
      </w:divBdr>
    </w:div>
    <w:div w:id="73748271">
      <w:bodyDiv w:val="1"/>
      <w:marLeft w:val="0"/>
      <w:marRight w:val="0"/>
      <w:marTop w:val="0"/>
      <w:marBottom w:val="0"/>
      <w:divBdr>
        <w:top w:val="none" w:sz="0" w:space="0" w:color="auto"/>
        <w:left w:val="none" w:sz="0" w:space="0" w:color="auto"/>
        <w:bottom w:val="none" w:sz="0" w:space="0" w:color="auto"/>
        <w:right w:val="none" w:sz="0" w:space="0" w:color="auto"/>
      </w:divBdr>
    </w:div>
    <w:div w:id="345715733">
      <w:bodyDiv w:val="1"/>
      <w:marLeft w:val="0"/>
      <w:marRight w:val="0"/>
      <w:marTop w:val="0"/>
      <w:marBottom w:val="0"/>
      <w:divBdr>
        <w:top w:val="none" w:sz="0" w:space="0" w:color="auto"/>
        <w:left w:val="none" w:sz="0" w:space="0" w:color="auto"/>
        <w:bottom w:val="none" w:sz="0" w:space="0" w:color="auto"/>
        <w:right w:val="none" w:sz="0" w:space="0" w:color="auto"/>
      </w:divBdr>
    </w:div>
    <w:div w:id="427237678">
      <w:bodyDiv w:val="1"/>
      <w:marLeft w:val="0"/>
      <w:marRight w:val="0"/>
      <w:marTop w:val="0"/>
      <w:marBottom w:val="0"/>
      <w:divBdr>
        <w:top w:val="none" w:sz="0" w:space="0" w:color="auto"/>
        <w:left w:val="none" w:sz="0" w:space="0" w:color="auto"/>
        <w:bottom w:val="none" w:sz="0" w:space="0" w:color="auto"/>
        <w:right w:val="none" w:sz="0" w:space="0" w:color="auto"/>
      </w:divBdr>
    </w:div>
    <w:div w:id="1045835811">
      <w:bodyDiv w:val="1"/>
      <w:marLeft w:val="0"/>
      <w:marRight w:val="0"/>
      <w:marTop w:val="0"/>
      <w:marBottom w:val="0"/>
      <w:divBdr>
        <w:top w:val="none" w:sz="0" w:space="0" w:color="auto"/>
        <w:left w:val="none" w:sz="0" w:space="0" w:color="auto"/>
        <w:bottom w:val="none" w:sz="0" w:space="0" w:color="auto"/>
        <w:right w:val="none" w:sz="0" w:space="0" w:color="auto"/>
      </w:divBdr>
      <w:divsChild>
        <w:div w:id="1858348750">
          <w:marLeft w:val="0"/>
          <w:marRight w:val="0"/>
          <w:marTop w:val="0"/>
          <w:marBottom w:val="0"/>
          <w:divBdr>
            <w:top w:val="none" w:sz="0" w:space="0" w:color="auto"/>
            <w:left w:val="none" w:sz="0" w:space="0" w:color="auto"/>
            <w:bottom w:val="none" w:sz="0" w:space="0" w:color="auto"/>
            <w:right w:val="none" w:sz="0" w:space="0" w:color="auto"/>
          </w:divBdr>
          <w:divsChild>
            <w:div w:id="1640115566">
              <w:marLeft w:val="0"/>
              <w:marRight w:val="0"/>
              <w:marTop w:val="0"/>
              <w:marBottom w:val="0"/>
              <w:divBdr>
                <w:top w:val="none" w:sz="0" w:space="0" w:color="auto"/>
                <w:left w:val="none" w:sz="0" w:space="0" w:color="auto"/>
                <w:bottom w:val="none" w:sz="0" w:space="0" w:color="auto"/>
                <w:right w:val="none" w:sz="0" w:space="0" w:color="auto"/>
              </w:divBdr>
              <w:divsChild>
                <w:div w:id="1921400545">
                  <w:marLeft w:val="0"/>
                  <w:marRight w:val="0"/>
                  <w:marTop w:val="0"/>
                  <w:marBottom w:val="0"/>
                  <w:divBdr>
                    <w:top w:val="none" w:sz="0" w:space="0" w:color="auto"/>
                    <w:left w:val="none" w:sz="0" w:space="0" w:color="auto"/>
                    <w:bottom w:val="none" w:sz="0" w:space="0" w:color="auto"/>
                    <w:right w:val="none" w:sz="0" w:space="0" w:color="auto"/>
                  </w:divBdr>
                  <w:divsChild>
                    <w:div w:id="1047296699">
                      <w:marLeft w:val="0"/>
                      <w:marRight w:val="0"/>
                      <w:marTop w:val="0"/>
                      <w:marBottom w:val="0"/>
                      <w:divBdr>
                        <w:top w:val="none" w:sz="0" w:space="0" w:color="auto"/>
                        <w:left w:val="none" w:sz="0" w:space="0" w:color="auto"/>
                        <w:bottom w:val="none" w:sz="0" w:space="0" w:color="auto"/>
                        <w:right w:val="none" w:sz="0" w:space="0" w:color="auto"/>
                      </w:divBdr>
                      <w:divsChild>
                        <w:div w:id="284385775">
                          <w:marLeft w:val="0"/>
                          <w:marRight w:val="0"/>
                          <w:marTop w:val="0"/>
                          <w:marBottom w:val="0"/>
                          <w:divBdr>
                            <w:top w:val="none" w:sz="0" w:space="0" w:color="auto"/>
                            <w:left w:val="none" w:sz="0" w:space="0" w:color="auto"/>
                            <w:bottom w:val="none" w:sz="0" w:space="0" w:color="auto"/>
                            <w:right w:val="none" w:sz="0" w:space="0" w:color="auto"/>
                          </w:divBdr>
                          <w:divsChild>
                            <w:div w:id="892734709">
                              <w:marLeft w:val="0"/>
                              <w:marRight w:val="0"/>
                              <w:marTop w:val="0"/>
                              <w:marBottom w:val="0"/>
                              <w:divBdr>
                                <w:top w:val="none" w:sz="0" w:space="0" w:color="auto"/>
                                <w:left w:val="none" w:sz="0" w:space="0" w:color="auto"/>
                                <w:bottom w:val="none" w:sz="0" w:space="0" w:color="auto"/>
                                <w:right w:val="none" w:sz="0" w:space="0" w:color="auto"/>
                              </w:divBdr>
                              <w:divsChild>
                                <w:div w:id="989793522">
                                  <w:marLeft w:val="0"/>
                                  <w:marRight w:val="0"/>
                                  <w:marTop w:val="0"/>
                                  <w:marBottom w:val="0"/>
                                  <w:divBdr>
                                    <w:top w:val="none" w:sz="0" w:space="0" w:color="auto"/>
                                    <w:left w:val="none" w:sz="0" w:space="0" w:color="auto"/>
                                    <w:bottom w:val="none" w:sz="0" w:space="0" w:color="auto"/>
                                    <w:right w:val="none" w:sz="0" w:space="0" w:color="auto"/>
                                  </w:divBdr>
                                  <w:divsChild>
                                    <w:div w:id="755635767">
                                      <w:marLeft w:val="0"/>
                                      <w:marRight w:val="0"/>
                                      <w:marTop w:val="0"/>
                                      <w:marBottom w:val="0"/>
                                      <w:divBdr>
                                        <w:top w:val="none" w:sz="0" w:space="0" w:color="auto"/>
                                        <w:left w:val="none" w:sz="0" w:space="0" w:color="auto"/>
                                        <w:bottom w:val="none" w:sz="0" w:space="0" w:color="auto"/>
                                        <w:right w:val="none" w:sz="0" w:space="0" w:color="auto"/>
                                      </w:divBdr>
                                      <w:divsChild>
                                        <w:div w:id="8335081">
                                          <w:marLeft w:val="0"/>
                                          <w:marRight w:val="0"/>
                                          <w:marTop w:val="0"/>
                                          <w:marBottom w:val="0"/>
                                          <w:divBdr>
                                            <w:top w:val="none" w:sz="0" w:space="0" w:color="auto"/>
                                            <w:left w:val="none" w:sz="0" w:space="0" w:color="auto"/>
                                            <w:bottom w:val="none" w:sz="0" w:space="0" w:color="auto"/>
                                            <w:right w:val="none" w:sz="0" w:space="0" w:color="auto"/>
                                          </w:divBdr>
                                          <w:divsChild>
                                            <w:div w:id="675545618">
                                              <w:marLeft w:val="0"/>
                                              <w:marRight w:val="0"/>
                                              <w:marTop w:val="0"/>
                                              <w:marBottom w:val="0"/>
                                              <w:divBdr>
                                                <w:top w:val="none" w:sz="0" w:space="0" w:color="auto"/>
                                                <w:left w:val="none" w:sz="0" w:space="0" w:color="auto"/>
                                                <w:bottom w:val="none" w:sz="0" w:space="0" w:color="auto"/>
                                                <w:right w:val="none" w:sz="0" w:space="0" w:color="auto"/>
                                              </w:divBdr>
                                              <w:divsChild>
                                                <w:div w:id="2134277747">
                                                  <w:marLeft w:val="0"/>
                                                  <w:marRight w:val="0"/>
                                                  <w:marTop w:val="0"/>
                                                  <w:marBottom w:val="0"/>
                                                  <w:divBdr>
                                                    <w:top w:val="none" w:sz="0" w:space="0" w:color="auto"/>
                                                    <w:left w:val="none" w:sz="0" w:space="0" w:color="auto"/>
                                                    <w:bottom w:val="none" w:sz="0" w:space="0" w:color="auto"/>
                                                    <w:right w:val="none" w:sz="0" w:space="0" w:color="auto"/>
                                                  </w:divBdr>
                                                  <w:divsChild>
                                                    <w:div w:id="1547597308">
                                                      <w:marLeft w:val="0"/>
                                                      <w:marRight w:val="0"/>
                                                      <w:marTop w:val="0"/>
                                                      <w:marBottom w:val="0"/>
                                                      <w:divBdr>
                                                        <w:top w:val="none" w:sz="0" w:space="0" w:color="auto"/>
                                                        <w:left w:val="none" w:sz="0" w:space="0" w:color="auto"/>
                                                        <w:bottom w:val="none" w:sz="0" w:space="0" w:color="auto"/>
                                                        <w:right w:val="none" w:sz="0" w:space="0" w:color="auto"/>
                                                      </w:divBdr>
                                                      <w:divsChild>
                                                        <w:div w:id="6361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7792337">
      <w:bodyDiv w:val="1"/>
      <w:marLeft w:val="0"/>
      <w:marRight w:val="0"/>
      <w:marTop w:val="0"/>
      <w:marBottom w:val="0"/>
      <w:divBdr>
        <w:top w:val="none" w:sz="0" w:space="0" w:color="auto"/>
        <w:left w:val="none" w:sz="0" w:space="0" w:color="auto"/>
        <w:bottom w:val="none" w:sz="0" w:space="0" w:color="auto"/>
        <w:right w:val="none" w:sz="0" w:space="0" w:color="auto"/>
      </w:divBdr>
    </w:div>
    <w:div w:id="1460800389">
      <w:bodyDiv w:val="1"/>
      <w:marLeft w:val="0"/>
      <w:marRight w:val="0"/>
      <w:marTop w:val="0"/>
      <w:marBottom w:val="0"/>
      <w:divBdr>
        <w:top w:val="none" w:sz="0" w:space="0" w:color="auto"/>
        <w:left w:val="none" w:sz="0" w:space="0" w:color="auto"/>
        <w:bottom w:val="none" w:sz="0" w:space="0" w:color="auto"/>
        <w:right w:val="none" w:sz="0" w:space="0" w:color="auto"/>
      </w:divBdr>
    </w:div>
    <w:div w:id="1722948150">
      <w:bodyDiv w:val="1"/>
      <w:marLeft w:val="0"/>
      <w:marRight w:val="0"/>
      <w:marTop w:val="0"/>
      <w:marBottom w:val="0"/>
      <w:divBdr>
        <w:top w:val="none" w:sz="0" w:space="0" w:color="auto"/>
        <w:left w:val="none" w:sz="0" w:space="0" w:color="auto"/>
        <w:bottom w:val="none" w:sz="0" w:space="0" w:color="auto"/>
        <w:right w:val="none" w:sz="0" w:space="0" w:color="auto"/>
      </w:divBdr>
    </w:div>
    <w:div w:id="2051950856">
      <w:bodyDiv w:val="1"/>
      <w:marLeft w:val="0"/>
      <w:marRight w:val="0"/>
      <w:marTop w:val="0"/>
      <w:marBottom w:val="0"/>
      <w:divBdr>
        <w:top w:val="none" w:sz="0" w:space="0" w:color="auto"/>
        <w:left w:val="none" w:sz="0" w:space="0" w:color="auto"/>
        <w:bottom w:val="none" w:sz="0" w:space="0" w:color="auto"/>
        <w:right w:val="none" w:sz="0" w:space="0" w:color="auto"/>
      </w:divBdr>
    </w:div>
    <w:div w:id="206120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26" Type="http://schemas.openxmlformats.org/officeDocument/2006/relationships/image" Target="media/image15.png"/><Relationship Id="rId50" Type="http://schemas.openxmlformats.org/officeDocument/2006/relationships/hyperlink" Target="http://www.itu.int/ITU-D/ict/publications/idi/material/2011/MIS_2011_without_annex_5.pdf" TargetMode="External"/><Relationship Id="rId55" Type="http://schemas.openxmlformats.org/officeDocument/2006/relationships/theme" Target="theme/theme1.xml"/><Relationship Id="rId42" Type="http://schemas.openxmlformats.org/officeDocument/2006/relationships/image" Target="media/image31.jpeg"/><Relationship Id="rId47" Type="http://schemas.openxmlformats.org/officeDocument/2006/relationships/hyperlink" Target="http://www.itu.int/pub/D-REG-TTR.13-2012" TargetMode="External"/><Relationship Id="rId34" Type="http://schemas.openxmlformats.org/officeDocument/2006/relationships/image" Target="media/image23.png"/><Relationship Id="rId21" Type="http://schemas.openxmlformats.org/officeDocument/2006/relationships/image" Target="media/image12.png"/><Relationship Id="rId7" Type="http://schemas.openxmlformats.org/officeDocument/2006/relationships/footnotes" Target="footnotes.xml"/><Relationship Id="rId16"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image" Target="media/image18.png"/><Relationship Id="rId53" Type="http://schemas.openxmlformats.org/officeDocument/2006/relationships/footer" Target="footer2.xml"/><Relationship Id="rId40" Type="http://schemas.openxmlformats.org/officeDocument/2006/relationships/image" Target="media/image29.png"/><Relationship Id="rId45" Type="http://schemas.openxmlformats.org/officeDocument/2006/relationships/image" Target="media/image34.jpeg"/><Relationship Id="rId32" Type="http://schemas.openxmlformats.org/officeDocument/2006/relationships/image" Target="media/image21.png"/><Relationship Id="rId37" Type="http://schemas.openxmlformats.org/officeDocument/2006/relationships/image" Target="media/image26.emf"/><Relationship Id="rId24" Type="http://schemas.openxmlformats.org/officeDocument/2006/relationships/image" Target="media/image13.png"/><Relationship Id="rId11" Type="http://schemas.openxmlformats.org/officeDocument/2006/relationships/chart" Target="charts/chart1.xml"/><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image" Target="media/image10.png"/><Relationship Id="rId14" Type="http://schemas.openxmlformats.org/officeDocument/2006/relationships/image" Target="media/image5.png"/><Relationship Id="rId43" Type="http://schemas.openxmlformats.org/officeDocument/2006/relationships/image" Target="media/image32.jpeg"/><Relationship Id="rId48" Type="http://schemas.openxmlformats.org/officeDocument/2006/relationships/hyperlink" Target="http://www.itu.int/ITU-D/ict/publications/idi/material/2012/MIS2012_without_Annex_4.pdf" TargetMode="External"/><Relationship Id="rId4" Type="http://schemas.microsoft.com/office/2007/relationships/stylesWithEffects" Target="stylesWithEffects.xml"/><Relationship Id="rId9" Type="http://schemas.openxmlformats.org/officeDocument/2006/relationships/image" Target="media/image1.jpeg"/><Relationship Id="rId30" Type="http://schemas.openxmlformats.org/officeDocument/2006/relationships/image" Target="media/image19.png"/><Relationship Id="rId35" Type="http://schemas.openxmlformats.org/officeDocument/2006/relationships/image" Target="media/image24.png"/><Relationship Id="rId22" Type="http://schemas.openxmlformats.org/officeDocument/2006/relationships/hyperlink" Target="http://www.itu.int/ITU-D/ict/datacollection" TargetMode="External"/><Relationship Id="rId27" Type="http://schemas.openxmlformats.org/officeDocument/2006/relationships/image" Target="media/image16.png"/><Relationship Id="rId56" Type="http://schemas.openxmlformats.org/officeDocument/2006/relationships/customXml" Target="../customXml/item2.xml"/><Relationship Id="rId51"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7" Type="http://schemas.openxmlformats.org/officeDocument/2006/relationships/image" Target="media/image8.png"/><Relationship Id="rId46" Type="http://schemas.openxmlformats.org/officeDocument/2006/relationships/hyperlink" Target="http://www.itu.int/en/ITU-D/Regulatory-Market/Pages/Regulatory-Publications.aspx" TargetMode="External"/><Relationship Id="rId33" Type="http://schemas.openxmlformats.org/officeDocument/2006/relationships/image" Target="media/image22.png"/><Relationship Id="rId38" Type="http://schemas.openxmlformats.org/officeDocument/2006/relationships/image" Target="media/image27.jpeg"/><Relationship Id="rId25" Type="http://schemas.openxmlformats.org/officeDocument/2006/relationships/image" Target="media/image14.png"/><Relationship Id="rId12" Type="http://schemas.openxmlformats.org/officeDocument/2006/relationships/image" Target="media/image3.png"/><Relationship Id="rId54" Type="http://schemas.openxmlformats.org/officeDocument/2006/relationships/fontTable" Target="fontTable.xml"/><Relationship Id="rId41" Type="http://schemas.openxmlformats.org/officeDocument/2006/relationships/image" Target="media/image30.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49" Type="http://schemas.openxmlformats.org/officeDocument/2006/relationships/hyperlink" Target="http://www.itu.int/net/ITU-D/CDS/gq/generic/asp-reference/gq_file_download.aspx?FileID=1544" TargetMode="External"/><Relationship Id="rId36" Type="http://schemas.openxmlformats.org/officeDocument/2006/relationships/image" Target="media/image25.jpeg"/><Relationship Id="rId23" Type="http://schemas.openxmlformats.org/officeDocument/2006/relationships/hyperlink" Target="http://www.itu.int/en/ITU-D/Statistics/Pages/default.aspx" TargetMode="External"/><Relationship Id="rId28" Type="http://schemas.openxmlformats.org/officeDocument/2006/relationships/image" Target="media/image17.png"/><Relationship Id="rId57" Type="http://schemas.openxmlformats.org/officeDocument/2006/relationships/customXml" Target="../customXml/item3.xml"/><Relationship Id="rId52" Type="http://schemas.openxmlformats.org/officeDocument/2006/relationships/footer" Target="footer1.xml"/><Relationship Id="rId44" Type="http://schemas.openxmlformats.org/officeDocument/2006/relationships/image" Target="media/image33.jpeg"/><Relationship Id="rId31" Type="http://schemas.openxmlformats.org/officeDocument/2006/relationships/image" Target="media/image20.png"/><Relationship Id="rId10"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mailto:cosmas.zavazava@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tu.int/bestpractices" TargetMode="External"/><Relationship Id="rId4" Type="http://schemas.openxmlformats.org/officeDocument/2006/relationships/hyperlink" Target="http://www.itu.int/trends12" TargetMode="External"/><Relationship Id="rId5" Type="http://schemas.openxmlformats.org/officeDocument/2006/relationships/hyperlink" Target="http://www.itu.int/icteye" TargetMode="External"/><Relationship Id="rId6" Type="http://schemas.openxmlformats.org/officeDocument/2006/relationships/hyperlink" Target="http://www.itu.int/ITU-D/ict/definitions/regions/index.html" TargetMode="External"/><Relationship Id="rId7" Type="http://schemas.openxmlformats.org/officeDocument/2006/relationships/hyperlink" Target="http://www.economist.com/node/21546028" TargetMode="External"/><Relationship Id="rId1" Type="http://schemas.openxmlformats.org/officeDocument/2006/relationships/hyperlink" Target="http://www.lovefilm.com/browse/film/watch-online/" TargetMode="External"/><Relationship Id="rId2" Type="http://schemas.openxmlformats.org/officeDocument/2006/relationships/hyperlink" Target="http://www.cisco.com/en/US/solutions/collateral/ns341/ns525/ns537/ns705/ns827/white_paper_c11-481360_ns827_Networking_Solutions_White_Paper.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blue\dfs\bdt\SRU_ADM\Charts\Trends13_chapte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'Reg Trends'!$B$1</c:f>
              <c:strCache>
                <c:ptCount val="1"/>
                <c:pt idx="0">
                  <c:v>Regulators</c:v>
                </c:pt>
              </c:strCache>
            </c:strRef>
          </c:tx>
          <c:marker>
            <c:symbol val="none"/>
          </c:marker>
          <c:cat>
            <c:strRef>
              <c:f>'Reg Trends'!$A$2:$A$11</c:f>
              <c:strCache>
                <c:ptCount val="10"/>
                <c:pt idx="0">
                  <c:v>1990</c:v>
                </c:pt>
                <c:pt idx="1">
                  <c:v>1995</c:v>
                </c:pt>
                <c:pt idx="2">
                  <c:v>1998</c:v>
                </c:pt>
                <c:pt idx="3">
                  <c:v>2000</c:v>
                </c:pt>
                <c:pt idx="4">
                  <c:v>2002</c:v>
                </c:pt>
                <c:pt idx="5">
                  <c:v>2004</c:v>
                </c:pt>
                <c:pt idx="6">
                  <c:v>2006</c:v>
                </c:pt>
                <c:pt idx="7">
                  <c:v>2008</c:v>
                </c:pt>
                <c:pt idx="8">
                  <c:v>2010</c:v>
                </c:pt>
                <c:pt idx="9">
                  <c:v>2012</c:v>
                </c:pt>
              </c:strCache>
            </c:strRef>
          </c:cat>
          <c:val>
            <c:numRef>
              <c:f>'Reg Trends'!$B$2:$B$11</c:f>
              <c:numCache>
                <c:formatCode>General</c:formatCode>
                <c:ptCount val="10"/>
                <c:pt idx="0">
                  <c:v>14.0</c:v>
                </c:pt>
                <c:pt idx="1">
                  <c:v>43.0</c:v>
                </c:pt>
                <c:pt idx="2">
                  <c:v>86.0</c:v>
                </c:pt>
                <c:pt idx="3">
                  <c:v>106.0</c:v>
                </c:pt>
                <c:pt idx="4">
                  <c:v>124.0</c:v>
                </c:pt>
                <c:pt idx="5" formatCode="0">
                  <c:v>137.0</c:v>
                </c:pt>
                <c:pt idx="6">
                  <c:v>148.0</c:v>
                </c:pt>
                <c:pt idx="7">
                  <c:v>152.0</c:v>
                </c:pt>
                <c:pt idx="8">
                  <c:v>157.0</c:v>
                </c:pt>
                <c:pt idx="9">
                  <c:v>160.0</c:v>
                </c:pt>
              </c:numCache>
            </c:numRef>
          </c:val>
          <c:smooth val="0"/>
        </c:ser>
        <c:ser>
          <c:idx val="1"/>
          <c:order val="1"/>
          <c:tx>
            <c:strRef>
              <c:f>'Reg Trends'!$C$1</c:f>
              <c:strCache>
                <c:ptCount val="1"/>
                <c:pt idx="0">
                  <c:v>Competition </c:v>
                </c:pt>
              </c:strCache>
            </c:strRef>
          </c:tx>
          <c:marker>
            <c:symbol val="none"/>
          </c:marker>
          <c:cat>
            <c:strRef>
              <c:f>'Reg Trends'!$A$2:$A$11</c:f>
              <c:strCache>
                <c:ptCount val="10"/>
                <c:pt idx="0">
                  <c:v>1990</c:v>
                </c:pt>
                <c:pt idx="1">
                  <c:v>1995</c:v>
                </c:pt>
                <c:pt idx="2">
                  <c:v>1998</c:v>
                </c:pt>
                <c:pt idx="3">
                  <c:v>2000</c:v>
                </c:pt>
                <c:pt idx="4">
                  <c:v>2002</c:v>
                </c:pt>
                <c:pt idx="5">
                  <c:v>2004</c:v>
                </c:pt>
                <c:pt idx="6">
                  <c:v>2006</c:v>
                </c:pt>
                <c:pt idx="7">
                  <c:v>2008</c:v>
                </c:pt>
                <c:pt idx="8">
                  <c:v>2010</c:v>
                </c:pt>
                <c:pt idx="9">
                  <c:v>2012</c:v>
                </c:pt>
              </c:strCache>
            </c:strRef>
          </c:cat>
          <c:val>
            <c:numRef>
              <c:f>'Reg Trends'!$C$2:$C$11</c:f>
              <c:numCache>
                <c:formatCode>General</c:formatCode>
                <c:ptCount val="10"/>
                <c:pt idx="0">
                  <c:v>9.0</c:v>
                </c:pt>
                <c:pt idx="1">
                  <c:v>16.0</c:v>
                </c:pt>
                <c:pt idx="2">
                  <c:v>44.0</c:v>
                </c:pt>
                <c:pt idx="3">
                  <c:v>59.0</c:v>
                </c:pt>
                <c:pt idx="4">
                  <c:v>75.0</c:v>
                </c:pt>
                <c:pt idx="5">
                  <c:v>99.0</c:v>
                </c:pt>
                <c:pt idx="6">
                  <c:v>110.0</c:v>
                </c:pt>
                <c:pt idx="7">
                  <c:v>119.0</c:v>
                </c:pt>
                <c:pt idx="8">
                  <c:v>126.0</c:v>
                </c:pt>
                <c:pt idx="9">
                  <c:v>134.0</c:v>
                </c:pt>
              </c:numCache>
            </c:numRef>
          </c:val>
          <c:smooth val="0"/>
        </c:ser>
        <c:ser>
          <c:idx val="2"/>
          <c:order val="2"/>
          <c:tx>
            <c:strRef>
              <c:f>'Reg Trends'!$D$1</c:f>
              <c:strCache>
                <c:ptCount val="1"/>
                <c:pt idx="0">
                  <c:v>Privatization</c:v>
                </c:pt>
              </c:strCache>
            </c:strRef>
          </c:tx>
          <c:marker>
            <c:symbol val="none"/>
          </c:marker>
          <c:cat>
            <c:strRef>
              <c:f>'Reg Trends'!$A$2:$A$11</c:f>
              <c:strCache>
                <c:ptCount val="10"/>
                <c:pt idx="0">
                  <c:v>1990</c:v>
                </c:pt>
                <c:pt idx="1">
                  <c:v>1995</c:v>
                </c:pt>
                <c:pt idx="2">
                  <c:v>1998</c:v>
                </c:pt>
                <c:pt idx="3">
                  <c:v>2000</c:v>
                </c:pt>
                <c:pt idx="4">
                  <c:v>2002</c:v>
                </c:pt>
                <c:pt idx="5">
                  <c:v>2004</c:v>
                </c:pt>
                <c:pt idx="6">
                  <c:v>2006</c:v>
                </c:pt>
                <c:pt idx="7">
                  <c:v>2008</c:v>
                </c:pt>
                <c:pt idx="8">
                  <c:v>2010</c:v>
                </c:pt>
                <c:pt idx="9">
                  <c:v>2012</c:v>
                </c:pt>
              </c:strCache>
            </c:strRef>
          </c:cat>
          <c:val>
            <c:numRef>
              <c:f>'Reg Trends'!$D$2:$D$11</c:f>
              <c:numCache>
                <c:formatCode>General</c:formatCode>
                <c:ptCount val="10"/>
                <c:pt idx="0">
                  <c:v>37.0</c:v>
                </c:pt>
                <c:pt idx="1">
                  <c:v>54.0</c:v>
                </c:pt>
                <c:pt idx="2">
                  <c:v>86.0</c:v>
                </c:pt>
                <c:pt idx="3">
                  <c:v>105.0</c:v>
                </c:pt>
                <c:pt idx="4">
                  <c:v>108.0</c:v>
                </c:pt>
                <c:pt idx="5">
                  <c:v>114.0</c:v>
                </c:pt>
                <c:pt idx="6">
                  <c:v>122.0</c:v>
                </c:pt>
                <c:pt idx="7">
                  <c:v>124.0</c:v>
                </c:pt>
                <c:pt idx="8">
                  <c:v>126.0</c:v>
                </c:pt>
                <c:pt idx="9">
                  <c:v>127.0</c:v>
                </c:pt>
              </c:numCache>
            </c:numRef>
          </c:val>
          <c:smooth val="0"/>
        </c:ser>
        <c:dLbls>
          <c:showLegendKey val="0"/>
          <c:showVal val="0"/>
          <c:showCatName val="0"/>
          <c:showSerName val="0"/>
          <c:showPercent val="0"/>
          <c:showBubbleSize val="0"/>
        </c:dLbls>
        <c:marker val="1"/>
        <c:smooth val="0"/>
        <c:axId val="2117236408"/>
        <c:axId val="2128296616"/>
      </c:lineChart>
      <c:catAx>
        <c:axId val="2117236408"/>
        <c:scaling>
          <c:orientation val="minMax"/>
        </c:scaling>
        <c:delete val="0"/>
        <c:axPos val="b"/>
        <c:majorTickMark val="out"/>
        <c:minorTickMark val="none"/>
        <c:tickLblPos val="nextTo"/>
        <c:crossAx val="2128296616"/>
        <c:crosses val="autoZero"/>
        <c:auto val="1"/>
        <c:lblAlgn val="ctr"/>
        <c:lblOffset val="100"/>
        <c:noMultiLvlLbl val="0"/>
      </c:catAx>
      <c:valAx>
        <c:axId val="2128296616"/>
        <c:scaling>
          <c:orientation val="minMax"/>
        </c:scaling>
        <c:delete val="0"/>
        <c:axPos val="l"/>
        <c:majorGridlines/>
        <c:title>
          <c:tx>
            <c:rich>
              <a:bodyPr rot="-5400000" vert="horz"/>
              <a:lstStyle/>
              <a:p>
                <a:pPr>
                  <a:defRPr/>
                </a:pPr>
                <a:r>
                  <a:rPr lang="en-US"/>
                  <a:t>Nº de países</a:t>
                </a:r>
              </a:p>
            </c:rich>
          </c:tx>
          <c:overlay val="0"/>
        </c:title>
        <c:numFmt formatCode="General" sourceLinked="1"/>
        <c:majorTickMark val="out"/>
        <c:minorTickMark val="none"/>
        <c:tickLblPos val="nextTo"/>
        <c:crossAx val="2117236408"/>
        <c:crosses val="autoZero"/>
        <c:crossBetween val="midCat"/>
      </c:valAx>
    </c:plotArea>
    <c:legend>
      <c:legendPos val="r"/>
      <c:layout>
        <c:manualLayout>
          <c:xMode val="edge"/>
          <c:yMode val="edge"/>
          <c:x val="0.694707567804025"/>
          <c:y val="0.517942548848061"/>
          <c:w val="0.230292432195976"/>
          <c:h val="0.258790355724006"/>
        </c:manualLayout>
      </c:layout>
      <c:overlay val="1"/>
      <c:spPr>
        <a:solidFill>
          <a:schemeClr val="bg1"/>
        </a:solidFill>
      </c:spPr>
    </c:legend>
    <c:plotVisOnly val="1"/>
    <c:dispBlanksAs val="gap"/>
    <c:showDLblsOverMax val="0"/>
  </c:chart>
  <c:spPr>
    <a:ln>
      <a:no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18CA64CB982A944B38491417EAAB28D" ma:contentTypeVersion="3" ma:contentTypeDescription="Create a new document." ma:contentTypeScope="" ma:versionID="9138b7e4c4a69f7f6b3cc7b4b1ea685c">
  <xsd:schema xmlns:xsd="http://www.w3.org/2001/XMLSchema" xmlns:xs="http://www.w3.org/2001/XMLSchema" xmlns:p="http://schemas.microsoft.com/office/2006/metadata/properties" xmlns:ns1="http://schemas.microsoft.com/sharepoint/v3" targetNamespace="http://schemas.microsoft.com/office/2006/metadata/properties" ma:root="true" ma:fieldsID="6f683ceec20255c2e0c615744c076fe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27F962-852A-42FD-B13E-7838436EA005}"/>
</file>

<file path=customXml/itemProps2.xml><?xml version="1.0" encoding="utf-8"?>
<ds:datastoreItem xmlns:ds="http://schemas.openxmlformats.org/officeDocument/2006/customXml" ds:itemID="{C0BCD7BF-CA1A-5A4A-B739-EC7B56A8B801}"/>
</file>

<file path=customXml/itemProps3.xml><?xml version="1.0" encoding="utf-8"?>
<ds:datastoreItem xmlns:ds="http://schemas.openxmlformats.org/officeDocument/2006/customXml" ds:itemID="{BCC6D11B-4A15-4081-BBAD-8859F2460BBA}"/>
</file>

<file path=customXml/itemProps4.xml><?xml version="1.0" encoding="utf-8"?>
<ds:datastoreItem xmlns:ds="http://schemas.openxmlformats.org/officeDocument/2006/customXml" ds:itemID="{79CAB002-3C86-4ED8-B1DC-CEAEB14191BC}"/>
</file>

<file path=docProps/app.xml><?xml version="1.0" encoding="utf-8"?>
<Properties xmlns="http://schemas.openxmlformats.org/officeDocument/2006/extended-properties" xmlns:vt="http://schemas.openxmlformats.org/officeDocument/2006/docPropsVTypes">
  <Template>Normal.dotm</Template>
  <TotalTime>1</TotalTime>
  <Pages>47</Pages>
  <Words>13545</Words>
  <Characters>77210</Characters>
  <Application>Microsoft Macintosh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Korka, Diana</dc:creator>
  <cp:lastModifiedBy>Sarah Parkes</cp:lastModifiedBy>
  <cp:revision>2</cp:revision>
  <cp:lastPrinted>2013-06-25T13:03:00Z</cp:lastPrinted>
  <dcterms:created xsi:type="dcterms:W3CDTF">2013-12-02T18:04:00Z</dcterms:created>
  <dcterms:modified xsi:type="dcterms:W3CDTF">2013-12-02T18:04:00Z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0x010100718CA64CB982A944B38491417EAAB28D</vt:lpwstr>
  </property>
</Properties>
</file>