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F04067" w:rsidRDefault="00F04067" w:rsidP="00F04067">
            <w:pPr>
              <w:spacing w:before="240" w:after="48" w:line="240" w:lineRule="atLeast"/>
              <w:rPr>
                <w:rFonts w:cstheme="minorHAnsi"/>
                <w:b/>
                <w:bCs/>
                <w:position w:val="6"/>
                <w:sz w:val="28"/>
                <w:szCs w:val="28"/>
                <w:lang w:val="en-US"/>
              </w:rPr>
            </w:pPr>
            <w:bookmarkStart w:id="0" w:name="_GoBack"/>
            <w:bookmarkEnd w:id="0"/>
            <w:r w:rsidRPr="00DD08B4">
              <w:rPr>
                <w:rFonts w:cstheme="minorHAnsi"/>
                <w:b/>
                <w:position w:val="6"/>
                <w:sz w:val="28"/>
                <w:szCs w:val="28"/>
                <w:lang w:val="en-US"/>
              </w:rPr>
              <w:t xml:space="preserve">World Conference on International </w:t>
            </w:r>
            <w:r w:rsidR="00DD08B4">
              <w:rPr>
                <w:rFonts w:cstheme="minorHAnsi"/>
                <w:b/>
                <w:position w:val="6"/>
                <w:sz w:val="28"/>
                <w:szCs w:val="28"/>
                <w:lang w:val="en-US"/>
              </w:rPr>
              <w:br/>
            </w:r>
            <w:r w:rsidRPr="00DD08B4">
              <w:rPr>
                <w:rFonts w:cstheme="minorHAnsi"/>
                <w:b/>
                <w:position w:val="6"/>
                <w:sz w:val="28"/>
                <w:szCs w:val="28"/>
                <w:lang w:val="en-US"/>
              </w:rPr>
              <w:t>Telecommunications (WCIT-12)</w:t>
            </w:r>
            <w:r w:rsidRPr="00DD08B4">
              <w:rPr>
                <w:rFonts w:cstheme="minorHAnsi"/>
                <w:b/>
                <w:position w:val="6"/>
                <w:sz w:val="28"/>
                <w:szCs w:val="28"/>
                <w:lang w:val="en-US"/>
              </w:rPr>
              <w:br/>
            </w:r>
            <w:r w:rsidRPr="00F04067">
              <w:rPr>
                <w:rFonts w:cstheme="minorHAnsi"/>
                <w:b/>
                <w:bCs/>
                <w:position w:val="6"/>
                <w:sz w:val="22"/>
                <w:szCs w:val="22"/>
                <w:lang w:val="en-US"/>
              </w:rPr>
              <w:t>Dubai, 3-14 December 2012</w:t>
            </w:r>
          </w:p>
        </w:tc>
        <w:tc>
          <w:tcPr>
            <w:tcW w:w="3120" w:type="dxa"/>
          </w:tcPr>
          <w:p w:rsidR="00A066F1" w:rsidRPr="00D96B4B" w:rsidRDefault="00A066F1" w:rsidP="00A066F1">
            <w:pPr>
              <w:spacing w:before="0" w:line="240" w:lineRule="atLeast"/>
              <w:rPr>
                <w:rFonts w:cstheme="minorHAnsi"/>
              </w:rPr>
            </w:pPr>
            <w:bookmarkStart w:id="1" w:name="ditulogo"/>
            <w:bookmarkEnd w:id="1"/>
            <w:r w:rsidRPr="00D96B4B">
              <w:rPr>
                <w:rFonts w:cstheme="minorHAnsi"/>
                <w:noProof/>
                <w:lang w:val="en-US" w:eastAsia="zh-CN"/>
              </w:rPr>
              <w:drawing>
                <wp:inline distT="0" distB="0" distL="0" distR="0" wp14:anchorId="4D106717" wp14:editId="094FC908">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066F1" w:rsidRPr="00617BE4">
        <w:trPr>
          <w:cantSplit/>
        </w:trPr>
        <w:tc>
          <w:tcPr>
            <w:tcW w:w="6911" w:type="dxa"/>
            <w:tcBorders>
              <w:bottom w:val="single" w:sz="12" w:space="0" w:color="auto"/>
            </w:tcBorders>
          </w:tcPr>
          <w:p w:rsidR="00A066F1" w:rsidRPr="00D96B4B" w:rsidRDefault="00A066F1" w:rsidP="00A066F1">
            <w:pPr>
              <w:spacing w:before="0" w:after="48" w:line="240" w:lineRule="atLeast"/>
              <w:rPr>
                <w:rFonts w:cstheme="minorHAnsi"/>
                <w:b/>
                <w:smallCaps/>
                <w:szCs w:val="24"/>
              </w:rPr>
            </w:pPr>
            <w:bookmarkStart w:id="2" w:name="dhead"/>
          </w:p>
        </w:tc>
        <w:tc>
          <w:tcPr>
            <w:tcW w:w="3120" w:type="dxa"/>
            <w:tcBorders>
              <w:bottom w:val="single" w:sz="12" w:space="0" w:color="auto"/>
            </w:tcBorders>
          </w:tcPr>
          <w:p w:rsidR="00A066F1" w:rsidRPr="00D96B4B" w:rsidRDefault="00A066F1" w:rsidP="00A066F1">
            <w:pPr>
              <w:spacing w:before="0" w:line="240" w:lineRule="atLeast"/>
              <w:rPr>
                <w:rFonts w:cstheme="minorHAnsi"/>
                <w:szCs w:val="24"/>
              </w:rPr>
            </w:pPr>
          </w:p>
        </w:tc>
      </w:tr>
      <w:tr w:rsidR="00A066F1" w:rsidRPr="00C324A8">
        <w:trPr>
          <w:cantSplit/>
        </w:trPr>
        <w:tc>
          <w:tcPr>
            <w:tcW w:w="6911" w:type="dxa"/>
            <w:tcBorders>
              <w:top w:val="single" w:sz="12" w:space="0" w:color="auto"/>
            </w:tcBorders>
          </w:tcPr>
          <w:p w:rsidR="00A066F1" w:rsidRPr="00D96B4B" w:rsidRDefault="00A066F1" w:rsidP="00A066F1">
            <w:pPr>
              <w:spacing w:before="0" w:after="48" w:line="240" w:lineRule="atLeast"/>
              <w:rPr>
                <w:rFonts w:cstheme="minorHAnsi"/>
                <w:b/>
                <w:smallCaps/>
                <w:sz w:val="20"/>
              </w:rPr>
            </w:pPr>
          </w:p>
        </w:tc>
        <w:tc>
          <w:tcPr>
            <w:tcW w:w="3120" w:type="dxa"/>
            <w:tcBorders>
              <w:top w:val="single" w:sz="12" w:space="0" w:color="auto"/>
            </w:tcBorders>
          </w:tcPr>
          <w:p w:rsidR="00A066F1" w:rsidRPr="00D96B4B" w:rsidRDefault="00A066F1" w:rsidP="00A066F1">
            <w:pPr>
              <w:spacing w:before="0" w:line="240" w:lineRule="atLeast"/>
              <w:rPr>
                <w:rFonts w:cstheme="minorHAnsi"/>
                <w:sz w:val="20"/>
              </w:rPr>
            </w:pPr>
          </w:p>
        </w:tc>
      </w:tr>
      <w:tr w:rsidR="00A066F1" w:rsidRPr="005437F0">
        <w:trPr>
          <w:cantSplit/>
          <w:trHeight w:val="23"/>
        </w:trPr>
        <w:tc>
          <w:tcPr>
            <w:tcW w:w="6911" w:type="dxa"/>
            <w:shd w:val="clear" w:color="auto" w:fill="auto"/>
          </w:tcPr>
          <w:p w:rsidR="00A066F1" w:rsidRPr="00D96B4B" w:rsidRDefault="00E55816" w:rsidP="004131D4">
            <w:pPr>
              <w:pStyle w:val="Committee"/>
              <w:framePr w:hSpace="0" w:wrap="auto" w:hAnchor="text" w:yAlign="inline"/>
            </w:pPr>
            <w:bookmarkStart w:id="3" w:name="dnum" w:colFirst="1" w:colLast="1"/>
            <w:bookmarkStart w:id="4" w:name="dmeeting" w:colFirst="0" w:colLast="0"/>
            <w:bookmarkEnd w:id="2"/>
            <w:r w:rsidRPr="00D96B4B">
              <w:t>PLENARY MEETING</w:t>
            </w:r>
          </w:p>
        </w:tc>
        <w:tc>
          <w:tcPr>
            <w:tcW w:w="3120" w:type="dxa"/>
          </w:tcPr>
          <w:p w:rsidR="00A066F1" w:rsidRPr="00731E60" w:rsidRDefault="00731E60" w:rsidP="00AA666F">
            <w:pPr>
              <w:tabs>
                <w:tab w:val="left" w:pos="851"/>
              </w:tabs>
              <w:spacing w:before="0" w:line="240" w:lineRule="atLeast"/>
              <w:rPr>
                <w:rFonts w:cstheme="minorHAnsi"/>
                <w:szCs w:val="24"/>
                <w:lang w:val="es-ES_tradnl"/>
              </w:rPr>
            </w:pPr>
            <w:proofErr w:type="spellStart"/>
            <w:r w:rsidRPr="00731E60">
              <w:rPr>
                <w:rFonts w:cstheme="minorHAnsi"/>
                <w:b/>
                <w:szCs w:val="24"/>
                <w:lang w:val="es-ES_tradnl"/>
              </w:rPr>
              <w:t>Corrigendum</w:t>
            </w:r>
            <w:proofErr w:type="spellEnd"/>
            <w:r w:rsidRPr="00731E60">
              <w:rPr>
                <w:rFonts w:cstheme="minorHAnsi"/>
                <w:b/>
                <w:szCs w:val="24"/>
                <w:lang w:val="es-ES_tradnl"/>
              </w:rPr>
              <w:t xml:space="preserve"> 1 </w:t>
            </w:r>
            <w:proofErr w:type="spellStart"/>
            <w:r w:rsidRPr="00731E60">
              <w:rPr>
                <w:rFonts w:cstheme="minorHAnsi"/>
                <w:b/>
                <w:szCs w:val="24"/>
                <w:lang w:val="es-ES_tradnl"/>
              </w:rPr>
              <w:t>to</w:t>
            </w:r>
            <w:proofErr w:type="spellEnd"/>
            <w:r w:rsidRPr="00731E60">
              <w:rPr>
                <w:rFonts w:cstheme="minorHAnsi"/>
                <w:b/>
                <w:szCs w:val="24"/>
                <w:lang w:val="es-ES_tradnl"/>
              </w:rPr>
              <w:br/>
            </w:r>
            <w:proofErr w:type="spellStart"/>
            <w:r w:rsidR="00002B6E" w:rsidRPr="00731E60">
              <w:rPr>
                <w:rFonts w:cstheme="minorHAnsi"/>
                <w:b/>
                <w:szCs w:val="24"/>
                <w:lang w:val="es-ES_tradnl"/>
              </w:rPr>
              <w:t>Document</w:t>
            </w:r>
            <w:proofErr w:type="spellEnd"/>
            <w:r w:rsidR="00002B6E" w:rsidRPr="00731E60">
              <w:rPr>
                <w:rFonts w:cstheme="minorHAnsi"/>
                <w:b/>
                <w:szCs w:val="24"/>
                <w:lang w:val="es-ES_tradnl"/>
              </w:rPr>
              <w:t xml:space="preserve"> DT/1-E</w:t>
            </w:r>
          </w:p>
        </w:tc>
      </w:tr>
      <w:tr w:rsidR="00A066F1" w:rsidRPr="00C324A8">
        <w:trPr>
          <w:cantSplit/>
          <w:trHeight w:val="23"/>
        </w:trPr>
        <w:tc>
          <w:tcPr>
            <w:tcW w:w="6911" w:type="dxa"/>
            <w:shd w:val="clear" w:color="auto" w:fill="auto"/>
          </w:tcPr>
          <w:p w:rsidR="00A066F1" w:rsidRPr="00731E60" w:rsidRDefault="00A066F1" w:rsidP="00A066F1">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3"/>
            <w:bookmarkEnd w:id="4"/>
          </w:p>
        </w:tc>
        <w:tc>
          <w:tcPr>
            <w:tcW w:w="3120" w:type="dxa"/>
          </w:tcPr>
          <w:p w:rsidR="00A066F1" w:rsidRPr="00D96B4B" w:rsidRDefault="00E55816" w:rsidP="00731E60">
            <w:pPr>
              <w:spacing w:before="0" w:line="240" w:lineRule="atLeast"/>
              <w:rPr>
                <w:rFonts w:cstheme="minorHAnsi"/>
                <w:szCs w:val="24"/>
              </w:rPr>
            </w:pPr>
            <w:r w:rsidRPr="00D96B4B">
              <w:rPr>
                <w:rFonts w:cstheme="minorHAnsi"/>
                <w:b/>
                <w:szCs w:val="24"/>
              </w:rPr>
              <w:t xml:space="preserve">3 </w:t>
            </w:r>
            <w:r w:rsidR="00731E60">
              <w:rPr>
                <w:rFonts w:cstheme="minorHAnsi"/>
                <w:b/>
                <w:szCs w:val="24"/>
              </w:rPr>
              <w:t>Dec</w:t>
            </w:r>
            <w:r w:rsidRPr="00D96B4B">
              <w:rPr>
                <w:rFonts w:cstheme="minorHAnsi"/>
                <w:b/>
                <w:szCs w:val="24"/>
              </w:rPr>
              <w:t>ember 2012</w:t>
            </w:r>
          </w:p>
        </w:tc>
      </w:tr>
      <w:tr w:rsidR="00A066F1" w:rsidRPr="00C324A8">
        <w:trPr>
          <w:cantSplit/>
          <w:trHeight w:val="23"/>
        </w:trPr>
        <w:tc>
          <w:tcPr>
            <w:tcW w:w="6911" w:type="dxa"/>
            <w:shd w:val="clear" w:color="auto" w:fill="auto"/>
          </w:tcPr>
          <w:p w:rsidR="00A066F1" w:rsidRPr="00D96B4B" w:rsidRDefault="00A066F1" w:rsidP="00A066F1">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rsidR="00A066F1" w:rsidRPr="00D96B4B" w:rsidRDefault="00002B6E" w:rsidP="00A066F1">
            <w:pPr>
              <w:tabs>
                <w:tab w:val="left" w:pos="993"/>
              </w:tabs>
              <w:spacing w:before="0"/>
              <w:rPr>
                <w:rFonts w:cstheme="minorHAnsi"/>
                <w:b/>
                <w:szCs w:val="24"/>
              </w:rPr>
            </w:pPr>
            <w:r>
              <w:rPr>
                <w:rFonts w:cstheme="minorHAnsi"/>
                <w:b/>
                <w:szCs w:val="24"/>
              </w:rPr>
              <w:t>English only</w:t>
            </w:r>
          </w:p>
        </w:tc>
      </w:tr>
      <w:tr w:rsidR="00A066F1" w:rsidRPr="00C324A8" w:rsidTr="00463C43">
        <w:trPr>
          <w:cantSplit/>
          <w:trHeight w:val="23"/>
        </w:trPr>
        <w:tc>
          <w:tcPr>
            <w:tcW w:w="10031" w:type="dxa"/>
            <w:gridSpan w:val="2"/>
            <w:shd w:val="clear" w:color="auto" w:fill="auto"/>
          </w:tcPr>
          <w:p w:rsidR="00A066F1" w:rsidRPr="00D96B4B" w:rsidRDefault="00A066F1" w:rsidP="00A066F1">
            <w:pPr>
              <w:tabs>
                <w:tab w:val="left" w:pos="993"/>
              </w:tabs>
              <w:spacing w:before="0"/>
              <w:rPr>
                <w:rFonts w:ascii="Verdana" w:hAnsi="Verdana"/>
                <w:b/>
                <w:szCs w:val="24"/>
              </w:rPr>
            </w:pPr>
          </w:p>
        </w:tc>
      </w:tr>
      <w:tr w:rsidR="00E55816" w:rsidRPr="00C324A8" w:rsidTr="00463C43">
        <w:trPr>
          <w:cantSplit/>
          <w:trHeight w:val="23"/>
        </w:trPr>
        <w:tc>
          <w:tcPr>
            <w:tcW w:w="10031" w:type="dxa"/>
            <w:gridSpan w:val="2"/>
            <w:shd w:val="clear" w:color="auto" w:fill="auto"/>
          </w:tcPr>
          <w:p w:rsidR="00E55816" w:rsidRDefault="00E55816" w:rsidP="00E55816">
            <w:pPr>
              <w:pStyle w:val="Source"/>
            </w:pPr>
          </w:p>
        </w:tc>
      </w:tr>
      <w:tr w:rsidR="00E55816" w:rsidRPr="00C324A8" w:rsidTr="00463C43">
        <w:trPr>
          <w:cantSplit/>
          <w:trHeight w:val="23"/>
        </w:trPr>
        <w:tc>
          <w:tcPr>
            <w:tcW w:w="10031" w:type="dxa"/>
            <w:gridSpan w:val="2"/>
            <w:shd w:val="clear" w:color="auto" w:fill="auto"/>
          </w:tcPr>
          <w:p w:rsidR="00E55816" w:rsidRDefault="007D5320" w:rsidP="00E55816">
            <w:pPr>
              <w:pStyle w:val="Title1"/>
            </w:pPr>
            <w:r>
              <w:t xml:space="preserve">PROPOSALS RECEIVED FROM ITU MEMBER STATES </w:t>
            </w:r>
            <w:r w:rsidR="00002B6E">
              <w:br/>
            </w:r>
            <w:r>
              <w:t>FOR THE WORK OF THE CONFERENCE</w:t>
            </w:r>
          </w:p>
        </w:tc>
      </w:tr>
      <w:tr w:rsidR="00E55816" w:rsidRPr="00C324A8" w:rsidTr="00463C43">
        <w:trPr>
          <w:cantSplit/>
          <w:trHeight w:val="23"/>
        </w:trPr>
        <w:tc>
          <w:tcPr>
            <w:tcW w:w="10031" w:type="dxa"/>
            <w:gridSpan w:val="2"/>
            <w:shd w:val="clear" w:color="auto" w:fill="auto"/>
          </w:tcPr>
          <w:p w:rsidR="00E55816" w:rsidRDefault="00E55816" w:rsidP="00E55816">
            <w:pPr>
              <w:pStyle w:val="Title2"/>
            </w:pPr>
          </w:p>
        </w:tc>
      </w:tr>
      <w:tr w:rsidR="00A538A6" w:rsidRPr="00C324A8" w:rsidTr="00463C43">
        <w:trPr>
          <w:cantSplit/>
          <w:trHeight w:val="23"/>
        </w:trPr>
        <w:tc>
          <w:tcPr>
            <w:tcW w:w="10031" w:type="dxa"/>
            <w:gridSpan w:val="2"/>
            <w:shd w:val="clear" w:color="auto" w:fill="auto"/>
          </w:tcPr>
          <w:p w:rsidR="00A538A6" w:rsidRPr="001E71E9" w:rsidRDefault="00A538A6" w:rsidP="004B13CB">
            <w:pPr>
              <w:pStyle w:val="Agendaitem"/>
              <w:rPr>
                <w:lang w:val="en-US"/>
              </w:rPr>
            </w:pPr>
          </w:p>
        </w:tc>
      </w:tr>
    </w:tbl>
    <w:bookmarkEnd w:id="7"/>
    <w:bookmarkEnd w:id="8"/>
    <w:p w:rsidR="00653C03" w:rsidRPr="00731E60" w:rsidRDefault="00731E60" w:rsidP="00731E60">
      <w:pPr>
        <w:pStyle w:val="Proposal"/>
        <w:jc w:val="center"/>
        <w:rPr>
          <w:lang w:val="en-US"/>
        </w:rPr>
      </w:pPr>
      <w:r w:rsidRPr="00731E60">
        <w:rPr>
          <w:lang w:val="en-US"/>
        </w:rPr>
        <w:t>Please add the following proposal</w:t>
      </w:r>
      <w:r>
        <w:rPr>
          <w:lang w:val="en-US"/>
        </w:rPr>
        <w:t xml:space="preserve"> (</w:t>
      </w:r>
      <w:r w:rsidRPr="00CD4780">
        <w:t>ACP/3A3/1</w:t>
      </w:r>
      <w:r>
        <w:t xml:space="preserve">) </w:t>
      </w:r>
      <w:r w:rsidRPr="00731E60">
        <w:rPr>
          <w:lang w:val="en-US"/>
        </w:rPr>
        <w:t>under General Matters.</w:t>
      </w:r>
    </w:p>
    <w:p w:rsidR="00731E60" w:rsidRDefault="00731E60" w:rsidP="00731E60">
      <w:pPr>
        <w:rPr>
          <w:lang w:val="en-US"/>
        </w:rPr>
      </w:pPr>
    </w:p>
    <w:p w:rsidR="00731E60" w:rsidRDefault="00731E60">
      <w:pPr>
        <w:tabs>
          <w:tab w:val="clear" w:pos="1134"/>
          <w:tab w:val="clear" w:pos="1871"/>
          <w:tab w:val="clear" w:pos="2268"/>
        </w:tabs>
        <w:overflowPunct/>
        <w:autoSpaceDE/>
        <w:autoSpaceDN/>
        <w:adjustRightInd/>
        <w:spacing w:before="0"/>
        <w:textAlignment w:val="auto"/>
        <w:rPr>
          <w:lang w:val="en-US"/>
        </w:rPr>
      </w:pPr>
      <w:r>
        <w:rPr>
          <w:lang w:val="en-US"/>
        </w:rPr>
        <w:br w:type="page"/>
      </w:r>
    </w:p>
    <w:p w:rsidR="00731E60" w:rsidRPr="00CD4780" w:rsidRDefault="00731E60" w:rsidP="00731E60">
      <w:pPr>
        <w:pStyle w:val="Proposal"/>
      </w:pPr>
      <w:r w:rsidRPr="00CD4780">
        <w:rPr>
          <w:b/>
          <w:bCs/>
        </w:rPr>
        <w:lastRenderedPageBreak/>
        <w:tab/>
      </w:r>
      <w:r w:rsidRPr="00CD4780">
        <w:t>ACP/3A3/1</w:t>
      </w:r>
    </w:p>
    <w:p w:rsidR="00731E60" w:rsidRPr="00CD4780" w:rsidRDefault="00731E60" w:rsidP="00731E60">
      <w:pPr>
        <w:rPr>
          <w:rFonts w:ascii="Calibri" w:hAnsi="Calibri" w:cs="Calibri"/>
          <w:b/>
          <w:bCs/>
          <w:iCs/>
          <w:sz w:val="28"/>
          <w:szCs w:val="28"/>
        </w:rPr>
      </w:pPr>
      <w:r w:rsidRPr="00CD4780">
        <w:rPr>
          <w:rFonts w:ascii="Calibri" w:hAnsi="Calibri" w:cs="Calibri"/>
          <w:b/>
          <w:bCs/>
          <w:iCs/>
          <w:sz w:val="28"/>
          <w:szCs w:val="28"/>
        </w:rPr>
        <w:t>Principles</w:t>
      </w:r>
    </w:p>
    <w:p w:rsidR="00731E60" w:rsidRPr="00CD4780" w:rsidRDefault="00731E60" w:rsidP="00731E60">
      <w:pPr>
        <w:tabs>
          <w:tab w:val="clear" w:pos="1134"/>
          <w:tab w:val="clear" w:pos="1871"/>
          <w:tab w:val="left" w:pos="1418"/>
        </w:tabs>
        <w:ind w:left="1418" w:hanging="1418"/>
        <w:rPr>
          <w:rFonts w:ascii="Calibri" w:hAnsi="Calibri" w:cs="Calibri"/>
          <w:iCs/>
        </w:rPr>
      </w:pPr>
      <w:r w:rsidRPr="00CD4780">
        <w:rPr>
          <w:rFonts w:ascii="Calibri" w:hAnsi="Calibri" w:cs="Calibri"/>
          <w:b/>
          <w:bCs/>
          <w:iCs/>
        </w:rPr>
        <w:t>Principle 1</w:t>
      </w:r>
      <w:r w:rsidRPr="00CD4780">
        <w:rPr>
          <w:rFonts w:ascii="Calibri" w:hAnsi="Calibri" w:cs="Calibri"/>
          <w:b/>
          <w:bCs/>
          <w:iCs/>
        </w:rPr>
        <w:tab/>
      </w:r>
      <w:r w:rsidRPr="00CD4780">
        <w:rPr>
          <w:rFonts w:ascii="Calibri" w:hAnsi="Calibri" w:cs="Calibri"/>
          <w:iCs/>
        </w:rPr>
        <w:t>CS 31 and 32 of Article 4 of the Constitution, “</w:t>
      </w:r>
      <w:r w:rsidRPr="00CD4780">
        <w:rPr>
          <w:rFonts w:ascii="Calibri" w:hAnsi="Calibri" w:cs="Calibri"/>
        </w:rPr>
        <w:t>Instrument of the Uni</w:t>
      </w:r>
      <w:r w:rsidRPr="00CD4780">
        <w:rPr>
          <w:rFonts w:ascii="Calibri" w:hAnsi="Calibri" w:cs="Calibri"/>
          <w:iCs/>
        </w:rPr>
        <w:t>on” stipulate that:</w:t>
      </w:r>
    </w:p>
    <w:tbl>
      <w:tblPr>
        <w:tblW w:w="0" w:type="auto"/>
        <w:tblInd w:w="8" w:type="dxa"/>
        <w:tblLayout w:type="fixed"/>
        <w:tblCellMar>
          <w:left w:w="0" w:type="dxa"/>
          <w:right w:w="0" w:type="dxa"/>
        </w:tblCellMar>
        <w:tblLook w:val="04A0" w:firstRow="1" w:lastRow="0" w:firstColumn="1" w:lastColumn="0" w:noHBand="0" w:noVBand="1"/>
      </w:tblPr>
      <w:tblGrid>
        <w:gridCol w:w="851"/>
        <w:gridCol w:w="8213"/>
      </w:tblGrid>
      <w:tr w:rsidR="00731E60" w:rsidRPr="00CD4780" w:rsidTr="003F25A7">
        <w:tc>
          <w:tcPr>
            <w:tcW w:w="851" w:type="dxa"/>
            <w:hideMark/>
          </w:tcPr>
          <w:p w:rsidR="00731E60" w:rsidRPr="00CD4780" w:rsidRDefault="00731E60" w:rsidP="003F25A7">
            <w:pPr>
              <w:tabs>
                <w:tab w:val="left" w:pos="680"/>
              </w:tabs>
              <w:spacing w:before="60"/>
              <w:jc w:val="both"/>
              <w:rPr>
                <w:rFonts w:ascii="Calibri" w:hAnsi="Calibri" w:cs="Calibri"/>
                <w:i/>
                <w:iCs/>
                <w:szCs w:val="24"/>
                <w:lang w:eastAsia="ja-JP"/>
              </w:rPr>
            </w:pPr>
            <w:r w:rsidRPr="00CD4780">
              <w:rPr>
                <w:rFonts w:ascii="Calibri" w:hAnsi="Calibri" w:cs="Calibri"/>
                <w:b/>
                <w:i/>
                <w:iCs/>
              </w:rPr>
              <w:t>31</w:t>
            </w:r>
            <w:r w:rsidRPr="00CD4780">
              <w:rPr>
                <w:rFonts w:ascii="Calibri" w:hAnsi="Calibri" w:cs="Calibri"/>
                <w:b/>
                <w:i/>
                <w:iCs/>
                <w:sz w:val="18"/>
              </w:rPr>
              <w:t>  </w:t>
            </w:r>
            <w:r w:rsidRPr="00CD4780">
              <w:rPr>
                <w:rFonts w:ascii="Calibri" w:hAnsi="Calibri" w:cs="Calibri"/>
                <w:b/>
                <w:i/>
                <w:iCs/>
                <w:sz w:val="18"/>
              </w:rPr>
              <w:br/>
              <w:t>PP-98</w:t>
            </w:r>
          </w:p>
        </w:tc>
        <w:tc>
          <w:tcPr>
            <w:tcW w:w="8213" w:type="dxa"/>
            <w:hideMark/>
          </w:tcPr>
          <w:p w:rsidR="00731E60" w:rsidRPr="00CD4780" w:rsidRDefault="00731E60" w:rsidP="003F25A7">
            <w:pPr>
              <w:tabs>
                <w:tab w:val="left" w:pos="680"/>
                <w:tab w:val="left" w:pos="1277"/>
              </w:tabs>
              <w:spacing w:before="60"/>
              <w:jc w:val="both"/>
              <w:rPr>
                <w:rFonts w:ascii="Calibri" w:hAnsi="Calibri" w:cs="Calibri"/>
                <w:i/>
                <w:iCs/>
                <w:szCs w:val="24"/>
                <w:lang w:eastAsia="ja-JP"/>
              </w:rPr>
            </w:pPr>
            <w:r w:rsidRPr="00CD4780">
              <w:rPr>
                <w:rFonts w:ascii="Calibri" w:hAnsi="Calibri" w:cs="Calibri"/>
                <w:i/>
                <w:iCs/>
              </w:rPr>
              <w:t>3</w:t>
            </w:r>
            <w:r w:rsidRPr="00CD4780">
              <w:rPr>
                <w:rFonts w:ascii="Calibri" w:hAnsi="Calibri" w:cs="Calibri"/>
                <w:b/>
                <w:i/>
                <w:iCs/>
              </w:rPr>
              <w:tab/>
            </w:r>
            <w:r w:rsidRPr="00CD4780">
              <w:rPr>
                <w:rFonts w:ascii="Calibri" w:hAnsi="Calibri" w:cs="Calibri"/>
                <w:i/>
                <w:iCs/>
              </w:rPr>
              <w:t>The provisions of both this Constitution and the Convention are further complemented by those of the Administrative Regulations, enu</w:t>
            </w:r>
            <w:r w:rsidRPr="00CD4780">
              <w:rPr>
                <w:rFonts w:ascii="Calibri" w:hAnsi="Calibri" w:cs="Calibri"/>
                <w:i/>
                <w:iCs/>
              </w:rPr>
              <w:softHyphen/>
              <w:t>merated below, which regulate the use of telecommunications and shall be binding on all Member States:</w:t>
            </w:r>
          </w:p>
        </w:tc>
      </w:tr>
      <w:tr w:rsidR="00731E60" w:rsidRPr="00CD4780" w:rsidTr="003F25A7">
        <w:tc>
          <w:tcPr>
            <w:tcW w:w="851" w:type="dxa"/>
          </w:tcPr>
          <w:p w:rsidR="00731E60" w:rsidRPr="00CD4780" w:rsidRDefault="00731E60" w:rsidP="003F25A7">
            <w:pPr>
              <w:tabs>
                <w:tab w:val="left" w:pos="680"/>
                <w:tab w:val="left" w:pos="2608"/>
                <w:tab w:val="left" w:pos="3345"/>
              </w:tabs>
              <w:jc w:val="both"/>
              <w:rPr>
                <w:rFonts w:ascii="Calibri" w:hAnsi="Calibri" w:cs="Calibri"/>
                <w:b/>
                <w:i/>
                <w:iCs/>
                <w:szCs w:val="24"/>
                <w:lang w:eastAsia="ja-JP"/>
              </w:rPr>
            </w:pPr>
          </w:p>
        </w:tc>
        <w:tc>
          <w:tcPr>
            <w:tcW w:w="8213" w:type="dxa"/>
            <w:hideMark/>
          </w:tcPr>
          <w:p w:rsidR="00731E60" w:rsidRPr="00CD4780" w:rsidRDefault="00731E60" w:rsidP="003F25A7">
            <w:pPr>
              <w:tabs>
                <w:tab w:val="left" w:pos="680"/>
                <w:tab w:val="left" w:pos="2608"/>
                <w:tab w:val="left" w:pos="3345"/>
              </w:tabs>
              <w:jc w:val="both"/>
              <w:rPr>
                <w:rFonts w:ascii="Calibri" w:hAnsi="Calibri" w:cs="Calibri"/>
                <w:i/>
                <w:iCs/>
                <w:szCs w:val="24"/>
                <w:lang w:eastAsia="ja-JP"/>
              </w:rPr>
            </w:pPr>
            <w:r w:rsidRPr="00CD4780">
              <w:rPr>
                <w:rFonts w:ascii="Calibri" w:hAnsi="Calibri" w:cs="Calibri"/>
                <w:i/>
                <w:iCs/>
              </w:rPr>
              <w:t>–</w:t>
            </w:r>
            <w:r w:rsidRPr="00CD4780">
              <w:rPr>
                <w:rFonts w:ascii="Calibri" w:hAnsi="Calibri" w:cs="Calibri"/>
                <w:b/>
                <w:i/>
                <w:iCs/>
              </w:rPr>
              <w:tab/>
            </w:r>
            <w:r w:rsidRPr="00CD4780">
              <w:rPr>
                <w:rFonts w:ascii="Calibri" w:hAnsi="Calibri" w:cs="Calibri"/>
                <w:i/>
                <w:iCs/>
              </w:rPr>
              <w:t xml:space="preserve">International Telecommunication Regulations, </w:t>
            </w:r>
          </w:p>
        </w:tc>
      </w:tr>
      <w:tr w:rsidR="00731E60" w:rsidRPr="00CD4780" w:rsidTr="003F25A7">
        <w:tc>
          <w:tcPr>
            <w:tcW w:w="851" w:type="dxa"/>
          </w:tcPr>
          <w:p w:rsidR="00731E60" w:rsidRPr="00CD4780" w:rsidRDefault="00731E60" w:rsidP="003F25A7">
            <w:pPr>
              <w:tabs>
                <w:tab w:val="left" w:pos="680"/>
                <w:tab w:val="left" w:pos="2608"/>
                <w:tab w:val="left" w:pos="3345"/>
              </w:tabs>
              <w:jc w:val="both"/>
              <w:rPr>
                <w:rFonts w:ascii="Calibri" w:hAnsi="Calibri" w:cs="Calibri"/>
                <w:b/>
                <w:i/>
                <w:iCs/>
                <w:szCs w:val="24"/>
                <w:lang w:eastAsia="ja-JP"/>
              </w:rPr>
            </w:pPr>
          </w:p>
        </w:tc>
        <w:tc>
          <w:tcPr>
            <w:tcW w:w="8213" w:type="dxa"/>
            <w:hideMark/>
          </w:tcPr>
          <w:p w:rsidR="00731E60" w:rsidRPr="00CD4780" w:rsidRDefault="00731E60" w:rsidP="003F25A7">
            <w:pPr>
              <w:tabs>
                <w:tab w:val="left" w:pos="680"/>
                <w:tab w:val="left" w:pos="2608"/>
                <w:tab w:val="left" w:pos="3345"/>
              </w:tabs>
              <w:jc w:val="both"/>
              <w:rPr>
                <w:rFonts w:ascii="Calibri" w:hAnsi="Calibri" w:cs="Calibri"/>
                <w:i/>
                <w:iCs/>
                <w:szCs w:val="24"/>
                <w:lang w:eastAsia="ja-JP"/>
              </w:rPr>
            </w:pPr>
            <w:r w:rsidRPr="00CD4780">
              <w:rPr>
                <w:rFonts w:ascii="Calibri" w:hAnsi="Calibri" w:cs="Calibri"/>
                <w:i/>
                <w:iCs/>
              </w:rPr>
              <w:t>–</w:t>
            </w:r>
            <w:r w:rsidRPr="00CD4780">
              <w:rPr>
                <w:rFonts w:ascii="Calibri" w:hAnsi="Calibri" w:cs="Calibri"/>
                <w:b/>
                <w:i/>
                <w:iCs/>
              </w:rPr>
              <w:tab/>
            </w:r>
            <w:r w:rsidRPr="00CD4780">
              <w:rPr>
                <w:rFonts w:ascii="Calibri" w:hAnsi="Calibri" w:cs="Calibri"/>
                <w:i/>
                <w:iCs/>
              </w:rPr>
              <w:t>Radio Regulations.</w:t>
            </w:r>
          </w:p>
        </w:tc>
      </w:tr>
      <w:tr w:rsidR="00731E60" w:rsidRPr="00CD4780" w:rsidTr="003F25A7">
        <w:tc>
          <w:tcPr>
            <w:tcW w:w="851" w:type="dxa"/>
            <w:hideMark/>
          </w:tcPr>
          <w:p w:rsidR="00731E60" w:rsidRPr="00CD4780" w:rsidRDefault="00731E60" w:rsidP="003F25A7">
            <w:pPr>
              <w:tabs>
                <w:tab w:val="left" w:pos="680"/>
              </w:tabs>
              <w:spacing w:before="60"/>
              <w:jc w:val="both"/>
              <w:rPr>
                <w:rFonts w:ascii="Calibri" w:hAnsi="Calibri" w:cs="Calibri"/>
                <w:i/>
                <w:iCs/>
                <w:szCs w:val="24"/>
                <w:lang w:eastAsia="ja-JP"/>
              </w:rPr>
            </w:pPr>
            <w:r w:rsidRPr="00CD4780">
              <w:rPr>
                <w:rFonts w:ascii="Calibri" w:hAnsi="Calibri" w:cs="Calibri"/>
                <w:b/>
                <w:i/>
                <w:iCs/>
              </w:rPr>
              <w:t>32</w:t>
            </w:r>
          </w:p>
        </w:tc>
        <w:tc>
          <w:tcPr>
            <w:tcW w:w="8213" w:type="dxa"/>
          </w:tcPr>
          <w:p w:rsidR="00731E60" w:rsidRPr="00CD4780" w:rsidRDefault="00731E60" w:rsidP="003F25A7">
            <w:pPr>
              <w:tabs>
                <w:tab w:val="left" w:pos="680"/>
              </w:tabs>
              <w:spacing w:before="60"/>
              <w:jc w:val="both"/>
              <w:rPr>
                <w:rFonts w:ascii="Calibri" w:hAnsi="Calibri" w:cs="Calibri"/>
                <w:i/>
                <w:iCs/>
                <w:szCs w:val="24"/>
                <w:lang w:eastAsia="ja-JP"/>
              </w:rPr>
            </w:pPr>
            <w:r w:rsidRPr="00CD4780">
              <w:rPr>
                <w:rFonts w:ascii="Calibri" w:hAnsi="Calibri" w:cs="Calibri"/>
                <w:i/>
                <w:iCs/>
              </w:rPr>
              <w:t>4</w:t>
            </w:r>
            <w:r w:rsidRPr="00CD4780">
              <w:rPr>
                <w:rFonts w:ascii="Calibri" w:hAnsi="Calibri" w:cs="Calibri"/>
                <w:i/>
                <w:iCs/>
              </w:rPr>
              <w:tab/>
              <w:t>In the case of inconsistency between a provision of this Constitu</w:t>
            </w:r>
            <w:r w:rsidRPr="00CD4780">
              <w:rPr>
                <w:rFonts w:ascii="Calibri" w:hAnsi="Calibri" w:cs="Calibri"/>
                <w:i/>
                <w:iCs/>
              </w:rPr>
              <w:softHyphen/>
              <w:t>tion and a provision of the Convention or of the Administrative Regula</w:t>
            </w:r>
            <w:r w:rsidRPr="00CD4780">
              <w:rPr>
                <w:rFonts w:ascii="Calibri" w:hAnsi="Calibri" w:cs="Calibri"/>
                <w:i/>
                <w:iCs/>
              </w:rPr>
              <w:softHyphen/>
              <w:t>tions, the Constitution shall prevail. In the case of inconsistency between a provision of the Convention and a provision of the Administrative Regulations, the Convention shall prevail”</w:t>
            </w:r>
          </w:p>
          <w:p w:rsidR="00731E60" w:rsidRPr="00CD4780" w:rsidRDefault="00731E60" w:rsidP="003F25A7">
            <w:pPr>
              <w:tabs>
                <w:tab w:val="left" w:pos="680"/>
              </w:tabs>
              <w:spacing w:before="60"/>
              <w:ind w:left="-859"/>
              <w:jc w:val="both"/>
              <w:rPr>
                <w:rFonts w:ascii="Calibri" w:hAnsi="Calibri" w:cs="Calibri"/>
                <w:szCs w:val="24"/>
                <w:lang w:eastAsia="ja-JP"/>
              </w:rPr>
            </w:pPr>
          </w:p>
        </w:tc>
      </w:tr>
    </w:tbl>
    <w:p w:rsidR="00731E60" w:rsidRPr="00CD4780" w:rsidRDefault="00731E60" w:rsidP="00731E60">
      <w:pPr>
        <w:tabs>
          <w:tab w:val="clear" w:pos="1134"/>
          <w:tab w:val="left" w:pos="1418"/>
        </w:tabs>
        <w:ind w:left="1418" w:hanging="1418"/>
        <w:rPr>
          <w:rFonts w:ascii="Calibri" w:hAnsi="Calibri" w:cs="Calibri"/>
          <w:i/>
        </w:rPr>
      </w:pPr>
      <w:r w:rsidRPr="00CD4780">
        <w:rPr>
          <w:rFonts w:ascii="Calibri" w:hAnsi="Calibri" w:cs="Calibri"/>
          <w:b/>
          <w:bCs/>
          <w:iCs/>
        </w:rPr>
        <w:t xml:space="preserve">Principle 2 </w:t>
      </w:r>
      <w:r w:rsidRPr="00CD4780">
        <w:rPr>
          <w:rFonts w:ascii="Calibri" w:hAnsi="Calibri" w:cs="Calibri"/>
          <w:b/>
          <w:bCs/>
          <w:iCs/>
        </w:rPr>
        <w:tab/>
      </w:r>
      <w:r w:rsidRPr="00CD4780">
        <w:rPr>
          <w:rFonts w:ascii="Calibri" w:hAnsi="Calibri" w:cs="Calibri"/>
          <w:iCs/>
        </w:rPr>
        <w:t xml:space="preserve">CS 37 and 38 of Article 6 of the Constitution, </w:t>
      </w:r>
      <w:r w:rsidRPr="00CD4780">
        <w:rPr>
          <w:rFonts w:ascii="Calibri" w:hAnsi="Calibri" w:cs="Calibri"/>
        </w:rPr>
        <w:t xml:space="preserve">"Execution of the Instruments of the Union” </w:t>
      </w:r>
      <w:proofErr w:type="gramStart"/>
      <w:r w:rsidRPr="00CD4780">
        <w:rPr>
          <w:rFonts w:ascii="Calibri" w:hAnsi="Calibri" w:cs="Calibri"/>
          <w:iCs/>
        </w:rPr>
        <w:t>stipulate</w:t>
      </w:r>
      <w:proofErr w:type="gramEnd"/>
      <w:r w:rsidRPr="00CD4780">
        <w:rPr>
          <w:rFonts w:ascii="Calibri" w:hAnsi="Calibri" w:cs="Calibri"/>
          <w:iCs/>
        </w:rPr>
        <w:t xml:space="preserve"> that:</w:t>
      </w:r>
    </w:p>
    <w:tbl>
      <w:tblPr>
        <w:tblW w:w="0" w:type="auto"/>
        <w:tblInd w:w="8" w:type="dxa"/>
        <w:tblLayout w:type="fixed"/>
        <w:tblCellMar>
          <w:left w:w="0" w:type="dxa"/>
          <w:right w:w="0" w:type="dxa"/>
        </w:tblCellMar>
        <w:tblLook w:val="04A0" w:firstRow="1" w:lastRow="0" w:firstColumn="1" w:lastColumn="0" w:noHBand="0" w:noVBand="1"/>
      </w:tblPr>
      <w:tblGrid>
        <w:gridCol w:w="851"/>
        <w:gridCol w:w="8213"/>
      </w:tblGrid>
      <w:tr w:rsidR="00731E60" w:rsidRPr="00CD4780" w:rsidTr="003F25A7">
        <w:tc>
          <w:tcPr>
            <w:tcW w:w="851" w:type="dxa"/>
            <w:hideMark/>
          </w:tcPr>
          <w:p w:rsidR="00731E60" w:rsidRPr="00CD4780" w:rsidRDefault="00731E60" w:rsidP="003F25A7">
            <w:pPr>
              <w:tabs>
                <w:tab w:val="left" w:pos="680"/>
              </w:tabs>
              <w:spacing w:before="60"/>
              <w:jc w:val="both"/>
              <w:rPr>
                <w:rFonts w:ascii="Calibri" w:hAnsi="Calibri" w:cs="Calibri"/>
                <w:b/>
                <w:i/>
                <w:iCs/>
                <w:szCs w:val="24"/>
                <w:lang w:eastAsia="ja-JP"/>
              </w:rPr>
            </w:pPr>
            <w:r w:rsidRPr="00CD4780">
              <w:rPr>
                <w:rFonts w:ascii="Calibri" w:hAnsi="Calibri" w:cs="Calibri"/>
                <w:b/>
                <w:i/>
                <w:iCs/>
              </w:rPr>
              <w:t>37</w:t>
            </w:r>
            <w:r w:rsidRPr="00CD4780">
              <w:rPr>
                <w:rFonts w:ascii="Calibri" w:hAnsi="Calibri" w:cs="Calibri"/>
                <w:b/>
                <w:i/>
                <w:iCs/>
                <w:sz w:val="18"/>
              </w:rPr>
              <w:t>  </w:t>
            </w:r>
            <w:r w:rsidRPr="00CD4780">
              <w:rPr>
                <w:rFonts w:ascii="Calibri" w:hAnsi="Calibri" w:cs="Calibri"/>
                <w:b/>
                <w:i/>
                <w:iCs/>
                <w:sz w:val="18"/>
              </w:rPr>
              <w:br/>
              <w:t>PP-98</w:t>
            </w:r>
          </w:p>
        </w:tc>
        <w:tc>
          <w:tcPr>
            <w:tcW w:w="8213" w:type="dxa"/>
            <w:hideMark/>
          </w:tcPr>
          <w:p w:rsidR="00731E60" w:rsidRPr="00CD4780" w:rsidRDefault="00731E60" w:rsidP="003F25A7">
            <w:pPr>
              <w:tabs>
                <w:tab w:val="left" w:pos="680"/>
              </w:tabs>
              <w:spacing w:before="60"/>
              <w:jc w:val="both"/>
              <w:rPr>
                <w:rFonts w:ascii="Calibri" w:hAnsi="Calibri" w:cs="Calibri"/>
                <w:i/>
                <w:iCs/>
                <w:szCs w:val="24"/>
                <w:lang w:eastAsia="ja-JP"/>
              </w:rPr>
            </w:pPr>
            <w:r w:rsidRPr="00CD4780">
              <w:rPr>
                <w:rFonts w:ascii="Calibri" w:hAnsi="Calibri" w:cs="Calibri"/>
                <w:i/>
                <w:iCs/>
              </w:rPr>
              <w:t>1</w:t>
            </w:r>
            <w:r w:rsidRPr="00CD4780">
              <w:rPr>
                <w:rFonts w:ascii="Calibri" w:hAnsi="Calibri" w:cs="Calibri"/>
                <w:b/>
                <w:i/>
                <w:iCs/>
              </w:rPr>
              <w:tab/>
            </w:r>
            <w:r w:rsidRPr="00CD4780">
              <w:rPr>
                <w:rFonts w:ascii="Calibri" w:hAnsi="Calibri" w:cs="Calibri"/>
                <w:i/>
                <w:iCs/>
              </w:rPr>
              <w:t>The Member States are bound to abide by the provisions of this Constitution, the Convention and the Administrative Regulations in all telecommunication offices and stations established or operated by them which engage in international services or which are capable of causing harmful interference to radio services of other countries, except in regard to services exempted from these obligations in accordance with the pro</w:t>
            </w:r>
            <w:r w:rsidRPr="00CD4780">
              <w:rPr>
                <w:rFonts w:ascii="Calibri" w:hAnsi="Calibri" w:cs="Calibri"/>
                <w:i/>
                <w:iCs/>
              </w:rPr>
              <w:softHyphen/>
              <w:t xml:space="preserve">visions of Article 48 of this Constitution. </w:t>
            </w:r>
          </w:p>
        </w:tc>
      </w:tr>
      <w:tr w:rsidR="00731E60" w:rsidRPr="00CD4780" w:rsidTr="003F25A7">
        <w:tc>
          <w:tcPr>
            <w:tcW w:w="851" w:type="dxa"/>
            <w:hideMark/>
          </w:tcPr>
          <w:p w:rsidR="00731E60" w:rsidRPr="00CD4780" w:rsidRDefault="00731E60" w:rsidP="003F25A7">
            <w:pPr>
              <w:tabs>
                <w:tab w:val="left" w:pos="680"/>
                <w:tab w:val="left" w:pos="1277"/>
              </w:tabs>
              <w:spacing w:before="60"/>
              <w:jc w:val="both"/>
              <w:rPr>
                <w:rFonts w:ascii="Calibri" w:hAnsi="Calibri" w:cs="Calibri"/>
                <w:b/>
                <w:i/>
                <w:iCs/>
                <w:szCs w:val="24"/>
                <w:lang w:eastAsia="ja-JP"/>
              </w:rPr>
            </w:pPr>
            <w:r w:rsidRPr="00CD4780">
              <w:rPr>
                <w:rFonts w:ascii="Calibri" w:hAnsi="Calibri" w:cs="Calibri"/>
                <w:b/>
                <w:i/>
                <w:iCs/>
              </w:rPr>
              <w:t>38</w:t>
            </w:r>
            <w:r w:rsidRPr="00CD4780">
              <w:rPr>
                <w:rFonts w:ascii="Calibri" w:hAnsi="Calibri" w:cs="Calibri"/>
                <w:b/>
                <w:i/>
                <w:iCs/>
                <w:sz w:val="18"/>
              </w:rPr>
              <w:t>  </w:t>
            </w:r>
            <w:r w:rsidRPr="00CD4780">
              <w:rPr>
                <w:rFonts w:ascii="Calibri" w:hAnsi="Calibri" w:cs="Calibri"/>
                <w:b/>
                <w:i/>
                <w:iCs/>
                <w:sz w:val="18"/>
              </w:rPr>
              <w:br/>
              <w:t>PP-98</w:t>
            </w:r>
          </w:p>
        </w:tc>
        <w:tc>
          <w:tcPr>
            <w:tcW w:w="8213" w:type="dxa"/>
            <w:hideMark/>
          </w:tcPr>
          <w:p w:rsidR="00731E60" w:rsidRPr="00CD4780" w:rsidRDefault="00731E60" w:rsidP="003F25A7">
            <w:pPr>
              <w:tabs>
                <w:tab w:val="left" w:pos="680"/>
                <w:tab w:val="left" w:pos="1277"/>
              </w:tabs>
              <w:spacing w:before="60"/>
              <w:jc w:val="both"/>
              <w:rPr>
                <w:rFonts w:ascii="Calibri" w:hAnsi="Calibri" w:cs="Calibri"/>
                <w:i/>
                <w:iCs/>
                <w:szCs w:val="24"/>
                <w:lang w:eastAsia="ko-KR"/>
              </w:rPr>
            </w:pPr>
            <w:r w:rsidRPr="00CD4780">
              <w:rPr>
                <w:rFonts w:ascii="Calibri" w:hAnsi="Calibri" w:cs="Calibri"/>
                <w:i/>
                <w:iCs/>
              </w:rPr>
              <w:t>2</w:t>
            </w:r>
            <w:r w:rsidRPr="00CD4780">
              <w:rPr>
                <w:rFonts w:ascii="Calibri" w:hAnsi="Calibri" w:cs="Calibri"/>
                <w:b/>
                <w:i/>
                <w:iCs/>
              </w:rPr>
              <w:tab/>
            </w:r>
            <w:r w:rsidRPr="00CD4780">
              <w:rPr>
                <w:rFonts w:ascii="Calibri" w:hAnsi="Calibri" w:cs="Calibri"/>
                <w:i/>
                <w:iCs/>
              </w:rPr>
              <w:t>The Member States are also bound to take the necessary steps to impose the observance of the provisions of this Constitution, the Con</w:t>
            </w:r>
            <w:r w:rsidRPr="00CD4780">
              <w:rPr>
                <w:rFonts w:ascii="Calibri" w:hAnsi="Calibri" w:cs="Calibri"/>
                <w:i/>
                <w:iCs/>
              </w:rPr>
              <w:softHyphen/>
              <w:t>vention and the Administrative Regulations upon operating agencies authorized by them to establish and operate telecommunications and which engage in international services or which operate stations capable of causing harmful interference to the radio services of other countries.</w:t>
            </w:r>
            <w:r w:rsidRPr="00CD4780">
              <w:rPr>
                <w:rFonts w:ascii="Calibri" w:hAnsi="Calibri" w:cs="Calibri"/>
                <w:i/>
                <w:iCs/>
                <w:lang w:eastAsia="ko-KR"/>
              </w:rPr>
              <w:t>”</w:t>
            </w:r>
          </w:p>
        </w:tc>
      </w:tr>
    </w:tbl>
    <w:p w:rsidR="00731E60" w:rsidRPr="00CD4780" w:rsidRDefault="00731E60" w:rsidP="00731E60">
      <w:pPr>
        <w:rPr>
          <w:rFonts w:ascii="Calibri" w:eastAsia="Batang" w:hAnsi="Calibri" w:cs="Calibri"/>
          <w:b/>
          <w:bCs/>
          <w:iCs/>
        </w:rPr>
      </w:pPr>
    </w:p>
    <w:p w:rsidR="00731E60" w:rsidRPr="00CD4780" w:rsidRDefault="00731E60" w:rsidP="00731E60">
      <w:pPr>
        <w:rPr>
          <w:rFonts w:ascii="Calibri" w:eastAsia="MS Mincho" w:hAnsi="Calibri" w:cs="Calibri"/>
          <w:b/>
          <w:bCs/>
          <w:iCs/>
          <w:szCs w:val="24"/>
          <w:lang w:eastAsia="ja-JP"/>
        </w:rPr>
      </w:pPr>
      <w:r w:rsidRPr="00CD4780">
        <w:rPr>
          <w:rFonts w:ascii="Calibri" w:hAnsi="Calibri" w:cs="Calibri"/>
          <w:b/>
          <w:bCs/>
          <w:iCs/>
        </w:rPr>
        <w:t>Principle 3</w:t>
      </w:r>
    </w:p>
    <w:p w:rsidR="00731E60" w:rsidRPr="00CD4780" w:rsidRDefault="00731E60" w:rsidP="00731E60">
      <w:pPr>
        <w:tabs>
          <w:tab w:val="left" w:pos="680"/>
        </w:tabs>
        <w:spacing w:before="240"/>
        <w:jc w:val="both"/>
        <w:rPr>
          <w:rFonts w:ascii="Calibri" w:hAnsi="Calibri" w:cs="Calibri"/>
          <w:i/>
          <w:iCs/>
        </w:rPr>
      </w:pPr>
      <w:r w:rsidRPr="00CD4780">
        <w:rPr>
          <w:rFonts w:ascii="Calibri" w:hAnsi="Calibri" w:cs="Calibri"/>
          <w:i/>
          <w:iCs/>
        </w:rPr>
        <w:t>1.</w:t>
      </w:r>
      <w:r w:rsidRPr="00CD4780">
        <w:rPr>
          <w:rFonts w:ascii="Calibri" w:hAnsi="Calibri" w:cs="Calibri"/>
          <w:i/>
          <w:iCs/>
        </w:rPr>
        <w:tab/>
        <w:t>The degree/scope by which a provision in a treaty is binding depends on the language and terms that are used in the text. For instance, text (s) in which the language (s) used is accompanied/proceeded by the word ‘shall’ or a word similar to that, e.g. ‘must’ or the terms ‘ is required’ or ‘are required’ would have a mandatory nature/status.</w:t>
      </w:r>
    </w:p>
    <w:p w:rsidR="00731E60" w:rsidRPr="00CD4780" w:rsidRDefault="00731E60" w:rsidP="00731E60">
      <w:pPr>
        <w:tabs>
          <w:tab w:val="left" w:pos="680"/>
        </w:tabs>
        <w:spacing w:before="240"/>
        <w:jc w:val="both"/>
        <w:rPr>
          <w:rFonts w:ascii="Calibri" w:hAnsi="Calibri" w:cs="Calibri"/>
          <w:i/>
          <w:iCs/>
          <w:rtl/>
        </w:rPr>
      </w:pPr>
      <w:r w:rsidRPr="00CD4780">
        <w:rPr>
          <w:rFonts w:ascii="Calibri" w:hAnsi="Calibri" w:cs="Calibri"/>
          <w:i/>
          <w:iCs/>
        </w:rPr>
        <w:t>2.</w:t>
      </w:r>
      <w:r w:rsidRPr="00CD4780">
        <w:rPr>
          <w:rFonts w:ascii="Calibri" w:hAnsi="Calibri" w:cs="Calibri"/>
          <w:i/>
          <w:iCs/>
        </w:rPr>
        <w:tab/>
        <w:t>In contrast text (s) in which the language (s) used is accompanied /preceded by the word ‘should’ or a similar word, e.g. ‘may’ or by the terms ‘encouraged’ or ‘invited’  or  ‘</w:t>
      </w:r>
      <w:proofErr w:type="spellStart"/>
      <w:r w:rsidRPr="00CD4780">
        <w:rPr>
          <w:rFonts w:ascii="Calibri" w:hAnsi="Calibri" w:cs="Calibri"/>
          <w:i/>
          <w:iCs/>
        </w:rPr>
        <w:t>endeavor</w:t>
      </w:r>
      <w:proofErr w:type="spellEnd"/>
      <w:r w:rsidRPr="00CD4780">
        <w:rPr>
          <w:rFonts w:ascii="Calibri" w:hAnsi="Calibri" w:cs="Calibri"/>
          <w:i/>
          <w:iCs/>
        </w:rPr>
        <w:t>’ or even ‘shall cooperate’ would have a non-mandatory nature/status.</w:t>
      </w:r>
    </w:p>
    <w:p w:rsidR="00731E60" w:rsidRDefault="00731E60">
      <w:pPr>
        <w:tabs>
          <w:tab w:val="clear" w:pos="1134"/>
          <w:tab w:val="clear" w:pos="1871"/>
          <w:tab w:val="clear" w:pos="2268"/>
        </w:tabs>
        <w:overflowPunct/>
        <w:autoSpaceDE/>
        <w:autoSpaceDN/>
        <w:adjustRightInd/>
        <w:spacing w:before="0"/>
        <w:textAlignment w:val="auto"/>
        <w:rPr>
          <w:rFonts w:ascii="Calibri" w:hAnsi="Calibri" w:cs="Calibri"/>
          <w:b/>
          <w:bCs/>
          <w:iCs/>
          <w:sz w:val="28"/>
          <w:szCs w:val="28"/>
        </w:rPr>
      </w:pPr>
      <w:r>
        <w:rPr>
          <w:rFonts w:ascii="Calibri" w:hAnsi="Calibri" w:cs="Calibri"/>
          <w:b/>
          <w:bCs/>
          <w:iCs/>
          <w:sz w:val="28"/>
          <w:szCs w:val="28"/>
        </w:rPr>
        <w:br w:type="page"/>
      </w:r>
    </w:p>
    <w:p w:rsidR="00731E60" w:rsidRPr="00CD4780" w:rsidRDefault="00731E60" w:rsidP="00731E60">
      <w:pPr>
        <w:rPr>
          <w:rFonts w:ascii="Calibri" w:hAnsi="Calibri" w:cs="Calibri"/>
          <w:b/>
          <w:bCs/>
          <w:iCs/>
          <w:sz w:val="28"/>
          <w:szCs w:val="28"/>
        </w:rPr>
      </w:pPr>
      <w:r w:rsidRPr="00CD4780">
        <w:rPr>
          <w:rFonts w:ascii="Calibri" w:hAnsi="Calibri" w:cs="Calibri"/>
          <w:b/>
          <w:bCs/>
          <w:iCs/>
          <w:sz w:val="28"/>
          <w:szCs w:val="28"/>
        </w:rPr>
        <w:lastRenderedPageBreak/>
        <w:t xml:space="preserve">Criteria </w:t>
      </w:r>
    </w:p>
    <w:p w:rsidR="00731E60" w:rsidRPr="00CD4780" w:rsidRDefault="00731E60" w:rsidP="00731E60">
      <w:pPr>
        <w:rPr>
          <w:rFonts w:ascii="Calibri" w:hAnsi="Calibri" w:cs="Calibri"/>
          <w:b/>
          <w:bCs/>
          <w:iCs/>
        </w:rPr>
      </w:pPr>
      <w:r w:rsidRPr="00CD4780">
        <w:rPr>
          <w:rFonts w:ascii="Calibri" w:hAnsi="Calibri" w:cs="Calibri"/>
          <w:b/>
          <w:bCs/>
          <w:iCs/>
        </w:rPr>
        <w:t xml:space="preserve">Criterion 1; Incorporation of the Provisions/Articles contained in the ITU Constitution and the Convention in the Draft revised ITR  </w:t>
      </w:r>
    </w:p>
    <w:p w:rsidR="00731E60" w:rsidRPr="00CD4780" w:rsidRDefault="00731E60" w:rsidP="00731E60">
      <w:pPr>
        <w:pStyle w:val="ListParagraph"/>
        <w:numPr>
          <w:ilvl w:val="1"/>
          <w:numId w:val="20"/>
        </w:numPr>
        <w:tabs>
          <w:tab w:val="clear" w:pos="1134"/>
          <w:tab w:val="clear" w:pos="1871"/>
          <w:tab w:val="clear" w:pos="2268"/>
        </w:tabs>
        <w:overflowPunct/>
        <w:autoSpaceDE/>
        <w:autoSpaceDN/>
        <w:adjustRightInd/>
        <w:ind w:left="1077" w:hanging="1077"/>
        <w:contextualSpacing w:val="0"/>
        <w:jc w:val="both"/>
        <w:textAlignment w:val="auto"/>
        <w:rPr>
          <w:rFonts w:ascii="Calibri" w:hAnsi="Calibri" w:cs="Calibri"/>
          <w:iCs/>
        </w:rPr>
      </w:pPr>
      <w:r w:rsidRPr="00CD4780">
        <w:rPr>
          <w:rFonts w:ascii="Calibri" w:hAnsi="Calibri" w:cs="Calibri"/>
          <w:iCs/>
        </w:rPr>
        <w:t xml:space="preserve">Duplication or incorporation of Provisions/Articles of the Basic Instruments of the Union in the Administrative Regulations should be avoided unless absolutely necessary. An example of a necessary duplication is the verbatim inclusion of Article 44 of the ITU Constitution in the Radio Regulations. </w:t>
      </w:r>
    </w:p>
    <w:p w:rsidR="00731E60" w:rsidRPr="00CD4780" w:rsidRDefault="00731E60" w:rsidP="00731E60">
      <w:pPr>
        <w:pStyle w:val="ListParagraph"/>
        <w:numPr>
          <w:ilvl w:val="1"/>
          <w:numId w:val="20"/>
        </w:numPr>
        <w:tabs>
          <w:tab w:val="clear" w:pos="1134"/>
          <w:tab w:val="clear" w:pos="1871"/>
          <w:tab w:val="clear" w:pos="2268"/>
        </w:tabs>
        <w:overflowPunct/>
        <w:autoSpaceDE/>
        <w:autoSpaceDN/>
        <w:adjustRightInd/>
        <w:ind w:left="1077" w:hanging="1077"/>
        <w:contextualSpacing w:val="0"/>
        <w:jc w:val="both"/>
        <w:textAlignment w:val="auto"/>
        <w:rPr>
          <w:rFonts w:ascii="Calibri" w:hAnsi="Calibri" w:cs="Calibri"/>
          <w:iCs/>
        </w:rPr>
      </w:pPr>
      <w:r w:rsidRPr="00CD4780">
        <w:rPr>
          <w:rFonts w:ascii="Calibri" w:hAnsi="Calibri" w:cs="Calibri"/>
          <w:iCs/>
        </w:rPr>
        <w:t xml:space="preserve">Any duplication or incorporation of Provisions or Articles of the Basic Instruments of the Union within the revised ITRs must be verbatim to those contained in the CS/CV, unless, </w:t>
      </w:r>
    </w:p>
    <w:p w:rsidR="00731E60" w:rsidRPr="00CD4780" w:rsidRDefault="00731E60" w:rsidP="00731E60">
      <w:pPr>
        <w:pStyle w:val="ListParagraph"/>
        <w:numPr>
          <w:ilvl w:val="1"/>
          <w:numId w:val="20"/>
        </w:numPr>
        <w:tabs>
          <w:tab w:val="clear" w:pos="1134"/>
          <w:tab w:val="clear" w:pos="1871"/>
          <w:tab w:val="clear" w:pos="2268"/>
        </w:tabs>
        <w:overflowPunct/>
        <w:autoSpaceDE/>
        <w:autoSpaceDN/>
        <w:adjustRightInd/>
        <w:ind w:left="1077" w:hanging="1077"/>
        <w:contextualSpacing w:val="0"/>
        <w:jc w:val="both"/>
        <w:textAlignment w:val="auto"/>
        <w:rPr>
          <w:rFonts w:ascii="Calibri" w:hAnsi="Calibri" w:cs="Calibri"/>
          <w:iCs/>
        </w:rPr>
      </w:pPr>
      <w:r w:rsidRPr="00CD4780">
        <w:rPr>
          <w:rFonts w:ascii="Calibri" w:hAnsi="Calibri" w:cs="Calibri"/>
          <w:iCs/>
        </w:rPr>
        <w:t>The entire Provision or Articles to be referenced includes issues beyond the scope of the ITRs. In such circumstances the relevant section of that text can be included in the revised ITRs together with any necessary explanatory text.</w:t>
      </w:r>
    </w:p>
    <w:p w:rsidR="00731E60" w:rsidRPr="00CD4780" w:rsidRDefault="00731E60" w:rsidP="00731E60">
      <w:pPr>
        <w:contextualSpacing/>
        <w:rPr>
          <w:rFonts w:ascii="Calibri" w:hAnsi="Calibri" w:cs="Calibri"/>
          <w:b/>
          <w:bCs/>
          <w:iCs/>
        </w:rPr>
      </w:pPr>
      <w:r w:rsidRPr="00CD4780">
        <w:rPr>
          <w:rFonts w:ascii="Calibri" w:hAnsi="Calibri" w:cs="Calibri"/>
          <w:b/>
          <w:bCs/>
          <w:iCs/>
        </w:rPr>
        <w:t>Criterion 2; Proposals relating to terms and definitions</w:t>
      </w:r>
    </w:p>
    <w:p w:rsidR="00731E60" w:rsidRPr="00CD4780" w:rsidRDefault="00731E60" w:rsidP="00731E60">
      <w:pPr>
        <w:overflowPunct/>
        <w:autoSpaceDE/>
        <w:autoSpaceDN/>
        <w:adjustRightInd/>
        <w:ind w:left="1100" w:hanging="1100"/>
        <w:jc w:val="both"/>
        <w:textAlignment w:val="auto"/>
        <w:rPr>
          <w:rFonts w:ascii="Calibri" w:hAnsi="Calibri" w:cs="Calibri"/>
          <w:iCs/>
        </w:rPr>
      </w:pPr>
      <w:r w:rsidRPr="00CD4780">
        <w:rPr>
          <w:rFonts w:ascii="Calibri" w:hAnsi="Calibri" w:cs="Calibri"/>
          <w:iCs/>
        </w:rPr>
        <w:t xml:space="preserve">2.1 </w:t>
      </w:r>
      <w:r w:rsidRPr="00CD4780">
        <w:rPr>
          <w:rFonts w:ascii="Calibri" w:hAnsi="Calibri" w:cs="Calibri"/>
          <w:iCs/>
        </w:rPr>
        <w:tab/>
        <w:t xml:space="preserve">Duplication of definitions already contained in the Annexes of the CS/CV within the ITRs should be limited to those definitions present in the current ITRs. </w:t>
      </w:r>
    </w:p>
    <w:p w:rsidR="00731E60" w:rsidRPr="00CD4780" w:rsidRDefault="00731E60" w:rsidP="00731E60">
      <w:pPr>
        <w:pStyle w:val="ListParagraph"/>
        <w:numPr>
          <w:ilvl w:val="1"/>
          <w:numId w:val="21"/>
        </w:numPr>
        <w:tabs>
          <w:tab w:val="clear" w:pos="1134"/>
          <w:tab w:val="clear" w:pos="1871"/>
          <w:tab w:val="clear" w:pos="2268"/>
        </w:tabs>
        <w:overflowPunct/>
        <w:autoSpaceDE/>
        <w:autoSpaceDN/>
        <w:adjustRightInd/>
        <w:ind w:left="1100" w:hanging="1100"/>
        <w:contextualSpacing w:val="0"/>
        <w:jc w:val="both"/>
        <w:textAlignment w:val="auto"/>
        <w:rPr>
          <w:rFonts w:ascii="Calibri" w:hAnsi="Calibri" w:cs="Calibri"/>
          <w:iCs/>
        </w:rPr>
      </w:pPr>
      <w:r w:rsidRPr="00CD4780">
        <w:rPr>
          <w:rFonts w:ascii="Calibri" w:hAnsi="Calibri" w:cs="Calibri"/>
          <w:iCs/>
        </w:rPr>
        <w:t>Any repetition of definitions must be verbatim to those contained in the CS/CV</w:t>
      </w:r>
    </w:p>
    <w:p w:rsidR="00731E60" w:rsidRPr="00CD4780" w:rsidRDefault="00731E60" w:rsidP="00731E60">
      <w:pPr>
        <w:pStyle w:val="ListParagraph"/>
        <w:numPr>
          <w:ilvl w:val="1"/>
          <w:numId w:val="21"/>
        </w:numPr>
        <w:tabs>
          <w:tab w:val="clear" w:pos="1134"/>
          <w:tab w:val="clear" w:pos="1871"/>
          <w:tab w:val="clear" w:pos="2268"/>
        </w:tabs>
        <w:overflowPunct/>
        <w:autoSpaceDE/>
        <w:autoSpaceDN/>
        <w:adjustRightInd/>
        <w:ind w:left="1100" w:hanging="1100"/>
        <w:contextualSpacing w:val="0"/>
        <w:jc w:val="both"/>
        <w:textAlignment w:val="auto"/>
        <w:rPr>
          <w:rFonts w:ascii="Calibri" w:hAnsi="Calibri" w:cs="Calibri"/>
        </w:rPr>
      </w:pPr>
      <w:r w:rsidRPr="00CD4780">
        <w:rPr>
          <w:rFonts w:ascii="Calibri" w:hAnsi="Calibri" w:cs="Calibri"/>
        </w:rPr>
        <w:t>To avoid inconsistency between the CS/CV and the ITRs, text deemed necessary for duplication within the ITRs should be preceded by the following: “</w:t>
      </w:r>
      <w:r w:rsidRPr="00CD4780">
        <w:rPr>
          <w:rFonts w:ascii="Calibri" w:hAnsi="Calibri" w:cs="Calibri"/>
          <w:i/>
        </w:rPr>
        <w:t>pursuant to No. x of CS or CV”</w:t>
      </w:r>
      <w:r w:rsidRPr="00CD4780">
        <w:rPr>
          <w:rFonts w:ascii="Calibri" w:hAnsi="Calibri" w:cs="Calibri"/>
        </w:rPr>
        <w:t xml:space="preserve"> followed by the selected text in its entirety without any change other than those required for cross referencing.  An example is paragraph 9.1 of Article 9 of the current ITR in which No. 31 of the Nairobi Convention is incorporated.</w:t>
      </w:r>
    </w:p>
    <w:p w:rsidR="00731E60" w:rsidRPr="00CD4780" w:rsidRDefault="00731E60" w:rsidP="00731E60">
      <w:pPr>
        <w:pStyle w:val="ListParagraph"/>
        <w:numPr>
          <w:ilvl w:val="1"/>
          <w:numId w:val="21"/>
        </w:numPr>
        <w:tabs>
          <w:tab w:val="clear" w:pos="1134"/>
          <w:tab w:val="clear" w:pos="1871"/>
          <w:tab w:val="clear" w:pos="2268"/>
        </w:tabs>
        <w:overflowPunct/>
        <w:autoSpaceDE/>
        <w:autoSpaceDN/>
        <w:adjustRightInd/>
        <w:ind w:left="1100" w:hanging="1100"/>
        <w:contextualSpacing w:val="0"/>
        <w:jc w:val="both"/>
        <w:textAlignment w:val="auto"/>
        <w:rPr>
          <w:rFonts w:ascii="Calibri" w:hAnsi="Calibri" w:cs="Calibri"/>
        </w:rPr>
      </w:pPr>
      <w:r w:rsidRPr="00CD4780">
        <w:rPr>
          <w:rFonts w:ascii="Calibri" w:hAnsi="Calibri" w:cs="Calibri"/>
        </w:rPr>
        <w:t xml:space="preserve">Proposals which seek to modify existing terms and definitions contained within the CS/CV are not appropriate to be included in the ITRs. </w:t>
      </w:r>
    </w:p>
    <w:p w:rsidR="00731E60" w:rsidRPr="00CD4780" w:rsidRDefault="00731E60" w:rsidP="00731E60">
      <w:pPr>
        <w:pStyle w:val="ListParagraph"/>
        <w:numPr>
          <w:ilvl w:val="1"/>
          <w:numId w:val="21"/>
        </w:numPr>
        <w:tabs>
          <w:tab w:val="clear" w:pos="1134"/>
          <w:tab w:val="clear" w:pos="1871"/>
          <w:tab w:val="clear" w:pos="2268"/>
        </w:tabs>
        <w:overflowPunct/>
        <w:autoSpaceDE/>
        <w:autoSpaceDN/>
        <w:adjustRightInd/>
        <w:ind w:left="1100" w:hanging="1100"/>
        <w:contextualSpacing w:val="0"/>
        <w:jc w:val="both"/>
        <w:textAlignment w:val="auto"/>
        <w:rPr>
          <w:rFonts w:ascii="Calibri" w:hAnsi="Calibri" w:cs="Calibri"/>
        </w:rPr>
      </w:pPr>
      <w:r w:rsidRPr="00CD4780">
        <w:rPr>
          <w:rFonts w:ascii="Calibri" w:hAnsi="Calibri" w:cs="Calibri"/>
        </w:rPr>
        <w:t>Any incorporation into the revised ITRs of modified terms and definitions currently found in the Annexes to the CS/CV should be avoided, in particular, any modifications submitted to past Plenipotentiary conferences and not agreed.</w:t>
      </w:r>
    </w:p>
    <w:p w:rsidR="00731E60" w:rsidRPr="00CD4780" w:rsidRDefault="00731E60" w:rsidP="00731E60">
      <w:pPr>
        <w:pStyle w:val="ListParagraph"/>
        <w:numPr>
          <w:ilvl w:val="1"/>
          <w:numId w:val="21"/>
        </w:numPr>
        <w:tabs>
          <w:tab w:val="clear" w:pos="1134"/>
          <w:tab w:val="clear" w:pos="1871"/>
          <w:tab w:val="clear" w:pos="2268"/>
        </w:tabs>
        <w:overflowPunct/>
        <w:autoSpaceDE/>
        <w:autoSpaceDN/>
        <w:adjustRightInd/>
        <w:ind w:left="1100" w:hanging="1100"/>
        <w:contextualSpacing w:val="0"/>
        <w:jc w:val="both"/>
        <w:textAlignment w:val="auto"/>
        <w:rPr>
          <w:rFonts w:ascii="Calibri" w:hAnsi="Calibri" w:cs="Calibri"/>
        </w:rPr>
      </w:pPr>
      <w:r w:rsidRPr="00CD4780">
        <w:rPr>
          <w:rFonts w:ascii="Calibri" w:hAnsi="Calibri" w:cs="Calibri"/>
        </w:rPr>
        <w:t>Expansion or modification of the terms and definitions contained in the current ITRs should be avoided.</w:t>
      </w:r>
    </w:p>
    <w:p w:rsidR="00731E60" w:rsidRPr="00CD4780" w:rsidRDefault="00731E60" w:rsidP="00731E60">
      <w:pPr>
        <w:pStyle w:val="ListParagraph"/>
        <w:numPr>
          <w:ilvl w:val="1"/>
          <w:numId w:val="21"/>
        </w:numPr>
        <w:tabs>
          <w:tab w:val="clear" w:pos="1134"/>
          <w:tab w:val="clear" w:pos="1871"/>
          <w:tab w:val="clear" w:pos="2268"/>
        </w:tabs>
        <w:overflowPunct/>
        <w:autoSpaceDE/>
        <w:autoSpaceDN/>
        <w:adjustRightInd/>
        <w:ind w:left="1100" w:hanging="1100"/>
        <w:contextualSpacing w:val="0"/>
        <w:jc w:val="both"/>
        <w:textAlignment w:val="auto"/>
        <w:rPr>
          <w:rFonts w:ascii="Calibri" w:hAnsi="Calibri" w:cs="Calibri"/>
        </w:rPr>
      </w:pPr>
      <w:r w:rsidRPr="00CD4780">
        <w:rPr>
          <w:rFonts w:ascii="Calibri" w:hAnsi="Calibri" w:cs="Calibri"/>
          <w:iCs/>
        </w:rPr>
        <w:t>Definitions of a technical and/or operational nature may be more appropriately contained in WCIT -12 Resolution(s). Consideration could also be given to an appropriate mechanism for their revision. If a term is not used in an Article or Provision, it is not necessary to define that term in the revised ITRs.</w:t>
      </w:r>
      <w:r w:rsidRPr="00CD4780">
        <w:rPr>
          <w:rFonts w:ascii="Calibri" w:hAnsi="Calibri" w:cs="Calibri"/>
        </w:rPr>
        <w:t xml:space="preserve"> </w:t>
      </w:r>
    </w:p>
    <w:p w:rsidR="00731E60" w:rsidRPr="00CD4780" w:rsidRDefault="00731E60" w:rsidP="00731E60">
      <w:pPr>
        <w:tabs>
          <w:tab w:val="left" w:pos="709"/>
        </w:tabs>
        <w:rPr>
          <w:rFonts w:ascii="Calibri" w:hAnsi="Calibri" w:cs="Calibri"/>
          <w:b/>
          <w:bCs/>
          <w:iCs/>
        </w:rPr>
      </w:pPr>
      <w:r w:rsidRPr="00CD4780">
        <w:rPr>
          <w:rFonts w:ascii="Calibri" w:hAnsi="Calibri" w:cs="Calibri"/>
          <w:b/>
          <w:bCs/>
          <w:iCs/>
        </w:rPr>
        <w:t>Criterion 3; Reference to “ITU Recommendations”</w:t>
      </w:r>
    </w:p>
    <w:p w:rsidR="00731E60" w:rsidRPr="00CD4780" w:rsidRDefault="00731E60" w:rsidP="00731E60">
      <w:pPr>
        <w:overflowPunct/>
        <w:autoSpaceDE/>
        <w:autoSpaceDN/>
        <w:adjustRightInd/>
        <w:ind w:left="1100" w:hanging="1100"/>
        <w:jc w:val="both"/>
        <w:textAlignment w:val="auto"/>
        <w:rPr>
          <w:rFonts w:ascii="Calibri" w:hAnsi="Calibri" w:cs="Calibri"/>
          <w:iCs/>
        </w:rPr>
      </w:pPr>
      <w:r w:rsidRPr="00CD4780">
        <w:rPr>
          <w:rFonts w:ascii="Calibri" w:hAnsi="Calibri" w:cs="Calibri"/>
        </w:rPr>
        <w:t>3.1</w:t>
      </w:r>
      <w:r w:rsidRPr="00CD4780">
        <w:rPr>
          <w:rFonts w:ascii="Calibri" w:hAnsi="Calibri" w:cs="Calibri"/>
        </w:rPr>
        <w:tab/>
      </w:r>
      <w:r w:rsidRPr="00CD4780">
        <w:rPr>
          <w:rFonts w:ascii="Calibri" w:hAnsi="Calibri" w:cs="Calibri"/>
          <w:iCs/>
        </w:rPr>
        <w:t>ITU Recommendations shall remain non-binding/voluntary. Proposals which directly or indirectly alter the non-binding/voluntary nature of ITU-T and ITU-R Recommendations are not appropriate to be included in the ITRs.</w:t>
      </w:r>
    </w:p>
    <w:p w:rsidR="00731E60" w:rsidRPr="00CD4780" w:rsidRDefault="00731E60" w:rsidP="00731E60">
      <w:pPr>
        <w:overflowPunct/>
        <w:autoSpaceDE/>
        <w:autoSpaceDN/>
        <w:adjustRightInd/>
        <w:ind w:left="1100" w:hanging="1100"/>
        <w:jc w:val="both"/>
        <w:textAlignment w:val="auto"/>
        <w:rPr>
          <w:rFonts w:ascii="Calibri" w:hAnsi="Calibri" w:cs="Calibri"/>
          <w:iCs/>
        </w:rPr>
      </w:pPr>
      <w:r w:rsidRPr="00CD4780">
        <w:rPr>
          <w:rFonts w:ascii="Calibri" w:hAnsi="Calibri" w:cs="Calibri"/>
          <w:iCs/>
        </w:rPr>
        <w:t>3.2</w:t>
      </w:r>
      <w:r w:rsidRPr="00CD4780">
        <w:rPr>
          <w:rFonts w:ascii="Calibri" w:hAnsi="Calibri" w:cs="Calibri"/>
          <w:iCs/>
        </w:rPr>
        <w:tab/>
        <w:t xml:space="preserve">Any incorporation by reference to specific ITU-T Recommendations appears inappropriate given the dynamic nature of ITU-T Study Groups and the need to avoid frequent revision of the ITRs. Where absolutely necessary, reference </w:t>
      </w:r>
      <w:r w:rsidRPr="00CD4780">
        <w:rPr>
          <w:rFonts w:ascii="Calibri" w:hAnsi="Calibri" w:cs="Calibri"/>
          <w:iCs/>
        </w:rPr>
        <w:lastRenderedPageBreak/>
        <w:t>should only be made to specific ITU-T Recommendations using the terms “taking into account/based on the latest version of the ITU-T Recommendation.</w:t>
      </w:r>
    </w:p>
    <w:p w:rsidR="00731E60" w:rsidRPr="00CD4780" w:rsidRDefault="00731E60" w:rsidP="00731E60">
      <w:pPr>
        <w:overflowPunct/>
        <w:autoSpaceDE/>
        <w:autoSpaceDN/>
        <w:adjustRightInd/>
        <w:ind w:left="1100" w:hanging="1100"/>
        <w:jc w:val="both"/>
        <w:textAlignment w:val="auto"/>
        <w:rPr>
          <w:rFonts w:ascii="Calibri" w:hAnsi="Calibri" w:cs="Calibri"/>
          <w:iCs/>
        </w:rPr>
      </w:pPr>
      <w:r w:rsidRPr="00CD4780">
        <w:rPr>
          <w:rFonts w:ascii="Calibri" w:hAnsi="Calibri" w:cs="Calibri"/>
        </w:rPr>
        <w:t>3.3</w:t>
      </w:r>
      <w:r w:rsidRPr="00CD4780">
        <w:rPr>
          <w:rFonts w:ascii="Calibri" w:hAnsi="Calibri" w:cs="Calibri"/>
        </w:rPr>
        <w:tab/>
        <w:t xml:space="preserve">Where a reference to an ITU-T Recommendations absolutely necessary, the language used must make clear that there is no implication that the Recommendations are binding for example, </w:t>
      </w:r>
      <w:r w:rsidRPr="00CD4780">
        <w:rPr>
          <w:rFonts w:ascii="Calibri" w:hAnsi="Calibri" w:cs="Calibri"/>
          <w:iCs/>
        </w:rPr>
        <w:t xml:space="preserve">“Member States are encouraged to implement the ITU-T Recommendations.” </w:t>
      </w:r>
    </w:p>
    <w:p w:rsidR="00731E60" w:rsidRPr="00CD4780" w:rsidRDefault="00731E60" w:rsidP="00731E60">
      <w:pPr>
        <w:overflowPunct/>
        <w:autoSpaceDE/>
        <w:autoSpaceDN/>
        <w:adjustRightInd/>
        <w:ind w:left="1100" w:hanging="1100"/>
        <w:jc w:val="both"/>
        <w:textAlignment w:val="auto"/>
        <w:rPr>
          <w:rFonts w:ascii="Calibri" w:hAnsi="Calibri" w:cs="Calibri"/>
        </w:rPr>
      </w:pPr>
      <w:r w:rsidRPr="00CD4780">
        <w:rPr>
          <w:rFonts w:ascii="Calibri" w:hAnsi="Calibri" w:cs="Calibri"/>
        </w:rPr>
        <w:t>3.4</w:t>
      </w:r>
      <w:r w:rsidRPr="00CD4780">
        <w:rPr>
          <w:rFonts w:ascii="Calibri" w:hAnsi="Calibri" w:cs="Calibri"/>
        </w:rPr>
        <w:tab/>
        <w:t>Any references to “ITU Recommendations” should address the specific field of application (ITU-T or ITU-R). General references to “ITU Recommendations” are not appropriate and could cause unnecessary confusion.</w:t>
      </w:r>
    </w:p>
    <w:p w:rsidR="00731E60" w:rsidRPr="00CD4780" w:rsidRDefault="00731E60" w:rsidP="00731E60">
      <w:pPr>
        <w:ind w:left="1100" w:hanging="1100"/>
        <w:rPr>
          <w:rFonts w:ascii="Calibri" w:hAnsi="Calibri" w:cs="Calibri"/>
        </w:rPr>
      </w:pPr>
    </w:p>
    <w:p w:rsidR="00731E60" w:rsidRPr="00CD4780" w:rsidRDefault="00731E60" w:rsidP="00731E60">
      <w:pPr>
        <w:tabs>
          <w:tab w:val="left" w:pos="709"/>
        </w:tabs>
        <w:rPr>
          <w:rFonts w:ascii="Calibri" w:hAnsi="Calibri" w:cs="Calibri"/>
          <w:b/>
          <w:bCs/>
          <w:iCs/>
        </w:rPr>
      </w:pPr>
      <w:r w:rsidRPr="00CD4780">
        <w:rPr>
          <w:rFonts w:ascii="Calibri" w:hAnsi="Calibri" w:cs="Calibri"/>
          <w:b/>
          <w:bCs/>
          <w:iCs/>
        </w:rPr>
        <w:t xml:space="preserve">Criterion 4; Modification to the current structure of the ITR (reshuffling of Articles and/or Provision)  </w:t>
      </w:r>
    </w:p>
    <w:p w:rsidR="00731E60" w:rsidRPr="00CD4780" w:rsidRDefault="00731E60" w:rsidP="00731E60">
      <w:pPr>
        <w:ind w:left="1100" w:hanging="1100"/>
        <w:jc w:val="both"/>
        <w:rPr>
          <w:rFonts w:ascii="Calibri" w:hAnsi="Calibri" w:cs="Calibri"/>
          <w:iCs/>
        </w:rPr>
      </w:pPr>
      <w:r w:rsidRPr="00CD4780">
        <w:rPr>
          <w:rFonts w:ascii="Calibri" w:hAnsi="Calibri" w:cs="Calibri"/>
          <w:iCs/>
        </w:rPr>
        <w:t xml:space="preserve">4.1 </w:t>
      </w:r>
      <w:r w:rsidRPr="00CD4780">
        <w:rPr>
          <w:rFonts w:ascii="Calibri" w:hAnsi="Calibri" w:cs="Calibri"/>
          <w:iCs/>
        </w:rPr>
        <w:tab/>
        <w:t>Modification to the current structure of the ITRs including Chapters and Articles should be avoided unless absolutely necessary.</w:t>
      </w:r>
    </w:p>
    <w:p w:rsidR="00731E60" w:rsidRPr="00CD4780" w:rsidRDefault="00731E60" w:rsidP="00731E60">
      <w:pPr>
        <w:rPr>
          <w:rFonts w:ascii="Calibri" w:hAnsi="Calibri" w:cs="Calibri"/>
          <w:iCs/>
        </w:rPr>
      </w:pPr>
    </w:p>
    <w:p w:rsidR="00731E60" w:rsidRPr="00CD4780" w:rsidRDefault="00731E60" w:rsidP="00731E60">
      <w:pPr>
        <w:tabs>
          <w:tab w:val="left" w:pos="851"/>
        </w:tabs>
        <w:rPr>
          <w:rFonts w:ascii="Calibri" w:hAnsi="Calibri" w:cs="Calibri"/>
          <w:b/>
          <w:bCs/>
          <w:iCs/>
        </w:rPr>
      </w:pPr>
      <w:r w:rsidRPr="00CD4780">
        <w:rPr>
          <w:rFonts w:ascii="Calibri" w:hAnsi="Calibri" w:cs="Calibri"/>
          <w:b/>
          <w:bCs/>
          <w:iCs/>
        </w:rPr>
        <w:t xml:space="preserve">Criterion </w:t>
      </w:r>
      <w:r w:rsidRPr="00CD4780">
        <w:rPr>
          <w:rFonts w:ascii="Calibri" w:hAnsi="Calibri" w:cs="Calibri"/>
          <w:b/>
          <w:bCs/>
          <w:iCs/>
          <w:lang w:eastAsia="ko-KR"/>
        </w:rPr>
        <w:t>5</w:t>
      </w:r>
      <w:r w:rsidRPr="00CD4780">
        <w:rPr>
          <w:rFonts w:ascii="Calibri" w:hAnsi="Calibri" w:cs="Calibri"/>
          <w:b/>
          <w:bCs/>
          <w:iCs/>
        </w:rPr>
        <w:t xml:space="preserve">; Use of the term “Member State”, “Administration”, “Operating Agency”, “Private Operating Agency, Recognized Operating Agency” and Private Recognized Operating Agency” </w:t>
      </w:r>
    </w:p>
    <w:p w:rsidR="00731E60" w:rsidRPr="00CD4780" w:rsidRDefault="00731E60" w:rsidP="00731E60">
      <w:pPr>
        <w:ind w:left="720" w:hanging="720"/>
        <w:jc w:val="both"/>
        <w:rPr>
          <w:rFonts w:ascii="Calibri" w:hAnsi="Calibri" w:cs="Calibri"/>
          <w:iCs/>
        </w:rPr>
      </w:pPr>
      <w:r w:rsidRPr="00CD4780">
        <w:rPr>
          <w:rFonts w:ascii="Calibri" w:hAnsi="Calibri" w:cs="Calibri"/>
          <w:iCs/>
        </w:rPr>
        <w:t xml:space="preserve">5.1 </w:t>
      </w:r>
      <w:r w:rsidRPr="00CD4780">
        <w:rPr>
          <w:rFonts w:ascii="Calibri" w:hAnsi="Calibri" w:cs="Calibri"/>
          <w:iCs/>
        </w:rPr>
        <w:tab/>
        <w:t xml:space="preserve">As an integral part of the Administrative Regulations annexed to the ITU Constitution, the revised ITRs are a treaty, to be agreed, signed, ratified and implemented by Member States. Due to the different structures responsibilities and frameworks in place among Member States, any proposal to systematically replace the term “Administration” with “Member State” is not appropriate.  </w:t>
      </w:r>
      <w:r w:rsidRPr="00CD4780">
        <w:rPr>
          <w:rFonts w:ascii="Calibri" w:hAnsi="Calibri" w:cs="Calibri"/>
          <w:iCs/>
          <w:u w:val="single"/>
        </w:rPr>
        <w:t>The term “Administration” should be deleted throughout the revised ITU texts</w:t>
      </w:r>
      <w:r w:rsidRPr="00CD4780">
        <w:rPr>
          <w:rFonts w:ascii="Calibri" w:hAnsi="Calibri" w:cs="Calibri"/>
          <w:iCs/>
        </w:rPr>
        <w:t xml:space="preserve"> because the treaty obligations of the ITRs are observed by Member States and the operational obligations are observed by “Operating Agencies” as described in paragraph 5.2 below.</w:t>
      </w:r>
    </w:p>
    <w:p w:rsidR="00731E60" w:rsidRPr="00CD4780" w:rsidRDefault="00731E60" w:rsidP="00731E60">
      <w:pPr>
        <w:ind w:left="705" w:hanging="705"/>
        <w:jc w:val="both"/>
        <w:rPr>
          <w:rFonts w:ascii="Calibri" w:hAnsi="Calibri" w:cs="Calibri"/>
          <w:iCs/>
        </w:rPr>
      </w:pPr>
      <w:r w:rsidRPr="00CD4780">
        <w:rPr>
          <w:rFonts w:ascii="Calibri" w:hAnsi="Calibri" w:cs="Calibri"/>
          <w:iCs/>
        </w:rPr>
        <w:t xml:space="preserve">5.2 </w:t>
      </w:r>
      <w:r w:rsidRPr="00CD4780">
        <w:rPr>
          <w:rFonts w:ascii="Calibri" w:hAnsi="Calibri" w:cs="Calibri"/>
          <w:iCs/>
        </w:rPr>
        <w:tab/>
        <w:t xml:space="preserve">In view of the arguments mentioned in paragraph 5.1 above, the term </w:t>
      </w:r>
      <w:r w:rsidRPr="00CD4780">
        <w:rPr>
          <w:rFonts w:ascii="Calibri" w:hAnsi="Calibri" w:cs="Calibri"/>
          <w:iCs/>
          <w:u w:val="single"/>
        </w:rPr>
        <w:t>“Administrations” should be replaced by the term “Operating Agencies” or “Recognized Operating Agencies” or “Private Operating Agency” or “Private Recognized Operating Agency.”</w:t>
      </w:r>
      <w:r w:rsidRPr="00CD4780">
        <w:rPr>
          <w:rFonts w:ascii="Calibri" w:hAnsi="Calibri" w:cs="Calibri"/>
          <w:iCs/>
        </w:rPr>
        <w:t xml:space="preserve"> This is because in the vast majority of ITU Member States the tasks that were undertaken or associated with “Administration” in 1988 are currently being performed by one of the four entities listed above, according to the context in which these terms are used in a given country.</w:t>
      </w:r>
    </w:p>
    <w:p w:rsidR="00731E60" w:rsidRPr="00CD4780" w:rsidRDefault="00731E60" w:rsidP="00731E60">
      <w:pPr>
        <w:ind w:left="705" w:hanging="705"/>
        <w:jc w:val="both"/>
        <w:rPr>
          <w:rFonts w:ascii="Calibri" w:hAnsi="Calibri" w:cs="Calibri"/>
          <w:iCs/>
        </w:rPr>
      </w:pPr>
      <w:r w:rsidRPr="00CD4780">
        <w:rPr>
          <w:rFonts w:ascii="Calibri" w:hAnsi="Calibri" w:cs="Calibri"/>
          <w:iCs/>
        </w:rPr>
        <w:t>5.3</w:t>
      </w:r>
      <w:r w:rsidRPr="00CD4780">
        <w:rPr>
          <w:rFonts w:ascii="Calibri" w:hAnsi="Calibri" w:cs="Calibri"/>
          <w:iCs/>
        </w:rPr>
        <w:tab/>
        <w:t xml:space="preserve">Since the use of any of these four terms in lieu of “Administration” could create </w:t>
      </w:r>
      <w:r w:rsidRPr="00CD4780">
        <w:rPr>
          <w:rFonts w:ascii="Calibri" w:hAnsi="Calibri" w:cs="Calibri"/>
        </w:rPr>
        <w:t xml:space="preserve">very different legal rights and obligations for ITU Member States and entities within Member States, each of these terms will be assessed on a case by case basis according to the prevailing circumstances and situations in </w:t>
      </w:r>
      <w:r w:rsidRPr="00CD4780">
        <w:rPr>
          <w:rFonts w:ascii="Calibri" w:hAnsi="Calibri" w:cs="Calibri"/>
          <w:iCs/>
        </w:rPr>
        <w:t>each country</w:t>
      </w:r>
    </w:p>
    <w:p w:rsidR="00731E60" w:rsidRPr="00CD4780" w:rsidRDefault="00731E60" w:rsidP="00731E60">
      <w:pPr>
        <w:ind w:left="709" w:hanging="709"/>
        <w:jc w:val="both"/>
        <w:rPr>
          <w:rFonts w:ascii="Calibri" w:hAnsi="Calibri" w:cs="Calibri"/>
          <w:iCs/>
        </w:rPr>
      </w:pPr>
      <w:r w:rsidRPr="00CD4780">
        <w:rPr>
          <w:rFonts w:ascii="Calibri" w:hAnsi="Calibri" w:cs="Calibri"/>
          <w:iCs/>
        </w:rPr>
        <w:t>5.4</w:t>
      </w:r>
      <w:r w:rsidRPr="00CD4780">
        <w:rPr>
          <w:rFonts w:ascii="Calibri" w:hAnsi="Calibri" w:cs="Calibri"/>
          <w:iCs/>
        </w:rPr>
        <w:tab/>
        <w:t xml:space="preserve">To resolve this matter and allow the flexibility to address the situation and circumstances which could exist in each country, a possible way forward would be to introduce an asterisk above the term “Operating Agency” with the following footnote to describe the situation: </w:t>
      </w:r>
    </w:p>
    <w:p w:rsidR="00731E60" w:rsidRPr="00CD4780" w:rsidRDefault="00731E60" w:rsidP="00731E60">
      <w:pPr>
        <w:ind w:left="1416"/>
        <w:jc w:val="both"/>
        <w:rPr>
          <w:rFonts w:ascii="Calibri" w:hAnsi="Calibri" w:cs="Calibri"/>
          <w:iCs/>
        </w:rPr>
      </w:pPr>
      <w:r w:rsidRPr="00CD4780">
        <w:rPr>
          <w:rFonts w:ascii="Calibri" w:hAnsi="Calibri" w:cs="Calibri"/>
          <w:iCs/>
        </w:rPr>
        <w:lastRenderedPageBreak/>
        <w:t>“Whenever, in these Regulations, reference is made to “Operating Agency”, it is understood that  the term also covers “Recognized Operating Agency” and/or “Private Operating agency “and /or “Private Recognized Operating Agency, “or other entities” that provide international telecommunication services to the public, according to the context in which these terms are used in a given country.</w:t>
      </w:r>
    </w:p>
    <w:p w:rsidR="00731E60" w:rsidRPr="00731E60" w:rsidRDefault="00731E60" w:rsidP="00731E60">
      <w:pPr>
        <w:jc w:val="center"/>
        <w:rPr>
          <w:u w:val="single"/>
        </w:rPr>
      </w:pPr>
      <w:r>
        <w:rPr>
          <w:u w:val="single"/>
        </w:rPr>
        <w:t>                     </w:t>
      </w:r>
    </w:p>
    <w:sectPr w:rsidR="00731E60" w:rsidRPr="00731E60">
      <w:headerReference w:type="default" r:id="rId14"/>
      <w:footerReference w:type="even" r:id="rId15"/>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AFF" w:rsidRDefault="00203AFF">
      <w:r>
        <w:separator/>
      </w:r>
    </w:p>
  </w:endnote>
  <w:endnote w:type="continuationSeparator" w:id="0">
    <w:p w:rsidR="00203AFF" w:rsidRDefault="0020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43" w:rsidRDefault="00463C43">
    <w:pPr>
      <w:framePr w:wrap="around" w:vAnchor="text" w:hAnchor="margin" w:xAlign="right" w:y="1"/>
    </w:pPr>
    <w:r>
      <w:fldChar w:fldCharType="begin"/>
    </w:r>
    <w:r>
      <w:instrText xml:space="preserve">PAGE  </w:instrText>
    </w:r>
    <w:r>
      <w:fldChar w:fldCharType="end"/>
    </w:r>
  </w:p>
  <w:p w:rsidR="00463C43" w:rsidRPr="0041348E" w:rsidRDefault="00463C43">
    <w:pPr>
      <w:ind w:right="360"/>
      <w:rPr>
        <w:lang w:val="en-US"/>
      </w:rPr>
    </w:pPr>
    <w:r>
      <w:fldChar w:fldCharType="begin"/>
    </w:r>
    <w:r w:rsidRPr="0041348E">
      <w:rPr>
        <w:lang w:val="en-US"/>
      </w:rPr>
      <w:instrText xml:space="preserve"> FILENAME \p  \* MERGEFORMAT </w:instrText>
    </w:r>
    <w:r>
      <w:fldChar w:fldCharType="separate"/>
    </w:r>
    <w:r w:rsidR="00104FAD">
      <w:rPr>
        <w:noProof/>
        <w:lang w:val="en-US"/>
      </w:rPr>
      <w:t>C:\Users\janin\Dropbox\WCITDocscontrol\DT\DT1-cor1-e.docx</w:t>
    </w:r>
    <w:r>
      <w:fldChar w:fldCharType="end"/>
    </w:r>
    <w:r w:rsidRPr="0041348E">
      <w:rPr>
        <w:lang w:val="en-US"/>
      </w:rPr>
      <w:tab/>
    </w:r>
    <w:r>
      <w:fldChar w:fldCharType="begin"/>
    </w:r>
    <w:r>
      <w:instrText xml:space="preserve"> SAVEDATE \@ DD.MM.YY </w:instrText>
    </w:r>
    <w:r>
      <w:fldChar w:fldCharType="separate"/>
    </w:r>
    <w:r w:rsidR="00104FAD">
      <w:rPr>
        <w:noProof/>
      </w:rPr>
      <w:t>03.12.12</w:t>
    </w:r>
    <w:r>
      <w:fldChar w:fldCharType="end"/>
    </w:r>
    <w:r w:rsidRPr="0041348E">
      <w:rPr>
        <w:lang w:val="en-US"/>
      </w:rPr>
      <w:tab/>
    </w:r>
    <w:r>
      <w:fldChar w:fldCharType="begin"/>
    </w:r>
    <w:r>
      <w:instrText xml:space="preserve"> PRINTDATE \@ DD.MM.YY </w:instrText>
    </w:r>
    <w:r>
      <w:fldChar w:fldCharType="separate"/>
    </w:r>
    <w:r w:rsidR="00104FAD">
      <w:rPr>
        <w:noProof/>
      </w:rPr>
      <w:t>03.12.12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AFF" w:rsidRDefault="00203AFF">
      <w:r>
        <w:rPr>
          <w:b/>
        </w:rPr>
        <w:t>_______________</w:t>
      </w:r>
    </w:p>
  </w:footnote>
  <w:footnote w:type="continuationSeparator" w:id="0">
    <w:p w:rsidR="00203AFF" w:rsidRDefault="00203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43" w:rsidRDefault="00463C43" w:rsidP="00187BD9">
    <w:pPr>
      <w:pStyle w:val="Header"/>
    </w:pPr>
    <w:r>
      <w:fldChar w:fldCharType="begin"/>
    </w:r>
    <w:r>
      <w:instrText xml:space="preserve"> PAGE  \* MERGEFORMAT </w:instrText>
    </w:r>
    <w:r>
      <w:fldChar w:fldCharType="separate"/>
    </w:r>
    <w:r w:rsidR="00104FAD">
      <w:rPr>
        <w:noProof/>
      </w:rPr>
      <w:t>5</w:t>
    </w:r>
    <w:r>
      <w:fldChar w:fldCharType="end"/>
    </w:r>
  </w:p>
  <w:p w:rsidR="00463C43" w:rsidRPr="00A066F1" w:rsidRDefault="00463C43" w:rsidP="00F21A1D">
    <w:pPr>
      <w:pStyle w:val="Header"/>
      <w:ind w:left="567" w:hanging="567"/>
    </w:pPr>
    <w:r>
      <w:t>WCI</w:t>
    </w:r>
    <w:r>
      <w:rPr>
        <w:lang w:val="en-US"/>
      </w:rPr>
      <w:t>T</w:t>
    </w:r>
    <w:r>
      <w:t>12/DT/1</w:t>
    </w:r>
    <w:r w:rsidR="00731E60">
      <w:t>(Cor.1)</w:t>
    </w:r>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14B81A82"/>
    <w:multiLevelType w:val="multilevel"/>
    <w:tmpl w:val="2A3208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3D93CB8"/>
    <w:multiLevelType w:val="multilevel"/>
    <w:tmpl w:val="1C7E74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A3C4F86"/>
    <w:multiLevelType w:val="multilevel"/>
    <w:tmpl w:val="F566CFE4"/>
    <w:lvl w:ilvl="0">
      <w:start w:val="2"/>
      <w:numFmt w:val="decimal"/>
      <w:lvlText w:val="%1"/>
      <w:lvlJc w:val="left"/>
      <w:pPr>
        <w:ind w:left="360" w:hanging="360"/>
      </w:pPr>
    </w:lvl>
    <w:lvl w:ilvl="1">
      <w:start w:val="2"/>
      <w:numFmt w:val="decimal"/>
      <w:lvlText w:val="%1.%2"/>
      <w:lvlJc w:val="left"/>
      <w:pPr>
        <w:ind w:left="1455" w:hanging="360"/>
      </w:pPr>
    </w:lvl>
    <w:lvl w:ilvl="2">
      <w:start w:val="1"/>
      <w:numFmt w:val="decimal"/>
      <w:lvlText w:val="%1.%2.%3"/>
      <w:lvlJc w:val="left"/>
      <w:pPr>
        <w:ind w:left="2910" w:hanging="720"/>
      </w:pPr>
    </w:lvl>
    <w:lvl w:ilvl="3">
      <w:start w:val="1"/>
      <w:numFmt w:val="decimal"/>
      <w:lvlText w:val="%1.%2.%3.%4"/>
      <w:lvlJc w:val="left"/>
      <w:pPr>
        <w:ind w:left="4005" w:hanging="720"/>
      </w:pPr>
    </w:lvl>
    <w:lvl w:ilvl="4">
      <w:start w:val="1"/>
      <w:numFmt w:val="decimal"/>
      <w:lvlText w:val="%1.%2.%3.%4.%5"/>
      <w:lvlJc w:val="left"/>
      <w:pPr>
        <w:ind w:left="5460" w:hanging="1080"/>
      </w:pPr>
    </w:lvl>
    <w:lvl w:ilvl="5">
      <w:start w:val="1"/>
      <w:numFmt w:val="decimal"/>
      <w:lvlText w:val="%1.%2.%3.%4.%5.%6"/>
      <w:lvlJc w:val="left"/>
      <w:pPr>
        <w:ind w:left="6555" w:hanging="1080"/>
      </w:pPr>
    </w:lvl>
    <w:lvl w:ilvl="6">
      <w:start w:val="1"/>
      <w:numFmt w:val="decimal"/>
      <w:lvlText w:val="%1.%2.%3.%4.%5.%6.%7"/>
      <w:lvlJc w:val="left"/>
      <w:pPr>
        <w:ind w:left="8010" w:hanging="1440"/>
      </w:pPr>
    </w:lvl>
    <w:lvl w:ilvl="7">
      <w:start w:val="1"/>
      <w:numFmt w:val="decimal"/>
      <w:lvlText w:val="%1.%2.%3.%4.%5.%6.%7.%8"/>
      <w:lvlJc w:val="left"/>
      <w:pPr>
        <w:ind w:left="9105" w:hanging="1440"/>
      </w:pPr>
    </w:lvl>
    <w:lvl w:ilvl="8">
      <w:start w:val="1"/>
      <w:numFmt w:val="decimal"/>
      <w:lvlText w:val="%1.%2.%3.%4.%5.%6.%7.%8.%9"/>
      <w:lvlJc w:val="left"/>
      <w:pPr>
        <w:ind w:left="10560" w:hanging="1800"/>
      </w:pPr>
    </w:lvl>
  </w:abstractNum>
  <w:abstractNum w:abstractNumId="5">
    <w:nsid w:val="435C553B"/>
    <w:multiLevelType w:val="multilevel"/>
    <w:tmpl w:val="F03CCD7E"/>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2B6E"/>
    <w:rsid w:val="000041EA"/>
    <w:rsid w:val="000069B0"/>
    <w:rsid w:val="00022A29"/>
    <w:rsid w:val="000355FD"/>
    <w:rsid w:val="00051E39"/>
    <w:rsid w:val="00077239"/>
    <w:rsid w:val="000822BE"/>
    <w:rsid w:val="00086491"/>
    <w:rsid w:val="00091346"/>
    <w:rsid w:val="000F1EB5"/>
    <w:rsid w:val="000F43E3"/>
    <w:rsid w:val="000F73FF"/>
    <w:rsid w:val="00104FAD"/>
    <w:rsid w:val="00114CF7"/>
    <w:rsid w:val="00123B68"/>
    <w:rsid w:val="00126F2E"/>
    <w:rsid w:val="00146F6F"/>
    <w:rsid w:val="00152957"/>
    <w:rsid w:val="0017785A"/>
    <w:rsid w:val="00187BD9"/>
    <w:rsid w:val="00190B55"/>
    <w:rsid w:val="00194CFB"/>
    <w:rsid w:val="001C3B5F"/>
    <w:rsid w:val="001D058F"/>
    <w:rsid w:val="001E71E9"/>
    <w:rsid w:val="002009EA"/>
    <w:rsid w:val="00202CA0"/>
    <w:rsid w:val="00203AFF"/>
    <w:rsid w:val="002154A6"/>
    <w:rsid w:val="002255B3"/>
    <w:rsid w:val="00271316"/>
    <w:rsid w:val="00275A9A"/>
    <w:rsid w:val="002D58BE"/>
    <w:rsid w:val="003013EE"/>
    <w:rsid w:val="00377BD3"/>
    <w:rsid w:val="00384088"/>
    <w:rsid w:val="0039169B"/>
    <w:rsid w:val="003A7F8C"/>
    <w:rsid w:val="003B532E"/>
    <w:rsid w:val="003B6F14"/>
    <w:rsid w:val="003D0F8B"/>
    <w:rsid w:val="004131D4"/>
    <w:rsid w:val="0041348E"/>
    <w:rsid w:val="00447308"/>
    <w:rsid w:val="00463C43"/>
    <w:rsid w:val="004765FF"/>
    <w:rsid w:val="00492075"/>
    <w:rsid w:val="004969AD"/>
    <w:rsid w:val="004B13CB"/>
    <w:rsid w:val="004B4FDF"/>
    <w:rsid w:val="004D5D5C"/>
    <w:rsid w:val="0050139F"/>
    <w:rsid w:val="00521223"/>
    <w:rsid w:val="005437F0"/>
    <w:rsid w:val="0055140B"/>
    <w:rsid w:val="005964AB"/>
    <w:rsid w:val="005C099A"/>
    <w:rsid w:val="005C31A5"/>
    <w:rsid w:val="005E10C9"/>
    <w:rsid w:val="005E61DD"/>
    <w:rsid w:val="006023DF"/>
    <w:rsid w:val="00653C03"/>
    <w:rsid w:val="00657DE0"/>
    <w:rsid w:val="00685313"/>
    <w:rsid w:val="006A6E9B"/>
    <w:rsid w:val="006B7C2A"/>
    <w:rsid w:val="006C23DA"/>
    <w:rsid w:val="006E3D45"/>
    <w:rsid w:val="007149F9"/>
    <w:rsid w:val="00731E60"/>
    <w:rsid w:val="00733A30"/>
    <w:rsid w:val="00745AEE"/>
    <w:rsid w:val="007479EA"/>
    <w:rsid w:val="00750F10"/>
    <w:rsid w:val="007742CA"/>
    <w:rsid w:val="0078169A"/>
    <w:rsid w:val="007B03CD"/>
    <w:rsid w:val="007D06F0"/>
    <w:rsid w:val="007D45E3"/>
    <w:rsid w:val="007D5320"/>
    <w:rsid w:val="00800972"/>
    <w:rsid w:val="00804475"/>
    <w:rsid w:val="00811633"/>
    <w:rsid w:val="00821CEF"/>
    <w:rsid w:val="00832828"/>
    <w:rsid w:val="0085416C"/>
    <w:rsid w:val="00872FC8"/>
    <w:rsid w:val="008845D0"/>
    <w:rsid w:val="008B43F2"/>
    <w:rsid w:val="008B6CFF"/>
    <w:rsid w:val="009036D6"/>
    <w:rsid w:val="009274B4"/>
    <w:rsid w:val="00934EA2"/>
    <w:rsid w:val="00944A5C"/>
    <w:rsid w:val="00952A66"/>
    <w:rsid w:val="00981558"/>
    <w:rsid w:val="00982D82"/>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B639E9"/>
    <w:rsid w:val="00B817CD"/>
    <w:rsid w:val="00BB3A95"/>
    <w:rsid w:val="00C0018F"/>
    <w:rsid w:val="00C20466"/>
    <w:rsid w:val="00C214ED"/>
    <w:rsid w:val="00C234E6"/>
    <w:rsid w:val="00C324A8"/>
    <w:rsid w:val="00C54517"/>
    <w:rsid w:val="00C64CD8"/>
    <w:rsid w:val="00C97C68"/>
    <w:rsid w:val="00CA1A47"/>
    <w:rsid w:val="00CC247A"/>
    <w:rsid w:val="00CE5E47"/>
    <w:rsid w:val="00CF020F"/>
    <w:rsid w:val="00CF2B5B"/>
    <w:rsid w:val="00D14CE0"/>
    <w:rsid w:val="00D5651D"/>
    <w:rsid w:val="00D74898"/>
    <w:rsid w:val="00D801ED"/>
    <w:rsid w:val="00D919C8"/>
    <w:rsid w:val="00D925C2"/>
    <w:rsid w:val="00D936BC"/>
    <w:rsid w:val="00D96530"/>
    <w:rsid w:val="00D96B4B"/>
    <w:rsid w:val="00DD08B4"/>
    <w:rsid w:val="00DD44AF"/>
    <w:rsid w:val="00DE2AC3"/>
    <w:rsid w:val="00DE5692"/>
    <w:rsid w:val="00DF6F8E"/>
    <w:rsid w:val="00E03C94"/>
    <w:rsid w:val="00E06C95"/>
    <w:rsid w:val="00E26226"/>
    <w:rsid w:val="00E45D05"/>
    <w:rsid w:val="00E55816"/>
    <w:rsid w:val="00E55AEF"/>
    <w:rsid w:val="00E976C1"/>
    <w:rsid w:val="00EA12E5"/>
    <w:rsid w:val="00EA56EA"/>
    <w:rsid w:val="00F02766"/>
    <w:rsid w:val="00F04067"/>
    <w:rsid w:val="00F05BD4"/>
    <w:rsid w:val="00F21A1D"/>
    <w:rsid w:val="00F65C19"/>
    <w:rsid w:val="00F666E4"/>
    <w:rsid w:val="00F916E2"/>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basedOn w:val="DefaultParagraphFont"/>
    <w:rsid w:val="00CA2D91"/>
    <w:rPr>
      <w:rFonts w:cs="Times New Roman"/>
      <w:color w:val="0000FF"/>
      <w:u w:val="single"/>
    </w:rPr>
  </w:style>
  <w:style w:type="paragraph" w:styleId="NormalWeb">
    <w:name w:val="Normal (Web)"/>
    <w:basedOn w:val="Normal"/>
    <w:uiPriority w:val="99"/>
    <w:rsid w:val="00517E5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IN" w:eastAsia="en-IN"/>
    </w:rPr>
  </w:style>
  <w:style w:type="character" w:customStyle="1" w:styleId="dpstylefootnotereference1">
    <w:name w:val="dpstylefootnotereference1"/>
    <w:basedOn w:val="DefaultParagraphFont"/>
    <w:rsid w:val="00F24D54"/>
    <w:rPr>
      <w:sz w:val="18"/>
      <w:szCs w:val="18"/>
    </w:rPr>
  </w:style>
  <w:style w:type="paragraph" w:customStyle="1" w:styleId="App">
    <w:name w:val="App_"/>
    <w:basedOn w:val="Normal"/>
    <w:rsid w:val="00453BE3"/>
    <w:pPr>
      <w:jc w:val="center"/>
    </w:pPr>
    <w:rPr>
      <w:b/>
    </w:rPr>
  </w:style>
  <w:style w:type="paragraph" w:customStyle="1" w:styleId="Normalaftertitle0">
    <w:name w:val="Normal_after_title"/>
    <w:basedOn w:val="Normal"/>
    <w:next w:val="Normal"/>
    <w:rsid w:val="00204F4D"/>
    <w:pPr>
      <w:tabs>
        <w:tab w:val="clear" w:pos="1134"/>
        <w:tab w:val="clear" w:pos="1871"/>
        <w:tab w:val="clear" w:pos="2268"/>
        <w:tab w:val="left" w:pos="794"/>
        <w:tab w:val="left" w:pos="1191"/>
        <w:tab w:val="left" w:pos="1588"/>
        <w:tab w:val="left" w:pos="1985"/>
      </w:tabs>
      <w:spacing w:before="400" w:line="280" w:lineRule="exact"/>
      <w:jc w:val="both"/>
      <w:textAlignment w:val="auto"/>
    </w:pPr>
    <w:rPr>
      <w:rFonts w:ascii="Times New Roman" w:hAnsi="Times New Roman"/>
      <w:sz w:val="22"/>
      <w:lang w:val="fr-FR"/>
    </w:rPr>
  </w:style>
  <w:style w:type="character" w:customStyle="1" w:styleId="hps">
    <w:name w:val="hps"/>
    <w:rsid w:val="00CE5519"/>
  </w:style>
  <w:style w:type="character" w:customStyle="1" w:styleId="opttxt">
    <w:name w:val="opt txt"/>
    <w:uiPriority w:val="1"/>
    <w:qFormat/>
    <w:rsid w:val="00AD0D49"/>
    <w:rPr>
      <w:b/>
      <w:bCs/>
      <w:i/>
      <w:iCs/>
    </w:rPr>
  </w:style>
  <w:style w:type="character" w:styleId="Strong">
    <w:name w:val="Strong"/>
    <w:qFormat/>
    <w:rsid w:val="0064638E"/>
    <w:rPr>
      <w:rFonts w:cs="Times New Roman"/>
      <w:b/>
      <w:bCs/>
    </w:rPr>
  </w:style>
  <w:style w:type="paragraph" w:customStyle="1" w:styleId="ColorfulList-Accent11">
    <w:name w:val="Colorful List - Accent 11"/>
    <w:basedOn w:val="Normal"/>
    <w:uiPriority w:val="34"/>
    <w:qFormat/>
    <w:rsid w:val="00AD0D49"/>
    <w:pPr>
      <w:tabs>
        <w:tab w:val="left" w:pos="794"/>
        <w:tab w:val="left" w:pos="1191"/>
        <w:tab w:val="left" w:pos="1588"/>
        <w:tab w:val="left" w:pos="1985"/>
      </w:tabs>
      <w:ind w:left="720"/>
      <w:contextualSpacing/>
    </w:pPr>
    <w:rPr>
      <w:rFonts w:eastAsia="Calibri"/>
    </w:rPr>
  </w:style>
  <w:style w:type="character" w:styleId="FollowedHyperlink">
    <w:name w:val="FollowedHyperlink"/>
    <w:basedOn w:val="DefaultParagraphFont"/>
    <w:semiHidden/>
    <w:unhideWhenUsed/>
    <w:rsid w:val="00EA56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basedOn w:val="DefaultParagraphFont"/>
    <w:rsid w:val="00CA2D91"/>
    <w:rPr>
      <w:rFonts w:cs="Times New Roman"/>
      <w:color w:val="0000FF"/>
      <w:u w:val="single"/>
    </w:rPr>
  </w:style>
  <w:style w:type="paragraph" w:styleId="NormalWeb">
    <w:name w:val="Normal (Web)"/>
    <w:basedOn w:val="Normal"/>
    <w:uiPriority w:val="99"/>
    <w:rsid w:val="00517E5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IN" w:eastAsia="en-IN"/>
    </w:rPr>
  </w:style>
  <w:style w:type="character" w:customStyle="1" w:styleId="dpstylefootnotereference1">
    <w:name w:val="dpstylefootnotereference1"/>
    <w:basedOn w:val="DefaultParagraphFont"/>
    <w:rsid w:val="00F24D54"/>
    <w:rPr>
      <w:sz w:val="18"/>
      <w:szCs w:val="18"/>
    </w:rPr>
  </w:style>
  <w:style w:type="paragraph" w:customStyle="1" w:styleId="App">
    <w:name w:val="App_"/>
    <w:basedOn w:val="Normal"/>
    <w:rsid w:val="00453BE3"/>
    <w:pPr>
      <w:jc w:val="center"/>
    </w:pPr>
    <w:rPr>
      <w:b/>
    </w:rPr>
  </w:style>
  <w:style w:type="paragraph" w:customStyle="1" w:styleId="Normalaftertitle0">
    <w:name w:val="Normal_after_title"/>
    <w:basedOn w:val="Normal"/>
    <w:next w:val="Normal"/>
    <w:rsid w:val="00204F4D"/>
    <w:pPr>
      <w:tabs>
        <w:tab w:val="clear" w:pos="1134"/>
        <w:tab w:val="clear" w:pos="1871"/>
        <w:tab w:val="clear" w:pos="2268"/>
        <w:tab w:val="left" w:pos="794"/>
        <w:tab w:val="left" w:pos="1191"/>
        <w:tab w:val="left" w:pos="1588"/>
        <w:tab w:val="left" w:pos="1985"/>
      </w:tabs>
      <w:spacing w:before="400" w:line="280" w:lineRule="exact"/>
      <w:jc w:val="both"/>
      <w:textAlignment w:val="auto"/>
    </w:pPr>
    <w:rPr>
      <w:rFonts w:ascii="Times New Roman" w:hAnsi="Times New Roman"/>
      <w:sz w:val="22"/>
      <w:lang w:val="fr-FR"/>
    </w:rPr>
  </w:style>
  <w:style w:type="character" w:customStyle="1" w:styleId="hps">
    <w:name w:val="hps"/>
    <w:rsid w:val="00CE5519"/>
  </w:style>
  <w:style w:type="character" w:customStyle="1" w:styleId="opttxt">
    <w:name w:val="opt txt"/>
    <w:uiPriority w:val="1"/>
    <w:qFormat/>
    <w:rsid w:val="00AD0D49"/>
    <w:rPr>
      <w:b/>
      <w:bCs/>
      <w:i/>
      <w:iCs/>
    </w:rPr>
  </w:style>
  <w:style w:type="character" w:styleId="Strong">
    <w:name w:val="Strong"/>
    <w:qFormat/>
    <w:rsid w:val="0064638E"/>
    <w:rPr>
      <w:rFonts w:cs="Times New Roman"/>
      <w:b/>
      <w:bCs/>
    </w:rPr>
  </w:style>
  <w:style w:type="paragraph" w:customStyle="1" w:styleId="ColorfulList-Accent11">
    <w:name w:val="Colorful List - Accent 11"/>
    <w:basedOn w:val="Normal"/>
    <w:uiPriority w:val="34"/>
    <w:qFormat/>
    <w:rsid w:val="00AD0D49"/>
    <w:pPr>
      <w:tabs>
        <w:tab w:val="left" w:pos="794"/>
        <w:tab w:val="left" w:pos="1191"/>
        <w:tab w:val="left" w:pos="1588"/>
        <w:tab w:val="left" w:pos="1985"/>
      </w:tabs>
      <w:ind w:left="720"/>
      <w:contextualSpacing/>
    </w:pPr>
    <w:rPr>
      <w:rFonts w:eastAsia="Calibri"/>
    </w:rPr>
  </w:style>
  <w:style w:type="character" w:styleId="FollowedHyperlink">
    <w:name w:val="FollowedHyperlink"/>
    <w:basedOn w:val="DefaultParagraphFont"/>
    <w:semiHidden/>
    <w:unhideWhenUsed/>
    <w:rsid w:val="00EA56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72727149">
      <w:bodyDiv w:val="1"/>
      <w:marLeft w:val="0"/>
      <w:marRight w:val="0"/>
      <w:marTop w:val="0"/>
      <w:marBottom w:val="0"/>
      <w:divBdr>
        <w:top w:val="none" w:sz="0" w:space="0" w:color="auto"/>
        <w:left w:val="none" w:sz="0" w:space="0" w:color="auto"/>
        <w:bottom w:val="none" w:sz="0" w:space="0" w:color="auto"/>
        <w:right w:val="none" w:sz="0" w:space="0" w:color="auto"/>
      </w:divBdr>
    </w:div>
    <w:div w:id="214095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CIT12-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S12-WCIT12-121203-TD-0001!!MSW-E</DPM_x0020_File_x0020_name>
    <DPM_x0020_Author xmlns="32a1a8c5-2265-4ebc-b7a0-2071e2c5c9bb" xsi:nil="false">Documents Proposals Manager (DPM)</DPM_x0020_Author>
    <DPM_x0020_Version xmlns="32a1a8c5-2265-4ebc-b7a0-2071e2c5c9bb" xsi:nil="false">DPM_v5.3.8.3_prod</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2975DC-7BA0-456D-94AA-F2A9616141E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B50FCE77-E246-4FEA-8406-0D8682025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PE_WCIT12-E.dotx</Template>
  <TotalTime>4</TotalTime>
  <Pages>5</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S12-WCIT12-121203-TD-0001!!MSW-E</vt:lpstr>
    </vt:vector>
  </TitlesOfParts>
  <Manager>General Secretariat - Pool</Manager>
  <Company>International Telecommunication Union (ITU)</Company>
  <LinksUpToDate>false</LinksUpToDate>
  <CharactersWithSpaces>8829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S12-WCIT12-121203-TD-0001!!MSW-E</dc:title>
  <dc:subject>World Conference on International Telecommunications (WCIT)</dc:subject>
  <dc:creator>Documents Proposals Manager (DPM)</dc:creator>
  <cp:keywords>DPM_v5.3.8.3_prod</cp:keywords>
  <cp:lastModifiedBy>Janin, Patricia</cp:lastModifiedBy>
  <cp:revision>6</cp:revision>
  <cp:lastPrinted>2012-12-03T09:45:00Z</cp:lastPrinted>
  <dcterms:created xsi:type="dcterms:W3CDTF">2012-12-03T09:41:00Z</dcterms:created>
  <dcterms:modified xsi:type="dcterms:W3CDTF">2012-12-03T09:45:00Z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