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4E" w:rsidRPr="00226B91" w:rsidRDefault="0008544E" w:rsidP="0008544E">
      <w:pPr>
        <w:pStyle w:val="QuestionNo"/>
        <w:rPr>
          <w:lang w:val="ru-RU"/>
        </w:rPr>
      </w:pPr>
      <w:bookmarkStart w:id="0" w:name="_Toc393899669"/>
      <w:r w:rsidRPr="00226B91">
        <w:rPr>
          <w:lang w:val="ru-RU"/>
        </w:rPr>
        <w:t>Вопрос 7/2</w:t>
      </w:r>
      <w:bookmarkEnd w:id="0"/>
    </w:p>
    <w:p w:rsidR="0008544E" w:rsidRPr="00226B91" w:rsidRDefault="0008544E" w:rsidP="0008544E">
      <w:pPr>
        <w:pStyle w:val="Questiontitle"/>
        <w:rPr>
          <w:lang w:val="ru-RU"/>
        </w:rPr>
      </w:pPr>
      <w:r w:rsidRPr="00226B91">
        <w:rPr>
          <w:lang w:val="ru-RU"/>
        </w:rPr>
        <w:t xml:space="preserve">Стратегии и политика, касающиеся воздействия </w:t>
      </w:r>
      <w:r w:rsidRPr="00226B91">
        <w:rPr>
          <w:lang w:val="ru-RU"/>
        </w:rPr>
        <w:br/>
        <w:t>электромагнитных полей на человека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Изложение ситуации или проблемы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 xml:space="preserve">В течение последних десяти (10) лет очень быстро развивалось применение различных источников электромагнитных полей в целях удовлетворения потребностей в ИКТ городских и сельских сообществ. Это обусловливалось жесткой конкуренцией, постоянным ростом объема трафика, требованиями к качеству обслуживания, расширением охвата сетей и внедрением новых технологий. 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Это вызвало обеспокоенность по поводу возможных последствий длительного воздействия излучения на здоровье людей.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 xml:space="preserve">Эта обеспокоенность части населения усиливается, чему способствует понимание своего низкого уровня информированности о процессе развертывания этих установок, в результате чего операторы и государственные органы, ответственные за радиосвязь/ИКТ, получают много жалоб. 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Вследствие этого, учитывая, что постоянное развитие радиосвязи требует доверия со стороны населения, работа, проводимая Рабочей группой 1С 1-й Исследовательской комиссии МСЭ-R и 5</w:t>
      </w:r>
      <w:r w:rsidRPr="00226B91">
        <w:rPr>
          <w:lang w:val="ru-RU"/>
        </w:rPr>
        <w:noBreakHyphen/>
        <w:t xml:space="preserve">й Исследовательской комиссией МСЭ-Т по выполнению Резолюции 72 Всемирной ассамблеи по стандартизации электросвязи, касающейся важности измерений, связанных с воздействием электромагнитных полей на человека, должна быть дополнена исследованиями различных регуляторных механизмов и механизмов связи, разработанных странами для повышения уровня осведомленности и информированности населения и содействия развертыванию и эксплуатации систем радиосвязи. 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Вопрос или предмет для исследования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 xml:space="preserve">Исследования должны быть проведены по следующим направлениям: 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 xml:space="preserve">разработка и анализ регуляторной политики, касающейся воздействия электромагнитных полей на человека, которая рассматривается или проводится для предоставления разрешений на установку узлов радиосвязи и силовых линий систем электросвязи; 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 xml:space="preserve">описание стратегий или методов повышения уровня осведомленности и информированности населения относительно воздействия электромагнитных полей в связи с системами радиосвязи; 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с)</w:t>
      </w:r>
      <w:r w:rsidRPr="00226B91">
        <w:rPr>
          <w:lang w:val="ru-RU"/>
        </w:rPr>
        <w:tab/>
        <w:t xml:space="preserve">предложение руководящих указаний и передового опыта по этой теме. 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Ожидаемые результаты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Отчет для членов, содержащий руководящие указания, предназначенные в помощь Государствам-Членам при разрешении аналогичных проблем, с которыми сталкиваются регуляторные органы.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lastRenderedPageBreak/>
        <w:t>b)</w:t>
      </w:r>
      <w:r w:rsidRPr="00226B91">
        <w:rPr>
          <w:lang w:val="ru-RU"/>
        </w:rPr>
        <w:tab/>
        <w:t>Этот отчет обеспечит регуляторные органы руководящими указаниями относительно методов повышения уровня осведомленности населения, а также примерами передового опыта в этой области на основе накопленного странами опыта.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>График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Предварительный отчет должен быть представлен исследовательской комиссии в 2015 году. Предполагается завершить исследования в 2017 году, и к этому сроку будет представлен заключительный отчет, содержащий руководящие указания.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5</w:t>
      </w:r>
      <w:r w:rsidRPr="00226B91">
        <w:rPr>
          <w:lang w:val="ru-RU"/>
        </w:rPr>
        <w:tab/>
        <w:t>Авторы предложения/спонсоры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Государства-Члены.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6</w:t>
      </w:r>
      <w:r w:rsidRPr="00226B91">
        <w:rPr>
          <w:lang w:val="ru-RU"/>
        </w:rPr>
        <w:tab/>
        <w:t>Источники используемых в работе материалов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Государства-Члены, Члены Сектора.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Региональные организации.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Секторы МСЭ.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Всемирная организация здравоохранения.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e)</w:t>
      </w:r>
      <w:r w:rsidRPr="00226B91">
        <w:rPr>
          <w:lang w:val="ru-RU"/>
        </w:rPr>
        <w:tab/>
        <w:t>Международная комиссия по защите от неионизирующей радиации (ICNIRP).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f)</w:t>
      </w:r>
      <w:r w:rsidRPr="00226B91">
        <w:rPr>
          <w:lang w:val="ru-RU"/>
        </w:rPr>
        <w:tab/>
        <w:t>Институт инженеров по электротехнике и радиоэлектронике (IEEE).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g)</w:t>
      </w:r>
      <w:r w:rsidRPr="00226B91">
        <w:rPr>
          <w:lang w:val="ru-RU"/>
        </w:rPr>
        <w:tab/>
        <w:t>Координаторы БРЭ.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7</w:t>
      </w:r>
      <w:r w:rsidRPr="00226B91">
        <w:rPr>
          <w:lang w:val="ru-RU"/>
        </w:rPr>
        <w:tab/>
        <w:t>Целевая аудитория</w:t>
      </w:r>
    </w:p>
    <w:p w:rsidR="0008544E" w:rsidRPr="00226B91" w:rsidRDefault="0008544E" w:rsidP="0008544E">
      <w:pPr>
        <w:pStyle w:val="Headingb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Целевая аудитория – кто конкретно будет использовать исходные материалы</w:t>
      </w:r>
    </w:p>
    <w:p w:rsidR="0008544E" w:rsidRPr="00226B91" w:rsidRDefault="0008544E" w:rsidP="0008544E">
      <w:pPr>
        <w:keepNext/>
        <w:keepLines/>
        <w:spacing w:before="0"/>
        <w:rPr>
          <w:lang w:val="ru-RU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1984"/>
        <w:gridCol w:w="2496"/>
      </w:tblGrid>
      <w:tr w:rsidR="0008544E" w:rsidRPr="00226B91" w:rsidTr="00C27F96">
        <w:trPr>
          <w:trHeight w:val="416"/>
        </w:trPr>
        <w:tc>
          <w:tcPr>
            <w:tcW w:w="3611" w:type="dxa"/>
            <w:vAlign w:val="center"/>
          </w:tcPr>
          <w:p w:rsidR="0008544E" w:rsidRPr="00226B91" w:rsidRDefault="0008544E" w:rsidP="00C27F96">
            <w:pPr>
              <w:pStyle w:val="Tablehead"/>
              <w:rPr>
                <w:lang w:val="ru-RU" w:eastAsia="es-CO"/>
              </w:rPr>
            </w:pPr>
            <w:r w:rsidRPr="00226B91">
              <w:rPr>
                <w:lang w:val="ru-RU" w:eastAsia="es-CO"/>
              </w:rPr>
              <w:t>Целевая аудитория исследований</w:t>
            </w:r>
          </w:p>
        </w:tc>
        <w:tc>
          <w:tcPr>
            <w:tcW w:w="1984" w:type="dxa"/>
            <w:vAlign w:val="center"/>
          </w:tcPr>
          <w:p w:rsidR="0008544E" w:rsidRPr="00226B91" w:rsidRDefault="0008544E" w:rsidP="00C27F96">
            <w:pPr>
              <w:pStyle w:val="Tablehead"/>
              <w:rPr>
                <w:lang w:val="ru-RU" w:eastAsia="es-CO"/>
              </w:rPr>
            </w:pPr>
            <w:r w:rsidRPr="00226B91">
              <w:rPr>
                <w:lang w:val="ru-RU" w:eastAsia="es-CO"/>
              </w:rPr>
              <w:t>Развитые страны</w:t>
            </w:r>
          </w:p>
        </w:tc>
        <w:tc>
          <w:tcPr>
            <w:tcW w:w="2496" w:type="dxa"/>
            <w:vAlign w:val="center"/>
          </w:tcPr>
          <w:p w:rsidR="0008544E" w:rsidRPr="00226B91" w:rsidRDefault="0008544E" w:rsidP="00C27F96">
            <w:pPr>
              <w:pStyle w:val="Tablehead"/>
              <w:rPr>
                <w:lang w:val="ru-RU" w:eastAsia="es-CO"/>
              </w:rPr>
            </w:pPr>
            <w:r w:rsidRPr="00226B91">
              <w:rPr>
                <w:lang w:val="ru-RU" w:eastAsia="es-CO"/>
              </w:rPr>
              <w:t>Развивающиеся страны</w:t>
            </w:r>
            <w:r w:rsidRPr="00226B91">
              <w:rPr>
                <w:rStyle w:val="FootnoteReference"/>
                <w:b w:val="0"/>
                <w:lang w:val="ru-RU"/>
              </w:rPr>
              <w:footnoteReference w:customMarkFollows="1" w:id="1"/>
              <w:t>1</w:t>
            </w:r>
          </w:p>
        </w:tc>
      </w:tr>
      <w:tr w:rsidR="0008544E" w:rsidRPr="00226B91" w:rsidTr="00C27F96">
        <w:tc>
          <w:tcPr>
            <w:tcW w:w="3611" w:type="dxa"/>
          </w:tcPr>
          <w:p w:rsidR="0008544E" w:rsidRPr="00226B91" w:rsidRDefault="000854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Органы, ответственные за выработку политики в области электросвязи/ИКТ, местные органы власти</w:t>
            </w:r>
          </w:p>
        </w:tc>
        <w:tc>
          <w:tcPr>
            <w:tcW w:w="1984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6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8544E" w:rsidRPr="00226B91" w:rsidTr="00C27F96">
        <w:tc>
          <w:tcPr>
            <w:tcW w:w="3611" w:type="dxa"/>
          </w:tcPr>
          <w:p w:rsidR="0008544E" w:rsidRPr="00226B91" w:rsidRDefault="000854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Регуляторные органы в области электросвязи/ИКТ</w:t>
            </w:r>
          </w:p>
        </w:tc>
        <w:tc>
          <w:tcPr>
            <w:tcW w:w="1984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6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8544E" w:rsidRPr="00226B91" w:rsidTr="00C27F96">
        <w:tc>
          <w:tcPr>
            <w:tcW w:w="3611" w:type="dxa"/>
          </w:tcPr>
          <w:p w:rsidR="0008544E" w:rsidRPr="00226B91" w:rsidRDefault="000854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Поставщики услуг/операторы</w:t>
            </w:r>
          </w:p>
        </w:tc>
        <w:tc>
          <w:tcPr>
            <w:tcW w:w="1984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6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8544E" w:rsidRPr="00226B91" w:rsidTr="00C27F96">
        <w:tc>
          <w:tcPr>
            <w:tcW w:w="3611" w:type="dxa"/>
          </w:tcPr>
          <w:p w:rsidR="0008544E" w:rsidRPr="00226B91" w:rsidRDefault="0008544E" w:rsidP="00C27F96">
            <w:pPr>
              <w:pStyle w:val="Tabletext"/>
              <w:rPr>
                <w:lang w:val="ru-RU"/>
              </w:rPr>
            </w:pPr>
            <w:r w:rsidRPr="00226B91">
              <w:rPr>
                <w:lang w:val="ru-RU"/>
              </w:rPr>
              <w:t>Разработчики/поставщики оборудования</w:t>
            </w:r>
          </w:p>
        </w:tc>
        <w:tc>
          <w:tcPr>
            <w:tcW w:w="1984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96" w:type="dxa"/>
          </w:tcPr>
          <w:p w:rsidR="0008544E" w:rsidRPr="00226B91" w:rsidRDefault="000854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</w:tbl>
    <w:p w:rsidR="0008544E" w:rsidRPr="00226B91" w:rsidRDefault="0008544E" w:rsidP="0008544E">
      <w:pPr>
        <w:pStyle w:val="Headingb"/>
        <w:rPr>
          <w:lang w:val="ru-RU"/>
        </w:rPr>
      </w:pPr>
      <w:r w:rsidRPr="00226B91">
        <w:rPr>
          <w:lang w:val="ru-RU"/>
        </w:rPr>
        <w:lastRenderedPageBreak/>
        <w:t>b)</w:t>
      </w:r>
      <w:r w:rsidRPr="00226B91">
        <w:rPr>
          <w:lang w:val="ru-RU"/>
        </w:rPr>
        <w:tab/>
        <w:t>Предлагаемые методы распространения результатов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Предлагаемые методы рассмотрения данного Вопроса или предмета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Большое 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МСЭ-R, рассматривающими вопросы ИКТ в отношении изменения климата, а также с 5-й и 7</w:t>
      </w:r>
      <w:r w:rsidRPr="00226B91">
        <w:rPr>
          <w:lang w:val="ru-RU"/>
        </w:rPr>
        <w:noBreakHyphen/>
        <w:t xml:space="preserve">й Исследовательскими комиссиями МСЭ-Т. </w:t>
      </w:r>
    </w:p>
    <w:p w:rsidR="0008544E" w:rsidRPr="00226B91" w:rsidRDefault="0008544E" w:rsidP="0008544E">
      <w:pPr>
        <w:pStyle w:val="Headingb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Каким образом?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1)</w:t>
      </w:r>
      <w:r w:rsidRPr="00226B91">
        <w:rPr>
          <w:lang w:val="ru-RU"/>
        </w:rPr>
        <w:tab/>
        <w:t>В исследовательской комиссии:</w:t>
      </w:r>
    </w:p>
    <w:p w:rsidR="0008544E" w:rsidRPr="00226B91" w:rsidRDefault="0008544E" w:rsidP="000854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Вопрос (на протяжении многолетнего исследовательского периода)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2)</w:t>
      </w:r>
      <w:r w:rsidRPr="00226B91">
        <w:rPr>
          <w:lang w:val="ru-RU"/>
        </w:rPr>
        <w:tab/>
        <w:t>В рамках регулярной деятельности БРЭ:</w:t>
      </w:r>
    </w:p>
    <w:p w:rsidR="0008544E" w:rsidRPr="00226B91" w:rsidRDefault="0008544E" w:rsidP="000854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Программы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8544E" w:rsidRPr="00226B91" w:rsidRDefault="0008544E" w:rsidP="000854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Проекты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8544E" w:rsidRPr="00226B91" w:rsidRDefault="0008544E" w:rsidP="000854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Консультанты-эксперты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8544E" w:rsidRPr="00226B91" w:rsidRDefault="0008544E" w:rsidP="0008544E">
      <w:pPr>
        <w:pStyle w:val="enumlev1"/>
        <w:tabs>
          <w:tab w:val="clear" w:pos="1191"/>
          <w:tab w:val="clear" w:pos="1588"/>
          <w:tab w:val="clear" w:pos="1985"/>
          <w:tab w:val="right" w:pos="9072"/>
        </w:tabs>
        <w:rPr>
          <w:lang w:val="ru-RU"/>
        </w:rPr>
      </w:pPr>
      <w:r w:rsidRPr="00226B91">
        <w:rPr>
          <w:lang w:val="ru-RU"/>
        </w:rPr>
        <w:t>3)</w:t>
      </w:r>
      <w:r w:rsidRPr="00226B91">
        <w:rPr>
          <w:lang w:val="ru-RU"/>
        </w:rPr>
        <w:tab/>
        <w:t xml:space="preserve">Иными способами − укажите (например, региональный подход, в рамках </w:t>
      </w:r>
      <w:r w:rsidRPr="00226B91">
        <w:rPr>
          <w:lang w:val="ru-RU"/>
        </w:rPr>
        <w:br/>
        <w:t>других организаций, совместно с другими организациями и т. д.)</w:t>
      </w:r>
      <w:r w:rsidRPr="00226B91">
        <w:rPr>
          <w:lang w:val="ru-RU"/>
        </w:rPr>
        <w:tab/>
      </w:r>
      <w:r>
        <w:rPr>
          <w:lang w:val="ru-RU"/>
        </w:rPr>
        <w:sym w:font="Wingdings 2" w:char="F0A3"/>
      </w:r>
    </w:p>
    <w:p w:rsidR="0008544E" w:rsidRPr="00226B91" w:rsidRDefault="0008544E" w:rsidP="0008544E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Почему?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Для исключения возможности дублирования работы по данному исследуемому Вопросу и ее намеченного результата, а также обеспечения более эффективного взаимодействия между БРЭ, другими Секторами МСЭ, Членами Сектора и другими учреждениями Организации Объединенных Наций.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9</w:t>
      </w:r>
      <w:r w:rsidRPr="00226B91">
        <w:rPr>
          <w:lang w:val="ru-RU"/>
        </w:rPr>
        <w:tab/>
        <w:t>Координация и сотрудничество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Исследовательская комиссия МСЭ-D, занимающаяся данным Вопросом, должна будет координировать свою работу с: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соответствующим(ими) Вопросом(ами) МСЭ-D;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соответствующей(ими) Программой(ами) БРЭ;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региональными отделениями;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соответствующими исследовательскими комиссиями МСЭ-R и МСЭ-Т;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Рабочей группой по электросвязи в чрезвычайных ситуациях (WGET);</w:t>
      </w:r>
    </w:p>
    <w:p w:rsidR="0008544E" w:rsidRPr="00226B91" w:rsidRDefault="0008544E" w:rsidP="0008544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соответствующими международными, региональными и научными организациями, в сферу компетенции которых входит соответствующий Вопрос.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t>10</w:t>
      </w:r>
      <w:r w:rsidRPr="00226B91">
        <w:rPr>
          <w:lang w:val="ru-RU"/>
        </w:rPr>
        <w:tab/>
        <w:t>Связь с Программой БРЭ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Задача 5, Намеченный результат деятельности 5.1.</w:t>
      </w:r>
    </w:p>
    <w:p w:rsidR="0008544E" w:rsidRPr="00226B91" w:rsidRDefault="0008544E" w:rsidP="0008544E">
      <w:pPr>
        <w:pStyle w:val="Heading1"/>
        <w:rPr>
          <w:lang w:val="ru-RU"/>
        </w:rPr>
      </w:pPr>
      <w:r w:rsidRPr="00226B91">
        <w:rPr>
          <w:lang w:val="ru-RU"/>
        </w:rPr>
        <w:lastRenderedPageBreak/>
        <w:t>11</w:t>
      </w:r>
      <w:r w:rsidRPr="00226B91">
        <w:rPr>
          <w:lang w:val="ru-RU"/>
        </w:rPr>
        <w:tab/>
        <w:t>Прочая относящаяся к теме информация</w:t>
      </w: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t>Будет определена в плане работы.</w:t>
      </w:r>
    </w:p>
    <w:p w:rsidR="0008544E" w:rsidRPr="00226B91" w:rsidRDefault="0008544E" w:rsidP="0008544E">
      <w:pPr>
        <w:rPr>
          <w:lang w:val="ru-RU"/>
        </w:rPr>
      </w:pPr>
    </w:p>
    <w:p w:rsidR="0008544E" w:rsidRPr="00226B91" w:rsidRDefault="0008544E" w:rsidP="0008544E">
      <w:pPr>
        <w:rPr>
          <w:lang w:val="ru-RU"/>
        </w:rPr>
      </w:pPr>
      <w:r w:rsidRPr="00226B91">
        <w:rPr>
          <w:lang w:val="ru-RU"/>
        </w:rPr>
        <w:br w:type="page"/>
      </w:r>
    </w:p>
    <w:p w:rsidR="00C47824" w:rsidRPr="0008544E" w:rsidRDefault="00C47824">
      <w:pPr>
        <w:rPr>
          <w:lang w:val="ru-RU"/>
        </w:rPr>
      </w:pPr>
      <w:bookmarkStart w:id="1" w:name="_GoBack"/>
      <w:bookmarkEnd w:id="1"/>
    </w:p>
    <w:sectPr w:rsidR="00C47824" w:rsidRPr="00085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F8" w:rsidRDefault="008432F8" w:rsidP="0008544E">
      <w:pPr>
        <w:spacing w:before="0"/>
      </w:pPr>
      <w:r>
        <w:separator/>
      </w:r>
    </w:p>
  </w:endnote>
  <w:endnote w:type="continuationSeparator" w:id="0">
    <w:p w:rsidR="008432F8" w:rsidRDefault="008432F8" w:rsidP="000854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F8" w:rsidRDefault="008432F8" w:rsidP="0008544E">
      <w:pPr>
        <w:spacing w:before="0"/>
      </w:pPr>
      <w:r>
        <w:separator/>
      </w:r>
    </w:p>
  </w:footnote>
  <w:footnote w:type="continuationSeparator" w:id="0">
    <w:p w:rsidR="008432F8" w:rsidRDefault="008432F8" w:rsidP="0008544E">
      <w:pPr>
        <w:spacing w:before="0"/>
      </w:pPr>
      <w:r>
        <w:continuationSeparator/>
      </w:r>
    </w:p>
  </w:footnote>
  <w:footnote w:id="1">
    <w:p w:rsidR="0008544E" w:rsidRPr="00B91FDD" w:rsidRDefault="0008544E" w:rsidP="0008544E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E"/>
    <w:rsid w:val="00011D19"/>
    <w:rsid w:val="000145E8"/>
    <w:rsid w:val="00050DB8"/>
    <w:rsid w:val="00056109"/>
    <w:rsid w:val="000820F9"/>
    <w:rsid w:val="0008544E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46A22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57243"/>
    <w:rsid w:val="007618CD"/>
    <w:rsid w:val="007971F8"/>
    <w:rsid w:val="007B20C7"/>
    <w:rsid w:val="007B6ECC"/>
    <w:rsid w:val="007F341D"/>
    <w:rsid w:val="00803FCE"/>
    <w:rsid w:val="0083715B"/>
    <w:rsid w:val="00841DA8"/>
    <w:rsid w:val="008432F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CF2888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4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8544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44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8544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8544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8544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854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854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8544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544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854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8544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8544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8544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854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854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8544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4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8544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44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8544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8544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8544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854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854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8544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544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854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8544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8544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8544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854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854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8544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2584</Words>
  <Characters>2843</Characters>
  <Application>Microsoft Office Word</Application>
  <DocSecurity>0</DocSecurity>
  <Lines>135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2014-08-19T09:26:00Z</dcterms:created>
  <dcterms:modified xsi:type="dcterms:W3CDTF">2014-08-19T09:28:00Z</dcterms:modified>
</cp:coreProperties>
</file>