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43" w:rsidRDefault="008B2E43" w:rsidP="008B2E43">
      <w:pPr>
        <w:pStyle w:val="QuestionNo"/>
        <w:rPr>
          <w:rtl/>
          <w:lang w:bidi="ar-SY"/>
        </w:rPr>
      </w:pPr>
      <w:bookmarkStart w:id="0" w:name="_Toc394494166"/>
      <w:r>
        <w:rPr>
          <w:rFonts w:hint="cs"/>
          <w:rtl/>
          <w:lang w:bidi="ar-SY"/>
        </w:rPr>
        <w:t xml:space="preserve">المسـألة </w:t>
      </w:r>
      <w:r>
        <w:rPr>
          <w:lang w:bidi="ar-SY"/>
        </w:rPr>
        <w:t>8/2</w:t>
      </w:r>
      <w:bookmarkEnd w:id="0"/>
    </w:p>
    <w:p w:rsidR="008B2E43" w:rsidRPr="00797779" w:rsidRDefault="008B2E43" w:rsidP="008B2E43">
      <w:pPr>
        <w:pStyle w:val="Questiontitle"/>
        <w:rPr>
          <w:spacing w:val="10"/>
        </w:rPr>
      </w:pPr>
      <w:r w:rsidRPr="00B60146">
        <w:rPr>
          <w:rtl/>
        </w:rPr>
        <w:t>استراتيجيات وسياسات لسلامة التخلّص من مواد مخلفات</w:t>
      </w:r>
      <w:r>
        <w:rPr>
          <w:rtl/>
        </w:rPr>
        <w:br/>
      </w:r>
      <w:r w:rsidRPr="00B60146">
        <w:rPr>
          <w:rtl/>
        </w:rPr>
        <w:t>الاتصالات/تكنولوجيا المعلومات والاتصالات</w:t>
      </w:r>
      <w:r w:rsidRPr="00B60146">
        <w:rPr>
          <w:rFonts w:hint="cs"/>
          <w:rtl/>
        </w:rPr>
        <w:t xml:space="preserve"> أو </w:t>
      </w:r>
      <w:r w:rsidRPr="00B60146">
        <w:rPr>
          <w:rtl/>
        </w:rPr>
        <w:t>إعادة استخدامها</w:t>
      </w:r>
    </w:p>
    <w:p w:rsidR="008B2E43" w:rsidRDefault="008B2E43" w:rsidP="008B2E43">
      <w:pPr>
        <w:pStyle w:val="Heading1"/>
      </w:pPr>
      <w:r>
        <w:t>1</w:t>
      </w:r>
      <w:r>
        <w:tab/>
      </w:r>
      <w:r>
        <w:rPr>
          <w:rtl/>
        </w:rPr>
        <w:t xml:space="preserve">بيان الحالة أو </w:t>
      </w:r>
      <w:r>
        <w:rPr>
          <w:rFonts w:hint="cs"/>
          <w:rtl/>
        </w:rPr>
        <w:t>المشكلة</w:t>
      </w:r>
    </w:p>
    <w:p w:rsidR="008B2E43" w:rsidRDefault="008B2E43" w:rsidP="008B2E43">
      <w:pPr>
        <w:rPr>
          <w:rtl/>
        </w:rPr>
      </w:pPr>
      <w:r>
        <w:rPr>
          <w:rtl/>
        </w:rPr>
        <w:t xml:space="preserve">شهدت الاتصالات/تكنولوجيا المعلومات والاتصالات - خاصة في البلدان النامية - نمواً هائلاً في السنوات الأخيرة. فبين عامي </w:t>
      </w:r>
      <w:r>
        <w:t>2002</w:t>
      </w:r>
      <w:r>
        <w:rPr>
          <w:rtl/>
        </w:rPr>
        <w:t xml:space="preserve"> و</w:t>
      </w:r>
      <w:r>
        <w:t>2007</w:t>
      </w:r>
      <w:r>
        <w:rPr>
          <w:rtl/>
        </w:rPr>
        <w:t xml:space="preserve"> مثلاً، زاد معدل انتشار الهواتف المتنقلة في منطقة الأمريكتين من </w:t>
      </w:r>
      <w:r>
        <w:t>19</w:t>
      </w:r>
      <w:r>
        <w:rPr>
          <w:rtl/>
        </w:rPr>
        <w:t xml:space="preserve"> إلى </w:t>
      </w:r>
      <w:r>
        <w:t>70</w:t>
      </w:r>
      <w:r>
        <w:rPr>
          <w:rtl/>
        </w:rPr>
        <w:t xml:space="preserve"> مطرافا</w:t>
      </w:r>
      <w:r>
        <w:rPr>
          <w:rFonts w:hint="cs"/>
          <w:rtl/>
        </w:rPr>
        <w:t>ً</w:t>
      </w:r>
      <w:r>
        <w:rPr>
          <w:rtl/>
        </w:rPr>
        <w:t xml:space="preserve"> لكل </w:t>
      </w:r>
      <w:r>
        <w:t>100</w:t>
      </w:r>
      <w:r>
        <w:rPr>
          <w:rtl/>
        </w:rPr>
        <w:t xml:space="preserve"> نسمة من السكان. وعلى الصعيد العالمي، زادت حصة اشتراكات الهواتف المتنقلة في البلدان النامية بعشرين نقطة مئوية من </w:t>
      </w:r>
      <w:r>
        <w:t>%44</w:t>
      </w:r>
      <w:r>
        <w:rPr>
          <w:rtl/>
        </w:rPr>
        <w:t xml:space="preserve"> إلى </w:t>
      </w:r>
      <w:r>
        <w:t>%64</w:t>
      </w:r>
      <w:r>
        <w:rPr>
          <w:rFonts w:hint="cs"/>
          <w:rtl/>
        </w:rPr>
        <w:t xml:space="preserve"> </w:t>
      </w:r>
      <w:r>
        <w:rPr>
          <w:rtl/>
        </w:rPr>
        <w:t>على مدى الفترة ذاتها</w:t>
      </w:r>
      <w:r>
        <w:rPr>
          <w:rFonts w:hint="cs"/>
          <w:rtl/>
        </w:rPr>
        <w:t>.</w:t>
      </w:r>
    </w:p>
    <w:p w:rsidR="008B2E43" w:rsidRPr="00FE78C5" w:rsidRDefault="008B2E43" w:rsidP="008B2E43">
      <w:pPr>
        <w:rPr>
          <w:spacing w:val="-6"/>
        </w:rPr>
      </w:pPr>
      <w:r w:rsidRPr="00FE78C5">
        <w:rPr>
          <w:spacing w:val="-6"/>
          <w:rtl/>
        </w:rPr>
        <w:t>وقد أدى نمو استخدام المعدات الكهربائية والإلكترونية وتجهيزاتها الطرفية، إضافة إلى التحديث المتواصل للتكنولوجيا، إلى نمو</w:t>
      </w:r>
      <w:r>
        <w:rPr>
          <w:rFonts w:hint="cs"/>
          <w:spacing w:val="-6"/>
          <w:rtl/>
        </w:rPr>
        <w:t>اً</w:t>
      </w:r>
      <w:r w:rsidRPr="00FE78C5">
        <w:rPr>
          <w:spacing w:val="-6"/>
          <w:rtl/>
        </w:rPr>
        <w:t xml:space="preserve"> لا</w:t>
      </w:r>
      <w:r w:rsidRPr="00FE78C5">
        <w:rPr>
          <w:rFonts w:hint="cs"/>
          <w:spacing w:val="-6"/>
          <w:rtl/>
        </w:rPr>
        <w:t> </w:t>
      </w:r>
      <w:r w:rsidRPr="00FE78C5">
        <w:rPr>
          <w:spacing w:val="-6"/>
          <w:rtl/>
        </w:rPr>
        <w:t>يمكن إغفاله</w:t>
      </w:r>
      <w:r>
        <w:rPr>
          <w:spacing w:val="-6"/>
          <w:rtl/>
        </w:rPr>
        <w:t xml:space="preserve"> في </w:t>
      </w:r>
      <w:r w:rsidRPr="00FE78C5">
        <w:rPr>
          <w:spacing w:val="-6"/>
          <w:rtl/>
        </w:rPr>
        <w:t xml:space="preserve">مخلفات الاتصالات/تكنولوجيا المعلومات والاتصالات، حيث تشير التقديرات إلى أن هذه المخلفات المولدة سنوياً حول العالم تتراوح بين </w:t>
      </w:r>
      <w:r w:rsidRPr="00FE78C5">
        <w:rPr>
          <w:spacing w:val="-6"/>
        </w:rPr>
        <w:t>20</w:t>
      </w:r>
      <w:r w:rsidRPr="00FE78C5">
        <w:rPr>
          <w:spacing w:val="-6"/>
          <w:rtl/>
        </w:rPr>
        <w:t xml:space="preserve"> و</w:t>
      </w:r>
      <w:r w:rsidRPr="00FE78C5">
        <w:rPr>
          <w:spacing w:val="-6"/>
        </w:rPr>
        <w:t>50</w:t>
      </w:r>
      <w:r w:rsidRPr="00FE78C5">
        <w:rPr>
          <w:spacing w:val="-6"/>
          <w:rtl/>
        </w:rPr>
        <w:t xml:space="preserve"> مليون طن. ومع ذلك، ثمة مستويات منخفضة من إعادة تدوير مخلفات الاتصالات/تكنولوجيا المعلومات والاتصالات والتخلص منها بشكل مسؤول، مما يتعذر معه حتى الوقوف على إحصاءات بشأن هذه القضية على المستوى الإقليمي</w:t>
      </w:r>
      <w:r w:rsidRPr="00FE78C5">
        <w:rPr>
          <w:rFonts w:hint="cs"/>
          <w:spacing w:val="-6"/>
          <w:rtl/>
        </w:rPr>
        <w:t>.</w:t>
      </w:r>
    </w:p>
    <w:p w:rsidR="008B2E43" w:rsidRDefault="008B2E43" w:rsidP="008B2E43">
      <w:r>
        <w:rPr>
          <w:rtl/>
        </w:rPr>
        <w:t>وتؤدي تبعات عدم إعادة التدوير أو التخلص بشكل سليم إلى مشاكل بيئية جسيمة، خاصة للبلدان النامية</w:t>
      </w:r>
      <w:r>
        <w:t xml:space="preserve">. </w:t>
      </w:r>
    </w:p>
    <w:p w:rsidR="008B2E43" w:rsidRDefault="008B2E43" w:rsidP="008B2E43">
      <w:r>
        <w:rPr>
          <w:rtl/>
        </w:rPr>
        <w:t>وفي ظل النمو الهائل في أعداد مطاريف الاتصالات/تكنولوجيا المعلومات والاتصالات وما يصاحبه من ارتفاع في معدل الدوران، إضافة إلى التقدم التكنولوجي، يصبح من اللازم إحراز تقدم في إجراءات المستقبل العاجل لمنع الكارثة البيئية التي يمكن حدوثها في البلدان النامية ما لم تعد إطاراً تنظيمياً ملائماً وتعمل على صياغة سياسات لمعالجة هذه المشكلة</w:t>
      </w:r>
      <w:r>
        <w:t>.</w:t>
      </w:r>
    </w:p>
    <w:p w:rsidR="008B2E43" w:rsidRDefault="008B2E43" w:rsidP="008B2E43">
      <w:pPr>
        <w:pStyle w:val="Heading1"/>
      </w:pPr>
      <w:r>
        <w:t>2</w:t>
      </w:r>
      <w:r>
        <w:rPr>
          <w:rFonts w:hint="cs"/>
          <w:rtl/>
        </w:rPr>
        <w:tab/>
      </w:r>
      <w:r>
        <w:rPr>
          <w:rtl/>
        </w:rPr>
        <w:t xml:space="preserve">المسألة أو القضية </w:t>
      </w:r>
      <w:r>
        <w:rPr>
          <w:rFonts w:hint="cs"/>
          <w:rtl/>
        </w:rPr>
        <w:t xml:space="preserve">المطروحة </w:t>
      </w:r>
      <w:r>
        <w:rPr>
          <w:rtl/>
        </w:rPr>
        <w:t>للدراسة</w:t>
      </w:r>
    </w:p>
    <w:p w:rsidR="008B2E43" w:rsidRDefault="008B2E43" w:rsidP="008B2E43">
      <w:pPr>
        <w:rPr>
          <w:rtl/>
        </w:rPr>
      </w:pPr>
      <w:r>
        <w:rPr>
          <w:rtl/>
        </w:rPr>
        <w:t xml:space="preserve">استراتيجيات لوضع نهج مسؤول وكامل لمعالجة مخلفات الاتصالات/تكنولوجيا المعلومات والاتصالات: الإجراءات المتعلقة بالسياسات والتنظيم المطلوبة في البلدان النامية بالتعاون الوثيق مع لجنة الدراسات </w:t>
      </w:r>
      <w:r>
        <w:t>5</w:t>
      </w:r>
      <w:r>
        <w:rPr>
          <w:rFonts w:hint="cs"/>
          <w:rtl/>
        </w:rPr>
        <w:t>.</w:t>
      </w:r>
    </w:p>
    <w:p w:rsidR="008B2E43" w:rsidRDefault="008B2E43" w:rsidP="008B2E43">
      <w:pPr>
        <w:pStyle w:val="Heading1"/>
      </w:pPr>
      <w:r>
        <w:t>3</w:t>
      </w:r>
      <w:r>
        <w:rPr>
          <w:rFonts w:hint="cs"/>
          <w:rtl/>
        </w:rPr>
        <w:tab/>
      </w:r>
      <w:r>
        <w:rPr>
          <w:rtl/>
        </w:rPr>
        <w:t>الناتج المتوقع</w:t>
      </w:r>
    </w:p>
    <w:p w:rsidR="008B2E43" w:rsidRDefault="008B2E43" w:rsidP="008B2E43">
      <w:r>
        <w:rPr>
          <w:rtl/>
        </w:rPr>
        <w:t>النتيجة النهائية المتوقعة هي تقديم تقرير مشفوع بتوصيات وإجراءات مطلوب من البلدان النامية اتخاذها لتطبيق نظام شامل لإدارة مخلفات الاتصالات/تكنولوجيا المعلومات والاتصالات</w:t>
      </w:r>
      <w:r>
        <w:t>.</w:t>
      </w:r>
    </w:p>
    <w:p w:rsidR="008B2E43" w:rsidRPr="00FE5D55" w:rsidRDefault="008B2E43" w:rsidP="008B2E43">
      <w:pPr>
        <w:rPr>
          <w:spacing w:val="-2"/>
        </w:rPr>
      </w:pPr>
      <w:r w:rsidRPr="00FE5D55">
        <w:rPr>
          <w:spacing w:val="-2"/>
          <w:rtl/>
        </w:rPr>
        <w:t xml:space="preserve">وينبغي أن يحتوي هذا التقرير النهائي على التصنيف التقني للمخلفات الإلكترونية المتعلق بتوصيات سياسات الاتصالات/تكنولوجيا المعلومات والاتصالات </w:t>
      </w:r>
      <w:r>
        <w:rPr>
          <w:rFonts w:hint="cs"/>
          <w:spacing w:val="-2"/>
          <w:rtl/>
        </w:rPr>
        <w:t>فضلاً عن المقترحات</w:t>
      </w:r>
      <w:r w:rsidRPr="00FE5D55">
        <w:rPr>
          <w:spacing w:val="-2"/>
          <w:rtl/>
        </w:rPr>
        <w:t xml:space="preserve"> التنظيمية والنماذج الاقتصادية وطرائق التمويل للبلدان النامية</w:t>
      </w:r>
      <w:r>
        <w:rPr>
          <w:rFonts w:hint="cs"/>
          <w:spacing w:val="-2"/>
          <w:rtl/>
        </w:rPr>
        <w:t>.</w:t>
      </w:r>
    </w:p>
    <w:p w:rsidR="008B2E43" w:rsidRDefault="008B2E43" w:rsidP="008B2E43">
      <w:pPr>
        <w:pStyle w:val="Heading1"/>
      </w:pPr>
      <w:r>
        <w:lastRenderedPageBreak/>
        <w:t>4</w:t>
      </w:r>
      <w:r>
        <w:rPr>
          <w:rFonts w:hint="cs"/>
          <w:rtl/>
        </w:rPr>
        <w:tab/>
      </w:r>
      <w:r>
        <w:rPr>
          <w:rtl/>
        </w:rPr>
        <w:t>التوقيت</w:t>
      </w:r>
    </w:p>
    <w:p w:rsidR="008B2E43" w:rsidRDefault="008B2E43" w:rsidP="008B2E43">
      <w:pPr>
        <w:rPr>
          <w:rtl/>
        </w:rPr>
      </w:pPr>
      <w:r>
        <w:rPr>
          <w:rFonts w:hint="cs"/>
          <w:rtl/>
        </w:rPr>
        <w:t>أربع سنوات</w:t>
      </w:r>
      <w:r w:rsidRPr="00880C7C">
        <w:rPr>
          <w:rtl/>
        </w:rPr>
        <w:t xml:space="preserve">، حيث يُقدَّم تقرير مرحلي بحلول عام </w:t>
      </w:r>
      <w:r w:rsidRPr="00880C7C">
        <w:t>2016</w:t>
      </w:r>
      <w:r w:rsidRPr="00880C7C">
        <w:rPr>
          <w:rtl/>
        </w:rPr>
        <w:t xml:space="preserve"> وتقرير نهائي بحلول عام </w:t>
      </w:r>
      <w:r w:rsidRPr="00880C7C">
        <w:t>2018</w:t>
      </w:r>
      <w:r w:rsidRPr="00880C7C">
        <w:rPr>
          <w:rFonts w:hint="cs"/>
          <w:rtl/>
        </w:rPr>
        <w:t>.</w:t>
      </w:r>
    </w:p>
    <w:p w:rsidR="008B2E43" w:rsidRDefault="008B2E43" w:rsidP="008B2E43">
      <w:pPr>
        <w:pStyle w:val="Heading1"/>
        <w:pageBreakBefore/>
      </w:pPr>
      <w:r>
        <w:lastRenderedPageBreak/>
        <w:t>5</w:t>
      </w:r>
      <w:r>
        <w:rPr>
          <w:rFonts w:hint="cs"/>
          <w:rtl/>
        </w:rPr>
        <w:tab/>
      </w:r>
      <w:r>
        <w:rPr>
          <w:rtl/>
        </w:rPr>
        <w:t>جهات الاقتراح/</w:t>
      </w:r>
      <w:r>
        <w:rPr>
          <w:rFonts w:hint="cs"/>
          <w:rtl/>
        </w:rPr>
        <w:t>الجهات الراعية</w:t>
      </w:r>
    </w:p>
    <w:p w:rsidR="008B2E43" w:rsidRPr="00CD319F" w:rsidRDefault="008B2E43" w:rsidP="008B2E43">
      <w:r>
        <w:rPr>
          <w:rFonts w:hint="cs"/>
          <w:rtl/>
        </w:rPr>
        <w:t>المشاركون في </w:t>
      </w:r>
      <w:r w:rsidRPr="00880C7C">
        <w:rPr>
          <w:rFonts w:hint="cs"/>
          <w:rtl/>
        </w:rPr>
        <w:t xml:space="preserve">الفريق المخصص المعني بالهدف </w:t>
      </w:r>
      <w:r w:rsidRPr="00880C7C">
        <w:t>5</w:t>
      </w:r>
      <w:r w:rsidRPr="00880C7C">
        <w:rPr>
          <w:rFonts w:hint="cs"/>
          <w:rtl/>
        </w:rPr>
        <w:t xml:space="preserve"> </w:t>
      </w:r>
      <w:r>
        <w:rPr>
          <w:rFonts w:hint="cs"/>
          <w:rtl/>
        </w:rPr>
        <w:t xml:space="preserve">التابع للجنة </w:t>
      </w:r>
      <w:r>
        <w:t>3</w:t>
      </w:r>
      <w:r>
        <w:rPr>
          <w:rFonts w:hint="cs"/>
          <w:rtl/>
          <w:lang w:bidi="ar-SY"/>
        </w:rPr>
        <w:t xml:space="preserve"> في </w:t>
      </w:r>
      <w:r>
        <w:rPr>
          <w:rFonts w:hint="cs"/>
          <w:rtl/>
          <w:lang w:val="fr-CH"/>
        </w:rPr>
        <w:t xml:space="preserve">المؤتمر العالمي لتنمية الاتصالات لعام </w:t>
      </w:r>
      <w:r>
        <w:t>2014</w:t>
      </w:r>
      <w:r w:rsidRPr="00880C7C">
        <w:rPr>
          <w:rFonts w:hint="cs"/>
          <w:rtl/>
          <w:lang w:val="fr-CH"/>
        </w:rPr>
        <w:t>.</w:t>
      </w:r>
    </w:p>
    <w:p w:rsidR="008B2E43" w:rsidRDefault="008B2E43" w:rsidP="008B2E43">
      <w:pPr>
        <w:pStyle w:val="Heading1"/>
      </w:pPr>
      <w:r>
        <w:t>6</w:t>
      </w:r>
      <w:r>
        <w:rPr>
          <w:rFonts w:hint="cs"/>
          <w:rtl/>
        </w:rPr>
        <w:tab/>
      </w:r>
      <w:r>
        <w:rPr>
          <w:rtl/>
        </w:rPr>
        <w:t>مصادر الم</w:t>
      </w:r>
      <w:r>
        <w:rPr>
          <w:rFonts w:hint="cs"/>
          <w:rtl/>
        </w:rPr>
        <w:t>ُ</w:t>
      </w:r>
      <w:r>
        <w:rPr>
          <w:rtl/>
        </w:rPr>
        <w:t>دخلات</w:t>
      </w:r>
    </w:p>
    <w:p w:rsidR="008B2E43" w:rsidRDefault="008B2E43" w:rsidP="008B2E43">
      <w:pPr>
        <w:pStyle w:val="enumlev1"/>
      </w:pPr>
      <w:r>
        <w:rPr>
          <w:rFonts w:hint="cs"/>
          <w:rtl/>
        </w:rPr>
        <w:t>-</w:t>
      </w:r>
      <w:r>
        <w:rPr>
          <w:rFonts w:hint="cs"/>
          <w:rtl/>
        </w:rPr>
        <w:tab/>
      </w:r>
      <w:r>
        <w:rPr>
          <w:rtl/>
        </w:rPr>
        <w:t>الدول الأعضاء</w:t>
      </w:r>
    </w:p>
    <w:p w:rsidR="008B2E43" w:rsidRDefault="008B2E43" w:rsidP="008B2E43">
      <w:pPr>
        <w:pStyle w:val="enumlev1"/>
      </w:pPr>
      <w:r>
        <w:rPr>
          <w:rFonts w:hint="cs"/>
          <w:rtl/>
        </w:rPr>
        <w:t>-</w:t>
      </w:r>
      <w:r>
        <w:rPr>
          <w:rFonts w:hint="cs"/>
          <w:rtl/>
        </w:rPr>
        <w:tab/>
      </w:r>
      <w:r>
        <w:rPr>
          <w:rtl/>
        </w:rPr>
        <w:t>أعضاء القطاعات</w:t>
      </w:r>
    </w:p>
    <w:p w:rsidR="008B2E43" w:rsidRDefault="008B2E43" w:rsidP="008B2E43">
      <w:pPr>
        <w:pStyle w:val="enumlev1"/>
      </w:pPr>
      <w:r>
        <w:rPr>
          <w:rFonts w:hint="cs"/>
          <w:rtl/>
        </w:rPr>
        <w:t>-</w:t>
      </w:r>
      <w:r>
        <w:rPr>
          <w:rFonts w:hint="cs"/>
          <w:rtl/>
        </w:rPr>
        <w:tab/>
      </w:r>
      <w:r>
        <w:rPr>
          <w:rtl/>
        </w:rPr>
        <w:t>المنتسبون</w:t>
      </w:r>
      <w:r>
        <w:rPr>
          <w:rFonts w:hint="cs"/>
          <w:rtl/>
        </w:rPr>
        <w:t>.</w:t>
      </w:r>
    </w:p>
    <w:p w:rsidR="008B2E43" w:rsidRDefault="008B2E43" w:rsidP="008B2E43">
      <w:pPr>
        <w:pStyle w:val="Heading1"/>
        <w:spacing w:after="120"/>
      </w:pPr>
      <w:r>
        <w:t>7</w:t>
      </w:r>
      <w:r>
        <w:rPr>
          <w:rFonts w:hint="cs"/>
          <w:rtl/>
        </w:rPr>
        <w:tab/>
      </w:r>
      <w:r>
        <w:rPr>
          <w:rtl/>
        </w:rPr>
        <w:t>الجمهور المستهد</w:t>
      </w:r>
      <w:r>
        <w:rPr>
          <w:rFonts w:hint="cs"/>
          <w:rtl/>
        </w:rPr>
        <w:t>َ</w:t>
      </w:r>
      <w:r>
        <w:rPr>
          <w:rtl/>
        </w:rPr>
        <w:t>ف</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2220"/>
        <w:gridCol w:w="2220"/>
      </w:tblGrid>
      <w:tr w:rsidR="008B2E43" w:rsidRPr="002125FB" w:rsidTr="00C27F96">
        <w:trPr>
          <w:cantSplit/>
          <w:jc w:val="center"/>
        </w:trPr>
        <w:tc>
          <w:tcPr>
            <w:tcW w:w="2975" w:type="dxa"/>
            <w:vAlign w:val="center"/>
          </w:tcPr>
          <w:p w:rsidR="008B2E43" w:rsidRPr="002125FB" w:rsidRDefault="008B2E43" w:rsidP="00C27F96">
            <w:pPr>
              <w:pStyle w:val="Tablehead"/>
              <w:bidi/>
              <w:spacing w:before="60" w:after="60" w:line="260" w:lineRule="exact"/>
              <w:rPr>
                <w:rFonts w:ascii="Calibri" w:hAnsi="Calibri"/>
                <w:b w:val="0"/>
                <w:bCs/>
                <w:sz w:val="20"/>
                <w:szCs w:val="26"/>
                <w:lang w:val="en-US"/>
              </w:rPr>
            </w:pPr>
          </w:p>
        </w:tc>
        <w:tc>
          <w:tcPr>
            <w:tcW w:w="2220" w:type="dxa"/>
            <w:vAlign w:val="center"/>
          </w:tcPr>
          <w:p w:rsidR="008B2E43" w:rsidRPr="0001290A" w:rsidRDefault="008B2E43" w:rsidP="00C27F96">
            <w:pPr>
              <w:pStyle w:val="Tablehead"/>
              <w:bidi/>
              <w:spacing w:before="60" w:after="60" w:line="260" w:lineRule="exact"/>
              <w:rPr>
                <w:rFonts w:ascii="Calibri" w:hAnsi="Calibri"/>
                <w:bCs/>
                <w:sz w:val="20"/>
                <w:szCs w:val="26"/>
                <w:lang w:val="en-US"/>
              </w:rPr>
            </w:pPr>
            <w:r w:rsidRPr="0001290A">
              <w:rPr>
                <w:rFonts w:ascii="Calibri" w:hAnsi="Calibri" w:hint="cs"/>
                <w:bCs/>
                <w:sz w:val="20"/>
                <w:szCs w:val="26"/>
                <w:rtl/>
                <w:lang w:val="en-US"/>
              </w:rPr>
              <w:t>البلدان المتقدمة</w:t>
            </w:r>
          </w:p>
        </w:tc>
        <w:tc>
          <w:tcPr>
            <w:tcW w:w="2220" w:type="dxa"/>
            <w:vAlign w:val="center"/>
          </w:tcPr>
          <w:p w:rsidR="008B2E43" w:rsidRPr="0001290A" w:rsidRDefault="008B2E43" w:rsidP="00C27F96">
            <w:pPr>
              <w:pStyle w:val="Tablehead"/>
              <w:bidi/>
              <w:spacing w:before="60" w:after="60" w:line="260" w:lineRule="exact"/>
              <w:rPr>
                <w:rFonts w:ascii="Calibri" w:hAnsi="Calibri"/>
                <w:bCs/>
                <w:sz w:val="20"/>
                <w:szCs w:val="26"/>
                <w:lang w:val="en-US" w:bidi="ar-SY"/>
              </w:rPr>
            </w:pPr>
            <w:r w:rsidRPr="0001290A">
              <w:rPr>
                <w:rFonts w:ascii="Calibri" w:hAnsi="Calibri" w:hint="cs"/>
                <w:bCs/>
                <w:sz w:val="20"/>
                <w:szCs w:val="26"/>
                <w:rtl/>
                <w:lang w:val="en-US"/>
              </w:rPr>
              <w:t>البلدان النامية</w:t>
            </w:r>
            <w:r>
              <w:rPr>
                <w:rStyle w:val="FootnoteReference"/>
                <w:rFonts w:cs="Times New Roman"/>
                <w:bCs/>
                <w:rtl/>
                <w:lang w:val="en-US" w:bidi="ar-SY"/>
              </w:rPr>
              <w:footnoteReference w:customMarkFollows="1" w:id="1"/>
              <w:t>1</w:t>
            </w:r>
          </w:p>
        </w:tc>
      </w:tr>
      <w:tr w:rsidR="008B2E43" w:rsidRPr="002125FB" w:rsidTr="00C27F96">
        <w:trPr>
          <w:cantSplit/>
          <w:jc w:val="center"/>
        </w:trPr>
        <w:tc>
          <w:tcPr>
            <w:tcW w:w="2975" w:type="dxa"/>
          </w:tcPr>
          <w:p w:rsidR="008B2E43" w:rsidRPr="002125FB" w:rsidRDefault="008B2E43" w:rsidP="00C27F96">
            <w:pPr>
              <w:pStyle w:val="Tabletext"/>
              <w:bidi/>
              <w:spacing w:before="60" w:after="60" w:line="260" w:lineRule="exact"/>
              <w:rPr>
                <w:rFonts w:ascii="Calibri" w:hAnsi="Calibri"/>
                <w:sz w:val="20"/>
                <w:szCs w:val="26"/>
              </w:rPr>
            </w:pPr>
            <w:r w:rsidRPr="002125FB">
              <w:rPr>
                <w:rFonts w:ascii="Calibri" w:hAnsi="Calibri" w:hint="cs"/>
                <w:sz w:val="20"/>
                <w:szCs w:val="26"/>
                <w:rtl/>
              </w:rPr>
              <w:t>واضعو سياسات الاتصالات</w:t>
            </w:r>
          </w:p>
        </w:tc>
        <w:tc>
          <w:tcPr>
            <w:tcW w:w="2220" w:type="dxa"/>
          </w:tcPr>
          <w:p w:rsidR="008B2E43" w:rsidRPr="002125FB" w:rsidRDefault="008B2E43" w:rsidP="00C27F96">
            <w:pPr>
              <w:pStyle w:val="Tabletext"/>
              <w:bidi/>
              <w:spacing w:before="60" w:after="60" w:line="260" w:lineRule="exact"/>
              <w:jc w:val="center"/>
              <w:rPr>
                <w:rFonts w:ascii="Calibri" w:hAnsi="Calibri"/>
                <w:sz w:val="20"/>
                <w:szCs w:val="26"/>
                <w:lang w:val="en-US"/>
              </w:rPr>
            </w:pPr>
            <w:r w:rsidRPr="002125FB">
              <w:rPr>
                <w:rFonts w:ascii="Calibri" w:hAnsi="Calibri" w:hint="cs"/>
                <w:sz w:val="20"/>
                <w:szCs w:val="26"/>
                <w:rtl/>
                <w:lang w:val="en-US"/>
              </w:rPr>
              <w:t>نعم</w:t>
            </w:r>
          </w:p>
        </w:tc>
        <w:tc>
          <w:tcPr>
            <w:tcW w:w="2220" w:type="dxa"/>
          </w:tcPr>
          <w:p w:rsidR="008B2E43" w:rsidRPr="002125FB" w:rsidRDefault="008B2E43" w:rsidP="00C27F96">
            <w:pPr>
              <w:pStyle w:val="Tabletext"/>
              <w:bidi/>
              <w:spacing w:before="60" w:after="60" w:line="260" w:lineRule="exact"/>
              <w:jc w:val="center"/>
              <w:rPr>
                <w:rFonts w:ascii="Calibri" w:hAnsi="Calibri"/>
                <w:sz w:val="20"/>
                <w:szCs w:val="26"/>
              </w:rPr>
            </w:pPr>
            <w:r w:rsidRPr="002125FB">
              <w:rPr>
                <w:rFonts w:ascii="Calibri" w:hAnsi="Calibri" w:hint="cs"/>
                <w:sz w:val="20"/>
                <w:szCs w:val="26"/>
                <w:rtl/>
                <w:lang w:val="en-US"/>
              </w:rPr>
              <w:t>نعم</w:t>
            </w:r>
          </w:p>
        </w:tc>
      </w:tr>
      <w:tr w:rsidR="008B2E43" w:rsidRPr="002125FB" w:rsidTr="00C27F96">
        <w:trPr>
          <w:cantSplit/>
          <w:jc w:val="center"/>
        </w:trPr>
        <w:tc>
          <w:tcPr>
            <w:tcW w:w="2975" w:type="dxa"/>
          </w:tcPr>
          <w:p w:rsidR="008B2E43" w:rsidRPr="002125FB" w:rsidRDefault="008B2E43" w:rsidP="00C27F96">
            <w:pPr>
              <w:pStyle w:val="Tabletext"/>
              <w:bidi/>
              <w:spacing w:before="60" w:after="60" w:line="260" w:lineRule="exact"/>
              <w:rPr>
                <w:rFonts w:ascii="Calibri" w:hAnsi="Calibri"/>
                <w:sz w:val="20"/>
                <w:szCs w:val="26"/>
              </w:rPr>
            </w:pPr>
            <w:r w:rsidRPr="002125FB">
              <w:rPr>
                <w:rFonts w:ascii="Calibri" w:hAnsi="Calibri" w:hint="cs"/>
                <w:sz w:val="20"/>
                <w:szCs w:val="26"/>
                <w:rtl/>
              </w:rPr>
              <w:t>منظمو الاتصالات</w:t>
            </w:r>
          </w:p>
        </w:tc>
        <w:tc>
          <w:tcPr>
            <w:tcW w:w="2220" w:type="dxa"/>
          </w:tcPr>
          <w:p w:rsidR="008B2E43" w:rsidRPr="002125FB" w:rsidRDefault="008B2E43" w:rsidP="00C27F96">
            <w:pPr>
              <w:pStyle w:val="Tabletext"/>
              <w:bidi/>
              <w:spacing w:before="60" w:after="60" w:line="260" w:lineRule="exact"/>
              <w:jc w:val="center"/>
              <w:rPr>
                <w:rFonts w:ascii="Calibri" w:hAnsi="Calibri"/>
                <w:sz w:val="20"/>
                <w:szCs w:val="26"/>
              </w:rPr>
            </w:pPr>
            <w:r w:rsidRPr="002125FB">
              <w:rPr>
                <w:rFonts w:ascii="Calibri" w:hAnsi="Calibri" w:hint="cs"/>
                <w:sz w:val="20"/>
                <w:szCs w:val="26"/>
                <w:rtl/>
                <w:lang w:val="en-US"/>
              </w:rPr>
              <w:t>نعم</w:t>
            </w:r>
          </w:p>
        </w:tc>
        <w:tc>
          <w:tcPr>
            <w:tcW w:w="2220" w:type="dxa"/>
          </w:tcPr>
          <w:p w:rsidR="008B2E43" w:rsidRPr="002125FB" w:rsidRDefault="008B2E43" w:rsidP="00C27F96">
            <w:pPr>
              <w:pStyle w:val="Tabletext"/>
              <w:bidi/>
              <w:spacing w:before="60" w:after="60" w:line="260" w:lineRule="exact"/>
              <w:jc w:val="center"/>
              <w:rPr>
                <w:rFonts w:ascii="Calibri" w:hAnsi="Calibri"/>
                <w:sz w:val="20"/>
                <w:szCs w:val="26"/>
              </w:rPr>
            </w:pPr>
            <w:r w:rsidRPr="002125FB">
              <w:rPr>
                <w:rFonts w:ascii="Calibri" w:hAnsi="Calibri" w:hint="cs"/>
                <w:sz w:val="20"/>
                <w:szCs w:val="26"/>
                <w:rtl/>
                <w:lang w:val="en-US"/>
              </w:rPr>
              <w:t>نعم</w:t>
            </w:r>
          </w:p>
        </w:tc>
      </w:tr>
      <w:tr w:rsidR="008B2E43" w:rsidRPr="002125FB" w:rsidTr="00C27F96">
        <w:trPr>
          <w:cantSplit/>
          <w:jc w:val="center"/>
        </w:trPr>
        <w:tc>
          <w:tcPr>
            <w:tcW w:w="2975" w:type="dxa"/>
          </w:tcPr>
          <w:p w:rsidR="008B2E43" w:rsidRPr="002125FB" w:rsidRDefault="008B2E43" w:rsidP="00C27F96">
            <w:pPr>
              <w:pStyle w:val="Tabletext"/>
              <w:bidi/>
              <w:spacing w:before="60" w:after="60" w:line="260" w:lineRule="exact"/>
              <w:rPr>
                <w:rFonts w:ascii="Calibri" w:hAnsi="Calibri"/>
                <w:sz w:val="20"/>
                <w:szCs w:val="26"/>
              </w:rPr>
            </w:pPr>
            <w:r w:rsidRPr="002125FB">
              <w:rPr>
                <w:rFonts w:ascii="Calibri" w:hAnsi="Calibri" w:hint="cs"/>
                <w:sz w:val="20"/>
                <w:szCs w:val="26"/>
                <w:rtl/>
              </w:rPr>
              <w:t>مقدمو الخدمات/المشغلون</w:t>
            </w:r>
          </w:p>
        </w:tc>
        <w:tc>
          <w:tcPr>
            <w:tcW w:w="2220" w:type="dxa"/>
          </w:tcPr>
          <w:p w:rsidR="008B2E43" w:rsidRPr="002125FB" w:rsidRDefault="008B2E43" w:rsidP="00C27F96">
            <w:pPr>
              <w:pStyle w:val="Tabletext"/>
              <w:bidi/>
              <w:spacing w:before="60" w:after="60" w:line="260" w:lineRule="exact"/>
              <w:jc w:val="center"/>
              <w:rPr>
                <w:rFonts w:ascii="Calibri" w:hAnsi="Calibri"/>
                <w:sz w:val="20"/>
                <w:szCs w:val="26"/>
              </w:rPr>
            </w:pPr>
            <w:r w:rsidRPr="002125FB">
              <w:rPr>
                <w:rFonts w:ascii="Calibri" w:hAnsi="Calibri" w:hint="cs"/>
                <w:sz w:val="20"/>
                <w:szCs w:val="26"/>
                <w:rtl/>
                <w:lang w:val="en-US"/>
              </w:rPr>
              <w:t>نعم</w:t>
            </w:r>
          </w:p>
        </w:tc>
        <w:tc>
          <w:tcPr>
            <w:tcW w:w="2220" w:type="dxa"/>
          </w:tcPr>
          <w:p w:rsidR="008B2E43" w:rsidRPr="002125FB" w:rsidRDefault="008B2E43" w:rsidP="00C27F96">
            <w:pPr>
              <w:pStyle w:val="Tabletext"/>
              <w:bidi/>
              <w:spacing w:before="60" w:after="60" w:line="260" w:lineRule="exact"/>
              <w:jc w:val="center"/>
              <w:rPr>
                <w:rFonts w:ascii="Calibri" w:hAnsi="Calibri"/>
                <w:sz w:val="20"/>
                <w:szCs w:val="26"/>
              </w:rPr>
            </w:pPr>
            <w:r w:rsidRPr="002125FB">
              <w:rPr>
                <w:rFonts w:ascii="Calibri" w:hAnsi="Calibri" w:hint="cs"/>
                <w:sz w:val="20"/>
                <w:szCs w:val="26"/>
                <w:rtl/>
                <w:lang w:val="en-US"/>
              </w:rPr>
              <w:t>نعم</w:t>
            </w:r>
          </w:p>
        </w:tc>
      </w:tr>
      <w:tr w:rsidR="008B2E43" w:rsidRPr="002125FB" w:rsidTr="00C27F96">
        <w:trPr>
          <w:cantSplit/>
          <w:jc w:val="center"/>
        </w:trPr>
        <w:tc>
          <w:tcPr>
            <w:tcW w:w="2975" w:type="dxa"/>
          </w:tcPr>
          <w:p w:rsidR="008B2E43" w:rsidRPr="002125FB" w:rsidRDefault="008B2E43" w:rsidP="00C27F96">
            <w:pPr>
              <w:pStyle w:val="Tabletext"/>
              <w:bidi/>
              <w:spacing w:before="60" w:after="60" w:line="260" w:lineRule="exact"/>
              <w:rPr>
                <w:rFonts w:ascii="Calibri" w:hAnsi="Calibri"/>
                <w:sz w:val="20"/>
                <w:szCs w:val="26"/>
              </w:rPr>
            </w:pPr>
            <w:r w:rsidRPr="002125FB">
              <w:rPr>
                <w:rFonts w:ascii="Calibri" w:hAnsi="Calibri" w:hint="cs"/>
                <w:sz w:val="20"/>
                <w:szCs w:val="26"/>
                <w:rtl/>
              </w:rPr>
              <w:t>المصنعون</w:t>
            </w:r>
          </w:p>
        </w:tc>
        <w:tc>
          <w:tcPr>
            <w:tcW w:w="2220" w:type="dxa"/>
          </w:tcPr>
          <w:p w:rsidR="008B2E43" w:rsidRPr="002125FB" w:rsidRDefault="008B2E43" w:rsidP="00C27F96">
            <w:pPr>
              <w:pStyle w:val="Tabletext"/>
              <w:bidi/>
              <w:spacing w:before="60" w:after="60" w:line="260" w:lineRule="exact"/>
              <w:jc w:val="center"/>
              <w:rPr>
                <w:rFonts w:ascii="Calibri" w:hAnsi="Calibri"/>
                <w:sz w:val="20"/>
                <w:szCs w:val="26"/>
              </w:rPr>
            </w:pPr>
            <w:r w:rsidRPr="002125FB">
              <w:rPr>
                <w:rFonts w:ascii="Calibri" w:hAnsi="Calibri" w:hint="cs"/>
                <w:sz w:val="20"/>
                <w:szCs w:val="26"/>
                <w:rtl/>
                <w:lang w:val="en-US"/>
              </w:rPr>
              <w:t>نعم</w:t>
            </w:r>
          </w:p>
        </w:tc>
        <w:tc>
          <w:tcPr>
            <w:tcW w:w="2220" w:type="dxa"/>
          </w:tcPr>
          <w:p w:rsidR="008B2E43" w:rsidRPr="002125FB" w:rsidRDefault="008B2E43" w:rsidP="00C27F96">
            <w:pPr>
              <w:pStyle w:val="Tabletext"/>
              <w:bidi/>
              <w:spacing w:before="60" w:after="60" w:line="260" w:lineRule="exact"/>
              <w:jc w:val="center"/>
              <w:rPr>
                <w:rFonts w:ascii="Calibri" w:hAnsi="Calibri"/>
                <w:sz w:val="20"/>
                <w:szCs w:val="26"/>
                <w:lang w:val="en-US"/>
              </w:rPr>
            </w:pPr>
            <w:r w:rsidRPr="002125FB">
              <w:rPr>
                <w:rFonts w:ascii="Calibri" w:hAnsi="Calibri" w:hint="cs"/>
                <w:sz w:val="20"/>
                <w:szCs w:val="26"/>
                <w:rtl/>
                <w:lang w:val="en-US"/>
              </w:rPr>
              <w:t>نعم</w:t>
            </w:r>
          </w:p>
        </w:tc>
      </w:tr>
    </w:tbl>
    <w:p w:rsidR="008B2E43" w:rsidRDefault="008B2E43" w:rsidP="008B2E43">
      <w:pPr>
        <w:pStyle w:val="headingbcolor"/>
      </w:pPr>
      <w:r>
        <w:rPr>
          <w:rFonts w:hint="cs"/>
          <w:rtl/>
        </w:rPr>
        <w:t xml:space="preserve"> </w:t>
      </w:r>
      <w:r>
        <w:rPr>
          <w:rtl/>
        </w:rPr>
        <w:t>أ</w:t>
      </w:r>
      <w:r>
        <w:rPr>
          <w:rFonts w:hint="cs"/>
          <w:rtl/>
        </w:rPr>
        <w:t xml:space="preserve"> </w:t>
      </w:r>
      <w:r>
        <w:rPr>
          <w:rtl/>
        </w:rPr>
        <w:t>)</w:t>
      </w:r>
      <w:r>
        <w:tab/>
      </w:r>
      <w:r>
        <w:rPr>
          <w:rtl/>
        </w:rPr>
        <w:t xml:space="preserve">الجمهور المستهدف - </w:t>
      </w:r>
      <w:r>
        <w:rPr>
          <w:rFonts w:hint="cs"/>
          <w:rtl/>
        </w:rPr>
        <w:t>من تحديداً الذي سيستخدم الناتج</w:t>
      </w:r>
    </w:p>
    <w:p w:rsidR="008B2E43" w:rsidRPr="00C01F39" w:rsidRDefault="008B2E43" w:rsidP="008B2E43">
      <w:pPr>
        <w:rPr>
          <w:spacing w:val="-2"/>
        </w:rPr>
      </w:pPr>
      <w:r w:rsidRPr="00C01F39">
        <w:rPr>
          <w:spacing w:val="-2"/>
          <w:rtl/>
        </w:rPr>
        <w:t>منظمو الاتصالات وصانعو سياسات الاتصالات ومقدمو/مشغلو الخدمات والمصنعون، أساساً</w:t>
      </w:r>
      <w:r>
        <w:rPr>
          <w:spacing w:val="-2"/>
          <w:rtl/>
        </w:rPr>
        <w:t xml:space="preserve"> في </w:t>
      </w:r>
      <w:r w:rsidRPr="00C01F39">
        <w:rPr>
          <w:spacing w:val="-2"/>
          <w:rtl/>
        </w:rPr>
        <w:t>البلدان النامية وأقل البلدان نمو</w:t>
      </w:r>
      <w:r>
        <w:rPr>
          <w:spacing w:val="-2"/>
          <w:rtl/>
        </w:rPr>
        <w:t>اً</w:t>
      </w:r>
      <w:r w:rsidRPr="00C01F39">
        <w:rPr>
          <w:spacing w:val="-2"/>
        </w:rPr>
        <w:t>.</w:t>
      </w:r>
    </w:p>
    <w:p w:rsidR="008B2E43" w:rsidRDefault="008B2E43" w:rsidP="008B2E43">
      <w:pPr>
        <w:pStyle w:val="headingbcolor"/>
      </w:pPr>
      <w:r>
        <w:rPr>
          <w:rtl/>
        </w:rPr>
        <w:t>ب)</w:t>
      </w:r>
      <w:r>
        <w:tab/>
      </w:r>
      <w:r>
        <w:rPr>
          <w:rFonts w:hint="cs"/>
          <w:rtl/>
        </w:rPr>
        <w:t>الطرائق المقترحة لتنفيذ النتائج</w:t>
      </w:r>
    </w:p>
    <w:p w:rsidR="008B2E43" w:rsidRDefault="008B2E43" w:rsidP="008B2E43">
      <w:pPr>
        <w:rPr>
          <w:rtl/>
        </w:rPr>
      </w:pPr>
      <w:r>
        <w:rPr>
          <w:rtl/>
        </w:rPr>
        <w:t>دليل وتوصيات للاستراتيجيات المطلوبة للتوصل إلى معالجة مسؤولة وكاملة للمخلفات المتعلقة بالاتصالات/ تكنولوجيا المعلومات والاتصالات: الإجراءات المتعلقة بالسياسات والتنظيم المطلوبة في البلدان النامية وأقل البلدان نمواً</w:t>
      </w:r>
      <w:r>
        <w:rPr>
          <w:rFonts w:hint="cs"/>
          <w:rtl/>
        </w:rPr>
        <w:t>.</w:t>
      </w:r>
    </w:p>
    <w:p w:rsidR="008B2E43" w:rsidRDefault="008B2E43" w:rsidP="008B2E43">
      <w:pPr>
        <w:rPr>
          <w:rtl/>
        </w:rPr>
      </w:pPr>
      <w:r>
        <w:rPr>
          <w:rtl/>
        </w:rPr>
        <w:t>يمكن تطبيق هذا الدليل من جانب البلدان النامية وأقل البلدان نمواً، إضافة إلى المشغلين والمصنعين في وضع إجراءات معالجة مسؤولة وكاملة للمخلفات المتعلقة بالاتصالات/تكنولوجيا المعلومات والاتصالات</w:t>
      </w:r>
      <w:r>
        <w:rPr>
          <w:rFonts w:hint="cs"/>
          <w:rtl/>
        </w:rPr>
        <w:t>.</w:t>
      </w:r>
    </w:p>
    <w:p w:rsidR="008B2E43" w:rsidRDefault="008B2E43" w:rsidP="008B2E43">
      <w:pPr>
        <w:pStyle w:val="Heading1"/>
      </w:pPr>
      <w:r>
        <w:t>8</w:t>
      </w:r>
      <w:r>
        <w:rPr>
          <w:rFonts w:hint="cs"/>
          <w:rtl/>
        </w:rPr>
        <w:tab/>
      </w:r>
      <w:r>
        <w:rPr>
          <w:rtl/>
        </w:rPr>
        <w:t>الطرائق المقترحة لتناول المسألة أو القضية</w:t>
      </w:r>
    </w:p>
    <w:p w:rsidR="008B2E43" w:rsidRDefault="008B2E43" w:rsidP="008B2E43">
      <w:pPr>
        <w:pStyle w:val="headingbcolor"/>
        <w:spacing w:before="120"/>
      </w:pPr>
      <w:r>
        <w:t> </w:t>
      </w:r>
      <w:r>
        <w:rPr>
          <w:rtl/>
        </w:rPr>
        <w:t>أ )</w:t>
      </w:r>
      <w:r>
        <w:tab/>
      </w:r>
      <w:r>
        <w:rPr>
          <w:rFonts w:hint="cs"/>
          <w:rtl/>
        </w:rPr>
        <w:t>ما هي الطريقة</w:t>
      </w:r>
      <w:r>
        <w:rPr>
          <w:rtl/>
        </w:rPr>
        <w:t>؟</w:t>
      </w:r>
    </w:p>
    <w:p w:rsidR="008B2E43" w:rsidRDefault="008B2E43" w:rsidP="008B2E43">
      <w:pPr>
        <w:pStyle w:val="enumlev1"/>
      </w:pPr>
      <w:r>
        <w:t>(1</w:t>
      </w:r>
      <w:r>
        <w:tab/>
      </w:r>
      <w:r>
        <w:rPr>
          <w:rtl/>
        </w:rPr>
        <w:t>في إطار لجنة دراسات</w:t>
      </w:r>
      <w:r>
        <w:t>:</w:t>
      </w:r>
    </w:p>
    <w:p w:rsidR="008B2E43" w:rsidRPr="00E41477" w:rsidRDefault="008B2E43" w:rsidP="008B2E43">
      <w:pPr>
        <w:rPr>
          <w:rtl/>
        </w:rPr>
      </w:pPr>
      <w:r>
        <w:rPr>
          <w:rtl/>
        </w:rPr>
        <w:lastRenderedPageBreak/>
        <w:t>يُقترح تنفيذ المهام التالية ضمن لجنة الدراسات</w:t>
      </w:r>
      <w:r>
        <w:rPr>
          <w:rFonts w:hint="cs"/>
          <w:rtl/>
        </w:rPr>
        <w:t xml:space="preserve"> </w:t>
      </w:r>
      <w:r>
        <w:t>1</w:t>
      </w:r>
      <w:r>
        <w:rPr>
          <w:rFonts w:hint="cs"/>
          <w:rtl/>
        </w:rPr>
        <w:t>:</w:t>
      </w:r>
    </w:p>
    <w:p w:rsidR="008B2E43" w:rsidRDefault="008B2E43" w:rsidP="008B2E43">
      <w:pPr>
        <w:pStyle w:val="enumlev2"/>
        <w:pageBreakBefore/>
      </w:pPr>
      <w:proofErr w:type="gramStart"/>
      <w:r>
        <w:lastRenderedPageBreak/>
        <w:t>'1'</w:t>
      </w:r>
      <w:r>
        <w:tab/>
      </w:r>
      <w:r>
        <w:rPr>
          <w:rtl/>
        </w:rPr>
        <w:t>التصنيف التقني لمخلفات الاتصالات/تكنولوجيا المعلومات والاتصالات، بحسب المكونات والمواد الخطرة</w:t>
      </w:r>
      <w:r>
        <w:t>.</w:t>
      </w:r>
      <w:proofErr w:type="gramEnd"/>
    </w:p>
    <w:p w:rsidR="008B2E43" w:rsidRPr="00797779" w:rsidRDefault="008B2E43" w:rsidP="008B2E43">
      <w:pPr>
        <w:pStyle w:val="enumlev2"/>
        <w:rPr>
          <w:spacing w:val="6"/>
        </w:rPr>
      </w:pPr>
      <w:proofErr w:type="gramStart"/>
      <w:r w:rsidRPr="00797779">
        <w:rPr>
          <w:spacing w:val="6"/>
        </w:rPr>
        <w:t>'2'</w:t>
      </w:r>
      <w:r w:rsidRPr="00797779">
        <w:rPr>
          <w:spacing w:val="6"/>
        </w:rPr>
        <w:tab/>
      </w:r>
      <w:r w:rsidRPr="00797779">
        <w:rPr>
          <w:spacing w:val="6"/>
          <w:rtl/>
        </w:rPr>
        <w:t>تحديد وتقييم مشاكل البلدان و/أو المناطق</w:t>
      </w:r>
      <w:r>
        <w:rPr>
          <w:spacing w:val="6"/>
          <w:rtl/>
        </w:rPr>
        <w:t xml:space="preserve"> في </w:t>
      </w:r>
      <w:r w:rsidRPr="00797779">
        <w:rPr>
          <w:spacing w:val="6"/>
          <w:rtl/>
        </w:rPr>
        <w:t>تطبيق نظام شامل لإدارة مخلفات الاتصالات/تكنولوجيا المعلومات والاتصالات</w:t>
      </w:r>
      <w:r w:rsidRPr="00797779">
        <w:rPr>
          <w:spacing w:val="6"/>
        </w:rPr>
        <w:t>.</w:t>
      </w:r>
      <w:proofErr w:type="gramEnd"/>
    </w:p>
    <w:p w:rsidR="008B2E43" w:rsidRDefault="008B2E43" w:rsidP="008B2E43">
      <w:pPr>
        <w:pStyle w:val="enumlev2"/>
      </w:pPr>
      <w:proofErr w:type="gramStart"/>
      <w:r>
        <w:t>'3'</w:t>
      </w:r>
      <w:r>
        <w:tab/>
      </w:r>
      <w:r>
        <w:rPr>
          <w:rtl/>
        </w:rPr>
        <w:t>خبرات مختلف البلدان المتقدمة والنامية، إضافةً إلى المصنعين والمشغلين في الإدارة الشاملة لمخلفات الاتصالات/تكنولوجيا المعلومات والاتصالات، بما في ذلك السياسات والتنظيم والدراسات الاقتصادية وطرائق التمويل وغير ذلك</w:t>
      </w:r>
      <w:r>
        <w:t>.</w:t>
      </w:r>
      <w:proofErr w:type="gramEnd"/>
    </w:p>
    <w:p w:rsidR="008B2E43" w:rsidRDefault="008B2E43" w:rsidP="008B2E43">
      <w:pPr>
        <w:pStyle w:val="enumlev2"/>
      </w:pPr>
      <w:proofErr w:type="gramStart"/>
      <w:r>
        <w:t>'4'</w:t>
      </w:r>
      <w:r>
        <w:tab/>
      </w:r>
      <w:r>
        <w:rPr>
          <w:rtl/>
        </w:rPr>
        <w:t>دراسة كيف يمكن، من خلال نقل المعلومات والمعرفة والتدريب وتنمية المهارات لدى الأشخاص والمؤسسات، تعزيز قدرة البلدان على إدارة التعامل مع مخلفات الاتصالات/تكنولوجيا المعلومات والاتصالات.</w:t>
      </w:r>
      <w:proofErr w:type="gramEnd"/>
      <w:r>
        <w:rPr>
          <w:rtl/>
        </w:rPr>
        <w:t xml:space="preserve"> واستعراض النظم الفعّالة من أجل تقاسم المعلومات التي تساعد على إنجاز هذه المهام</w:t>
      </w:r>
      <w:r>
        <w:t>.</w:t>
      </w:r>
    </w:p>
    <w:p w:rsidR="008B2E43" w:rsidRDefault="008B2E43" w:rsidP="008B2E43">
      <w:pPr>
        <w:pStyle w:val="enumlev1"/>
      </w:pPr>
      <w:r>
        <w:t>(2</w:t>
      </w:r>
      <w:r>
        <w:tab/>
      </w:r>
      <w:r>
        <w:rPr>
          <w:rtl/>
        </w:rPr>
        <w:t>في إطار الأنشطة المعتادة لمكتب تنمية الاتصالات</w:t>
      </w:r>
      <w:r>
        <w:t>:</w:t>
      </w:r>
    </w:p>
    <w:p w:rsidR="008B2E43" w:rsidRDefault="008B2E43" w:rsidP="008B2E43">
      <w:pPr>
        <w:pStyle w:val="enumlev3"/>
        <w:tabs>
          <w:tab w:val="left" w:pos="7371"/>
        </w:tabs>
        <w:ind w:left="1287"/>
        <w:rPr>
          <w:rtl/>
        </w:rPr>
      </w:pPr>
      <w:r w:rsidRPr="00EE5B6B">
        <w:rPr>
          <w:rtl/>
        </w:rPr>
        <w:t>-</w:t>
      </w:r>
      <w:r w:rsidRPr="00EE5B6B">
        <w:rPr>
          <w:rtl/>
        </w:rPr>
        <w:tab/>
        <w:t>البرامج</w:t>
      </w:r>
      <w:r>
        <w:rPr>
          <w:rFonts w:hint="cs"/>
          <w:rtl/>
        </w:rPr>
        <w:tab/>
      </w:r>
      <w:r>
        <w:rPr>
          <w:rFonts w:hint="cs"/>
          <w:rtl/>
        </w:rPr>
        <w:tab/>
      </w:r>
      <w:r w:rsidRPr="00EE5B6B">
        <w:rPr>
          <w:szCs w:val="22"/>
        </w:rPr>
        <w:sym w:font="Wingdings" w:char="F06F"/>
      </w:r>
    </w:p>
    <w:p w:rsidR="008B2E43" w:rsidRDefault="008B2E43" w:rsidP="008B2E43">
      <w:pPr>
        <w:pStyle w:val="enumlev3"/>
        <w:tabs>
          <w:tab w:val="left" w:pos="7371"/>
        </w:tabs>
        <w:ind w:left="1287"/>
        <w:rPr>
          <w:rtl/>
        </w:rPr>
      </w:pPr>
      <w:r w:rsidRPr="00EE5B6B">
        <w:rPr>
          <w:rtl/>
        </w:rPr>
        <w:t>-</w:t>
      </w:r>
      <w:r w:rsidRPr="00EE5B6B">
        <w:rPr>
          <w:rtl/>
        </w:rPr>
        <w:tab/>
        <w:t>المشاريع</w:t>
      </w:r>
      <w:r>
        <w:rPr>
          <w:rFonts w:hint="cs"/>
          <w:rtl/>
        </w:rPr>
        <w:tab/>
      </w:r>
      <w:r>
        <w:rPr>
          <w:rFonts w:hint="cs"/>
          <w:rtl/>
        </w:rPr>
        <w:tab/>
      </w:r>
      <w:r w:rsidRPr="00EE5B6B">
        <w:rPr>
          <w:szCs w:val="22"/>
        </w:rPr>
        <w:sym w:font="Wingdings" w:char="F06F"/>
      </w:r>
    </w:p>
    <w:p w:rsidR="008B2E43" w:rsidRDefault="008B2E43" w:rsidP="008B2E43">
      <w:pPr>
        <w:pStyle w:val="enumlev3"/>
        <w:tabs>
          <w:tab w:val="left" w:pos="7371"/>
        </w:tabs>
        <w:ind w:left="1287"/>
        <w:rPr>
          <w:rtl/>
        </w:rPr>
      </w:pPr>
      <w:r w:rsidRPr="00EE5B6B">
        <w:rPr>
          <w:rtl/>
        </w:rPr>
        <w:t>-</w:t>
      </w:r>
      <w:r w:rsidRPr="00EE5B6B">
        <w:rPr>
          <w:rtl/>
        </w:rPr>
        <w:tab/>
        <w:t>الخبراء الاستشاريون</w:t>
      </w:r>
      <w:r>
        <w:rPr>
          <w:rFonts w:hint="cs"/>
          <w:rtl/>
        </w:rPr>
        <w:tab/>
      </w:r>
      <w:r>
        <w:rPr>
          <w:rFonts w:hint="cs"/>
          <w:rtl/>
        </w:rPr>
        <w:tab/>
      </w:r>
      <w:r w:rsidRPr="00EE5B6B">
        <w:rPr>
          <w:szCs w:val="22"/>
        </w:rPr>
        <w:sym w:font="Wingdings" w:char="F06F"/>
      </w:r>
    </w:p>
    <w:p w:rsidR="008B2E43" w:rsidRDefault="008B2E43" w:rsidP="008B2E43">
      <w:pPr>
        <w:pStyle w:val="enumlev1"/>
        <w:tabs>
          <w:tab w:val="left" w:pos="7371"/>
        </w:tabs>
        <w:jc w:val="left"/>
      </w:pPr>
      <w:r>
        <w:t>(3</w:t>
      </w:r>
      <w:r>
        <w:tab/>
      </w:r>
      <w:r>
        <w:rPr>
          <w:rtl/>
        </w:rPr>
        <w:t>طرائق أخرى - يرجى وصفها (مثلاً على الصعيد الإقليمي، في إطار منظمات أخرى،</w:t>
      </w:r>
      <w:r>
        <w:br/>
      </w:r>
      <w:r>
        <w:rPr>
          <w:rtl/>
        </w:rPr>
        <w:t>بالاشتراك مع منظمات أخرى، إلخ</w:t>
      </w:r>
      <w:r>
        <w:tab/>
      </w:r>
      <w:r>
        <w:rPr>
          <w:rFonts w:hint="cs"/>
          <w:rtl/>
        </w:rPr>
        <w:tab/>
      </w:r>
      <w:r w:rsidRPr="00EE5B6B">
        <w:rPr>
          <w:szCs w:val="22"/>
        </w:rPr>
        <w:sym w:font="Wingdings" w:char="F06F"/>
      </w:r>
    </w:p>
    <w:p w:rsidR="008B2E43" w:rsidRDefault="008B2E43" w:rsidP="008B2E43">
      <w:pPr>
        <w:pStyle w:val="headingbcolor"/>
        <w:spacing w:before="120"/>
      </w:pPr>
      <w:r>
        <w:rPr>
          <w:rtl/>
        </w:rPr>
        <w:t>ب)</w:t>
      </w:r>
      <w:r>
        <w:tab/>
      </w:r>
      <w:r>
        <w:rPr>
          <w:rFonts w:hint="cs"/>
          <w:rtl/>
        </w:rPr>
        <w:t>ما السبب</w:t>
      </w:r>
      <w:r>
        <w:rPr>
          <w:rtl/>
        </w:rPr>
        <w:t>؟</w:t>
      </w:r>
    </w:p>
    <w:p w:rsidR="008B2E43" w:rsidRDefault="008B2E43" w:rsidP="008B2E43">
      <w:r>
        <w:rPr>
          <w:rtl/>
        </w:rPr>
        <w:t>لإعداد مجموعة من المبادئ التوجيهية، يتحتم جمع خبرات مختلف البلدان والمشغلين والمصنعين، إضافة إلى مختلف المنظمات ذات الصلة بالموضوع التي تستطيع توفير معلومات</w:t>
      </w:r>
      <w:r>
        <w:t>.</w:t>
      </w:r>
    </w:p>
    <w:p w:rsidR="008B2E43" w:rsidRDefault="008B2E43" w:rsidP="008B2E43">
      <w:r>
        <w:rPr>
          <w:rtl/>
        </w:rPr>
        <w:t>يجب على لجنة الدراسات إعداد استبيانات إضافة إلى الدليل</w:t>
      </w:r>
      <w:r>
        <w:t>.</w:t>
      </w:r>
    </w:p>
    <w:p w:rsidR="008B2E43" w:rsidRPr="00797779" w:rsidRDefault="008B2E43" w:rsidP="008B2E43">
      <w:pPr>
        <w:pStyle w:val="Heading1"/>
      </w:pPr>
      <w:r w:rsidRPr="00797779">
        <w:t>9</w:t>
      </w:r>
      <w:r w:rsidRPr="00797779">
        <w:rPr>
          <w:rFonts w:hint="cs"/>
          <w:rtl/>
        </w:rPr>
        <w:tab/>
      </w:r>
      <w:r w:rsidRPr="00797779">
        <w:rPr>
          <w:rtl/>
        </w:rPr>
        <w:t>التنسيق</w:t>
      </w:r>
      <w:r w:rsidRPr="00797779">
        <w:rPr>
          <w:rFonts w:hint="cs"/>
          <w:rtl/>
        </w:rPr>
        <w:t xml:space="preserve"> والتعاون</w:t>
      </w:r>
    </w:p>
    <w:p w:rsidR="008B2E43" w:rsidRDefault="008B2E43" w:rsidP="008B2E43">
      <w:pPr>
        <w:pStyle w:val="enumlev1"/>
      </w:pPr>
      <w:r>
        <w:rPr>
          <w:rFonts w:hint="cs"/>
          <w:rtl/>
        </w:rPr>
        <w:t>-</w:t>
      </w:r>
      <w:r>
        <w:tab/>
      </w:r>
      <w:r>
        <w:rPr>
          <w:rtl/>
        </w:rPr>
        <w:t>الأنشطة العادية لقطاع تنمية الاتصالات؛</w:t>
      </w:r>
    </w:p>
    <w:p w:rsidR="008B2E43" w:rsidRDefault="008B2E43" w:rsidP="008B2E43">
      <w:pPr>
        <w:pStyle w:val="enumlev1"/>
      </w:pPr>
      <w:r>
        <w:rPr>
          <w:rFonts w:hint="cs"/>
          <w:rtl/>
        </w:rPr>
        <w:t>-</w:t>
      </w:r>
      <w:r>
        <w:tab/>
      </w:r>
      <w:r>
        <w:rPr>
          <w:rtl/>
        </w:rPr>
        <w:t>المسائل أو القضايا الأخرى التي تدرسها لجان الدراسات؛</w:t>
      </w:r>
    </w:p>
    <w:p w:rsidR="008B2E43" w:rsidRDefault="008B2E43" w:rsidP="008B2E43">
      <w:pPr>
        <w:pStyle w:val="enumlev1"/>
      </w:pPr>
      <w:r>
        <w:rPr>
          <w:rFonts w:hint="cs"/>
          <w:rtl/>
        </w:rPr>
        <w:t>-</w:t>
      </w:r>
      <w:r>
        <w:tab/>
      </w:r>
      <w:r>
        <w:rPr>
          <w:rtl/>
        </w:rPr>
        <w:t>المنظمات الإقليمية حسب الاقتضاء؛</w:t>
      </w:r>
    </w:p>
    <w:p w:rsidR="008B2E43" w:rsidRDefault="008B2E43" w:rsidP="008B2E43">
      <w:pPr>
        <w:pStyle w:val="enumlev1"/>
      </w:pPr>
      <w:r>
        <w:rPr>
          <w:rFonts w:hint="cs"/>
          <w:rtl/>
        </w:rPr>
        <w:t>-</w:t>
      </w:r>
      <w:r>
        <w:tab/>
      </w:r>
      <w:r>
        <w:rPr>
          <w:rtl/>
        </w:rPr>
        <w:t>الأعمال الجارية في القطاعين الآخرين في الاتحاد</w:t>
      </w:r>
      <w:r>
        <w:t>.</w:t>
      </w:r>
    </w:p>
    <w:p w:rsidR="008B2E43" w:rsidRDefault="008B2E43" w:rsidP="008B2E43">
      <w:pPr>
        <w:pStyle w:val="Heading1"/>
        <w:rPr>
          <w:rtl/>
        </w:rPr>
      </w:pPr>
      <w:r w:rsidRPr="00797779">
        <w:t>10</w:t>
      </w:r>
      <w:r w:rsidRPr="00797779">
        <w:rPr>
          <w:rFonts w:hint="cs"/>
          <w:rtl/>
        </w:rPr>
        <w:tab/>
      </w:r>
      <w:r w:rsidRPr="00797779">
        <w:rPr>
          <w:rtl/>
        </w:rPr>
        <w:t>معلومات أخرى ذات صلة</w:t>
      </w:r>
    </w:p>
    <w:p w:rsidR="00C47824" w:rsidRDefault="00C47824">
      <w:bookmarkStart w:id="1" w:name="_GoBack"/>
      <w:bookmarkEnd w:id="1"/>
    </w:p>
    <w:sectPr w:rsidR="00C478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C6" w:rsidRDefault="000627C6" w:rsidP="008B2E43">
      <w:pPr>
        <w:spacing w:before="0" w:line="240" w:lineRule="auto"/>
      </w:pPr>
      <w:r>
        <w:separator/>
      </w:r>
    </w:p>
  </w:endnote>
  <w:endnote w:type="continuationSeparator" w:id="0">
    <w:p w:rsidR="000627C6" w:rsidRDefault="000627C6" w:rsidP="008B2E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C6" w:rsidRDefault="000627C6" w:rsidP="008B2E43">
      <w:pPr>
        <w:spacing w:before="0" w:line="240" w:lineRule="auto"/>
      </w:pPr>
      <w:r>
        <w:separator/>
      </w:r>
    </w:p>
  </w:footnote>
  <w:footnote w:type="continuationSeparator" w:id="0">
    <w:p w:rsidR="000627C6" w:rsidRDefault="000627C6" w:rsidP="008B2E43">
      <w:pPr>
        <w:spacing w:before="0" w:line="240" w:lineRule="auto"/>
      </w:pPr>
      <w:r>
        <w:continuationSeparator/>
      </w:r>
    </w:p>
  </w:footnote>
  <w:footnote w:id="1">
    <w:p w:rsidR="008B2E43" w:rsidRPr="00117E63" w:rsidRDefault="008B2E43" w:rsidP="008B2E43">
      <w:pPr>
        <w:pStyle w:val="FootnoteText"/>
        <w:spacing w:after="0"/>
        <w:rPr>
          <w:rtl/>
          <w:lang w:bidi="ar-SY"/>
        </w:rPr>
      </w:pPr>
      <w:r w:rsidRPr="006C09FF">
        <w:rPr>
          <w:rStyle w:val="FootnoteReference"/>
          <w:szCs w:val="20"/>
          <w:rtl/>
        </w:rPr>
        <w:t>1</w:t>
      </w:r>
      <w:r w:rsidRPr="00117E63">
        <w:rPr>
          <w:rFonts w:hint="cs"/>
          <w:rtl/>
        </w:rPr>
        <w:tab/>
        <w:t>ت</w:t>
      </w:r>
      <w:r w:rsidRPr="00117E63">
        <w:rPr>
          <w:rtl/>
        </w:rPr>
        <w:t>شمل أقل البلدان نمواً</w:t>
      </w:r>
      <w:r w:rsidRPr="00117E63">
        <w:rPr>
          <w:rFonts w:hint="cs"/>
          <w:rtl/>
        </w:rPr>
        <w:t> </w:t>
      </w:r>
      <w:r w:rsidRPr="00117E63">
        <w:t>(LDC)</w:t>
      </w:r>
      <w:r w:rsidRPr="00117E63">
        <w:rPr>
          <w:rtl/>
        </w:rPr>
        <w:t xml:space="preserve"> والدول الجُزُرية الصغيرة النامية</w:t>
      </w:r>
      <w:r w:rsidRPr="00117E63">
        <w:rPr>
          <w:rFonts w:hint="cs"/>
          <w:rtl/>
        </w:rPr>
        <w:t> </w:t>
      </w:r>
      <w:r w:rsidRPr="00117E63">
        <w:t>(SIDS)</w:t>
      </w:r>
      <w:r w:rsidRPr="00117E63">
        <w:rPr>
          <w:rtl/>
        </w:rPr>
        <w:t xml:space="preserve"> والبلدان النامية غير الساحلية</w:t>
      </w:r>
      <w:r w:rsidRPr="00117E63">
        <w:rPr>
          <w:rFonts w:hint="eastAsia"/>
          <w:rtl/>
        </w:rPr>
        <w:t> </w:t>
      </w:r>
      <w:r w:rsidRPr="00117E63">
        <w:t>(LLDC)</w:t>
      </w:r>
      <w:r w:rsidRPr="00117E63">
        <w:rPr>
          <w:rtl/>
        </w:rPr>
        <w:t xml:space="preserve"> والبلدان التي تمر اقتصاداتها بمرحلة انتقالية.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43"/>
    <w:rsid w:val="00011D19"/>
    <w:rsid w:val="000145E8"/>
    <w:rsid w:val="00050DB8"/>
    <w:rsid w:val="00056109"/>
    <w:rsid w:val="000627C6"/>
    <w:rsid w:val="000820F9"/>
    <w:rsid w:val="000A0C8B"/>
    <w:rsid w:val="000A548E"/>
    <w:rsid w:val="000F58E3"/>
    <w:rsid w:val="00111135"/>
    <w:rsid w:val="00135C60"/>
    <w:rsid w:val="001367CA"/>
    <w:rsid w:val="001976E8"/>
    <w:rsid w:val="001A636E"/>
    <w:rsid w:val="001B6C10"/>
    <w:rsid w:val="00200B77"/>
    <w:rsid w:val="00202B07"/>
    <w:rsid w:val="002752FB"/>
    <w:rsid w:val="002921BD"/>
    <w:rsid w:val="00295C83"/>
    <w:rsid w:val="002A3982"/>
    <w:rsid w:val="002A577C"/>
    <w:rsid w:val="002B105F"/>
    <w:rsid w:val="002B5516"/>
    <w:rsid w:val="002C1773"/>
    <w:rsid w:val="002D49C8"/>
    <w:rsid w:val="002E7AE4"/>
    <w:rsid w:val="003123F3"/>
    <w:rsid w:val="0033199B"/>
    <w:rsid w:val="003406CB"/>
    <w:rsid w:val="00357A3C"/>
    <w:rsid w:val="00367B76"/>
    <w:rsid w:val="00395D92"/>
    <w:rsid w:val="003B6C25"/>
    <w:rsid w:val="003C3CDC"/>
    <w:rsid w:val="003E4284"/>
    <w:rsid w:val="003F526C"/>
    <w:rsid w:val="00481256"/>
    <w:rsid w:val="004967DD"/>
    <w:rsid w:val="004B3517"/>
    <w:rsid w:val="004C2236"/>
    <w:rsid w:val="004C3165"/>
    <w:rsid w:val="004D29FC"/>
    <w:rsid w:val="004F7EC2"/>
    <w:rsid w:val="00502B05"/>
    <w:rsid w:val="00502B18"/>
    <w:rsid w:val="005108DD"/>
    <w:rsid w:val="00516704"/>
    <w:rsid w:val="005532A3"/>
    <w:rsid w:val="005618E1"/>
    <w:rsid w:val="00583400"/>
    <w:rsid w:val="005855C0"/>
    <w:rsid w:val="005D2515"/>
    <w:rsid w:val="005E09F6"/>
    <w:rsid w:val="00643EE8"/>
    <w:rsid w:val="006441EA"/>
    <w:rsid w:val="00656FD6"/>
    <w:rsid w:val="00660BF0"/>
    <w:rsid w:val="006629C6"/>
    <w:rsid w:val="0067629B"/>
    <w:rsid w:val="006B71B4"/>
    <w:rsid w:val="006F7E23"/>
    <w:rsid w:val="00721E17"/>
    <w:rsid w:val="00731F23"/>
    <w:rsid w:val="0073643D"/>
    <w:rsid w:val="00750E72"/>
    <w:rsid w:val="007971F8"/>
    <w:rsid w:val="007B20C7"/>
    <w:rsid w:val="007B6ECC"/>
    <w:rsid w:val="007F341D"/>
    <w:rsid w:val="00803FCE"/>
    <w:rsid w:val="0083715B"/>
    <w:rsid w:val="00841DA8"/>
    <w:rsid w:val="008441B6"/>
    <w:rsid w:val="00862127"/>
    <w:rsid w:val="008650A2"/>
    <w:rsid w:val="00897375"/>
    <w:rsid w:val="008A540C"/>
    <w:rsid w:val="008B2E43"/>
    <w:rsid w:val="008B64E5"/>
    <w:rsid w:val="008D20E2"/>
    <w:rsid w:val="008D5334"/>
    <w:rsid w:val="008E7F19"/>
    <w:rsid w:val="008F6F54"/>
    <w:rsid w:val="0092370B"/>
    <w:rsid w:val="009317DA"/>
    <w:rsid w:val="009418B0"/>
    <w:rsid w:val="00951072"/>
    <w:rsid w:val="00953E98"/>
    <w:rsid w:val="00971C83"/>
    <w:rsid w:val="009B1748"/>
    <w:rsid w:val="009B4B74"/>
    <w:rsid w:val="009E0276"/>
    <w:rsid w:val="009F2F81"/>
    <w:rsid w:val="009F69F6"/>
    <w:rsid w:val="00A246FA"/>
    <w:rsid w:val="00A3770C"/>
    <w:rsid w:val="00A5408C"/>
    <w:rsid w:val="00A614F6"/>
    <w:rsid w:val="00AD24A6"/>
    <w:rsid w:val="00B04FF7"/>
    <w:rsid w:val="00B16E6F"/>
    <w:rsid w:val="00B3406E"/>
    <w:rsid w:val="00B61044"/>
    <w:rsid w:val="00B66088"/>
    <w:rsid w:val="00B709EF"/>
    <w:rsid w:val="00BE58AB"/>
    <w:rsid w:val="00C3667C"/>
    <w:rsid w:val="00C47824"/>
    <w:rsid w:val="00C52650"/>
    <w:rsid w:val="00C66ECB"/>
    <w:rsid w:val="00C67D80"/>
    <w:rsid w:val="00C81F8B"/>
    <w:rsid w:val="00C9415B"/>
    <w:rsid w:val="00CC5571"/>
    <w:rsid w:val="00CF178A"/>
    <w:rsid w:val="00D13C04"/>
    <w:rsid w:val="00D34377"/>
    <w:rsid w:val="00D405B0"/>
    <w:rsid w:val="00D44D2D"/>
    <w:rsid w:val="00D51495"/>
    <w:rsid w:val="00D927D7"/>
    <w:rsid w:val="00DA5542"/>
    <w:rsid w:val="00DE129C"/>
    <w:rsid w:val="00DF30D3"/>
    <w:rsid w:val="00E07072"/>
    <w:rsid w:val="00E107C5"/>
    <w:rsid w:val="00E22DD0"/>
    <w:rsid w:val="00E427B2"/>
    <w:rsid w:val="00E71153"/>
    <w:rsid w:val="00EA0973"/>
    <w:rsid w:val="00EB7F47"/>
    <w:rsid w:val="00EC01AC"/>
    <w:rsid w:val="00ED27C7"/>
    <w:rsid w:val="00F01683"/>
    <w:rsid w:val="00F117A6"/>
    <w:rsid w:val="00F1235D"/>
    <w:rsid w:val="00F124D2"/>
    <w:rsid w:val="00F53834"/>
    <w:rsid w:val="00F63223"/>
    <w:rsid w:val="00F81560"/>
    <w:rsid w:val="00F818A6"/>
    <w:rsid w:val="00F84982"/>
    <w:rsid w:val="00F94149"/>
    <w:rsid w:val="00F95879"/>
    <w:rsid w:val="00FC0CC6"/>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E43"/>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8B2E43"/>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3">
    <w:name w:val="heading 3"/>
    <w:basedOn w:val="Normal"/>
    <w:next w:val="Normal"/>
    <w:link w:val="Heading3Char"/>
    <w:uiPriority w:val="9"/>
    <w:semiHidden/>
    <w:unhideWhenUsed/>
    <w:qFormat/>
    <w:rsid w:val="008B2E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8B2E43"/>
    <w:rPr>
      <w:rFonts w:ascii="Calibri" w:eastAsia="SimSun" w:hAnsi="Calibri" w:cs="Traditional Arabic"/>
      <w:b/>
      <w:bCs/>
      <w:sz w:val="26"/>
      <w:szCs w:val="36"/>
      <w:lang w:eastAsia="en-US" w:bidi="ar-EG"/>
    </w:rPr>
  </w:style>
  <w:style w:type="paragraph" w:customStyle="1" w:styleId="enumlev1">
    <w:name w:val="enumlev1"/>
    <w:basedOn w:val="Normal"/>
    <w:link w:val="enumlev1Char"/>
    <w:qFormat/>
    <w:rsid w:val="008B2E43"/>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8B2E43"/>
    <w:rPr>
      <w:rFonts w:ascii="Calibri" w:eastAsia="SimSun" w:hAnsi="Calibri" w:cs="Traditional Arabic"/>
      <w:szCs w:val="30"/>
    </w:rPr>
  </w:style>
  <w:style w:type="paragraph" w:customStyle="1" w:styleId="enumlev2">
    <w:name w:val="enumlev2"/>
    <w:link w:val="enumlev2Char"/>
    <w:qFormat/>
    <w:rsid w:val="008B2E43"/>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8B2E43"/>
    <w:rPr>
      <w:rFonts w:ascii="Calibri" w:eastAsia="SimSun" w:hAnsi="Calibri" w:cs="Traditional Arabic"/>
      <w:szCs w:val="30"/>
      <w:lang w:bidi="ar-SY"/>
    </w:rPr>
  </w:style>
  <w:style w:type="paragraph" w:customStyle="1" w:styleId="enumlev3">
    <w:name w:val="enumlev3"/>
    <w:link w:val="enumlev3Char"/>
    <w:qFormat/>
    <w:rsid w:val="008B2E43"/>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8B2E43"/>
    <w:rPr>
      <w:rFonts w:ascii="Calibri" w:eastAsia="SimSun" w:hAnsi="Calibri" w:cs="Traditional Arabic"/>
      <w:szCs w:val="30"/>
      <w:lang w:bidi="ar-SY"/>
    </w:rPr>
  </w:style>
  <w:style w:type="paragraph" w:customStyle="1" w:styleId="headingbcolor">
    <w:name w:val="heading_bcolor"/>
    <w:basedOn w:val="Heading3"/>
    <w:next w:val="Normal"/>
    <w:link w:val="headingbcolorChar"/>
    <w:qFormat/>
    <w:rsid w:val="008B2E43"/>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8B2E43"/>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8B2E43"/>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8B2E43"/>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8B2E43"/>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8B2E43"/>
    <w:rPr>
      <w:rFonts w:ascii="Calibri" w:eastAsia="SimSun" w:hAnsi="Calibri" w:cs="Traditional Arabic"/>
      <w:sz w:val="20"/>
      <w:szCs w:val="26"/>
      <w:lang w:bidi="ar-EG"/>
    </w:rPr>
  </w:style>
  <w:style w:type="paragraph" w:customStyle="1" w:styleId="Tabletext">
    <w:name w:val="Table_text"/>
    <w:basedOn w:val="Normal"/>
    <w:link w:val="TabletextChar"/>
    <w:qFormat/>
    <w:rsid w:val="008B2E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left"/>
      <w:textAlignment w:val="baseline"/>
    </w:pPr>
    <w:rPr>
      <w:rFonts w:ascii="Times New Roman" w:eastAsia="Times New Roman" w:hAnsi="Times New Roman"/>
      <w:szCs w:val="20"/>
      <w:lang w:val="en-GB" w:eastAsia="en-US"/>
    </w:rPr>
  </w:style>
  <w:style w:type="paragraph" w:customStyle="1" w:styleId="Tablehead">
    <w:name w:val="Table_head"/>
    <w:basedOn w:val="Tabletext"/>
    <w:next w:val="Tabletext"/>
    <w:qFormat/>
    <w:rsid w:val="008B2E43"/>
    <w:pPr>
      <w:keepNext/>
      <w:spacing w:before="80" w:after="80"/>
      <w:jc w:val="center"/>
    </w:pPr>
    <w:rPr>
      <w:b/>
    </w:rPr>
  </w:style>
  <w:style w:type="character" w:customStyle="1" w:styleId="headingbcolorChar">
    <w:name w:val="heading_bcolor Char"/>
    <w:link w:val="headingbcolor"/>
    <w:locked/>
    <w:rsid w:val="008B2E43"/>
    <w:rPr>
      <w:rFonts w:ascii="Calibri" w:eastAsia="SimSun" w:hAnsi="Calibri" w:cs="Traditional Arabic"/>
      <w:b/>
      <w:bCs/>
      <w:position w:val="2"/>
      <w:sz w:val="24"/>
      <w:szCs w:val="32"/>
      <w:lang w:bidi="ar-EG"/>
    </w:rPr>
  </w:style>
  <w:style w:type="character" w:customStyle="1" w:styleId="TabletextChar">
    <w:name w:val="Table_text Char"/>
    <w:link w:val="Tabletext"/>
    <w:locked/>
    <w:rsid w:val="008B2E43"/>
    <w:rPr>
      <w:rFonts w:ascii="Times New Roman" w:eastAsia="Times New Roman" w:hAnsi="Times New Roman" w:cs="Traditional Arabic"/>
      <w:szCs w:val="20"/>
      <w:lang w:val="en-GB" w:eastAsia="en-US"/>
    </w:rPr>
  </w:style>
  <w:style w:type="character" w:customStyle="1" w:styleId="Heading3Char">
    <w:name w:val="Heading 3 Char"/>
    <w:basedOn w:val="DefaultParagraphFont"/>
    <w:link w:val="Heading3"/>
    <w:uiPriority w:val="9"/>
    <w:semiHidden/>
    <w:rsid w:val="008B2E43"/>
    <w:rPr>
      <w:rFonts w:asciiTheme="majorHAnsi" w:eastAsiaTheme="majorEastAsia" w:hAnsiTheme="majorHAnsi" w:cstheme="majorBidi"/>
      <w:b/>
      <w:bCs/>
      <w:color w:val="4F81BD" w:themeColor="accent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E43"/>
    <w:pPr>
      <w:bidi/>
      <w:spacing w:before="120" w:after="0" w:line="192" w:lineRule="auto"/>
      <w:jc w:val="both"/>
    </w:pPr>
    <w:rPr>
      <w:rFonts w:ascii="Calibri" w:eastAsia="SimSun" w:hAnsi="Calibri" w:cs="Traditional Arabic"/>
      <w:szCs w:val="30"/>
    </w:rPr>
  </w:style>
  <w:style w:type="paragraph" w:styleId="Heading1">
    <w:name w:val="heading 1"/>
    <w:aliases w:val="heading_1color"/>
    <w:next w:val="Normal"/>
    <w:link w:val="Heading1Char"/>
    <w:qFormat/>
    <w:rsid w:val="008B2E43"/>
    <w:pPr>
      <w:keepNext/>
      <w:keepLines/>
      <w:bidi/>
      <w:spacing w:before="360" w:after="0" w:line="192" w:lineRule="auto"/>
      <w:ind w:left="794" w:hanging="794"/>
      <w:jc w:val="both"/>
      <w:outlineLvl w:val="0"/>
    </w:pPr>
    <w:rPr>
      <w:rFonts w:ascii="Calibri" w:eastAsia="SimSun" w:hAnsi="Calibri" w:cs="Traditional Arabic"/>
      <w:b/>
      <w:bCs/>
      <w:sz w:val="26"/>
      <w:szCs w:val="36"/>
      <w:lang w:eastAsia="en-US" w:bidi="ar-EG"/>
    </w:rPr>
  </w:style>
  <w:style w:type="paragraph" w:styleId="Heading3">
    <w:name w:val="heading 3"/>
    <w:basedOn w:val="Normal"/>
    <w:next w:val="Normal"/>
    <w:link w:val="Heading3Char"/>
    <w:uiPriority w:val="9"/>
    <w:semiHidden/>
    <w:unhideWhenUsed/>
    <w:qFormat/>
    <w:rsid w:val="008B2E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color Char"/>
    <w:basedOn w:val="DefaultParagraphFont"/>
    <w:link w:val="Heading1"/>
    <w:rsid w:val="008B2E43"/>
    <w:rPr>
      <w:rFonts w:ascii="Calibri" w:eastAsia="SimSun" w:hAnsi="Calibri" w:cs="Traditional Arabic"/>
      <w:b/>
      <w:bCs/>
      <w:sz w:val="26"/>
      <w:szCs w:val="36"/>
      <w:lang w:eastAsia="en-US" w:bidi="ar-EG"/>
    </w:rPr>
  </w:style>
  <w:style w:type="paragraph" w:customStyle="1" w:styleId="enumlev1">
    <w:name w:val="enumlev1"/>
    <w:basedOn w:val="Normal"/>
    <w:link w:val="enumlev1Char"/>
    <w:qFormat/>
    <w:rsid w:val="008B2E43"/>
    <w:pPr>
      <w:tabs>
        <w:tab w:val="left" w:pos="720"/>
      </w:tabs>
      <w:overflowPunct w:val="0"/>
      <w:autoSpaceDE w:val="0"/>
      <w:autoSpaceDN w:val="0"/>
      <w:adjustRightInd w:val="0"/>
      <w:spacing w:before="80"/>
      <w:ind w:left="720" w:hanging="720"/>
      <w:textAlignment w:val="baseline"/>
    </w:pPr>
  </w:style>
  <w:style w:type="character" w:customStyle="1" w:styleId="enumlev1Char">
    <w:name w:val="enumlev1 Char"/>
    <w:link w:val="enumlev1"/>
    <w:rsid w:val="008B2E43"/>
    <w:rPr>
      <w:rFonts w:ascii="Calibri" w:eastAsia="SimSun" w:hAnsi="Calibri" w:cs="Traditional Arabic"/>
      <w:szCs w:val="30"/>
    </w:rPr>
  </w:style>
  <w:style w:type="paragraph" w:customStyle="1" w:styleId="enumlev2">
    <w:name w:val="enumlev2"/>
    <w:link w:val="enumlev2Char"/>
    <w:qFormat/>
    <w:rsid w:val="008B2E43"/>
    <w:pPr>
      <w:bidi/>
      <w:spacing w:before="80" w:after="0" w:line="192" w:lineRule="auto"/>
      <w:ind w:left="1321" w:hanging="590"/>
      <w:jc w:val="both"/>
    </w:pPr>
    <w:rPr>
      <w:rFonts w:ascii="Calibri" w:eastAsia="SimSun" w:hAnsi="Calibri" w:cs="Traditional Arabic"/>
      <w:szCs w:val="30"/>
      <w:lang w:bidi="ar-SY"/>
    </w:rPr>
  </w:style>
  <w:style w:type="character" w:customStyle="1" w:styleId="enumlev2Char">
    <w:name w:val="enumlev2 Char"/>
    <w:link w:val="enumlev2"/>
    <w:rsid w:val="008B2E43"/>
    <w:rPr>
      <w:rFonts w:ascii="Calibri" w:eastAsia="SimSun" w:hAnsi="Calibri" w:cs="Traditional Arabic"/>
      <w:szCs w:val="30"/>
      <w:lang w:bidi="ar-SY"/>
    </w:rPr>
  </w:style>
  <w:style w:type="paragraph" w:customStyle="1" w:styleId="enumlev3">
    <w:name w:val="enumlev3"/>
    <w:link w:val="enumlev3Char"/>
    <w:qFormat/>
    <w:rsid w:val="008B2E43"/>
    <w:pPr>
      <w:bidi/>
      <w:spacing w:before="80" w:after="0" w:line="192" w:lineRule="auto"/>
      <w:ind w:left="1892" w:hanging="567"/>
      <w:jc w:val="both"/>
    </w:pPr>
    <w:rPr>
      <w:rFonts w:ascii="Calibri" w:eastAsia="SimSun" w:hAnsi="Calibri" w:cs="Traditional Arabic"/>
      <w:szCs w:val="30"/>
      <w:lang w:bidi="ar-SY"/>
    </w:rPr>
  </w:style>
  <w:style w:type="character" w:customStyle="1" w:styleId="enumlev3Char">
    <w:name w:val="enumlev3 Char"/>
    <w:link w:val="enumlev3"/>
    <w:rsid w:val="008B2E43"/>
    <w:rPr>
      <w:rFonts w:ascii="Calibri" w:eastAsia="SimSun" w:hAnsi="Calibri" w:cs="Traditional Arabic"/>
      <w:szCs w:val="30"/>
      <w:lang w:bidi="ar-SY"/>
    </w:rPr>
  </w:style>
  <w:style w:type="paragraph" w:customStyle="1" w:styleId="headingbcolor">
    <w:name w:val="heading_bcolor"/>
    <w:basedOn w:val="Heading3"/>
    <w:next w:val="Normal"/>
    <w:link w:val="headingbcolorChar"/>
    <w:qFormat/>
    <w:rsid w:val="008B2E43"/>
    <w:pPr>
      <w:tabs>
        <w:tab w:val="left" w:pos="794"/>
      </w:tabs>
      <w:overflowPunct w:val="0"/>
      <w:autoSpaceDE w:val="0"/>
      <w:autoSpaceDN w:val="0"/>
      <w:adjustRightInd w:val="0"/>
      <w:spacing w:before="240"/>
      <w:textAlignment w:val="baseline"/>
      <w:outlineLvl w:val="0"/>
    </w:pPr>
    <w:rPr>
      <w:rFonts w:ascii="Calibri" w:eastAsia="SimSun" w:hAnsi="Calibri" w:cs="Traditional Arabic"/>
      <w:color w:val="auto"/>
      <w:position w:val="2"/>
      <w:sz w:val="24"/>
      <w:szCs w:val="32"/>
      <w:lang w:bidi="ar-EG"/>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uiPriority w:val="99"/>
    <w:unhideWhenUsed/>
    <w:qFormat/>
    <w:rsid w:val="008B2E43"/>
    <w:rPr>
      <w:rFonts w:ascii="Calibri" w:hAnsi="Calibri" w:cs="Calibri"/>
      <w:b w:val="0"/>
      <w:bCs w:val="0"/>
      <w:i w:val="0"/>
      <w:iCs w:val="0"/>
      <w:caps w:val="0"/>
      <w:smallCaps w:val="0"/>
      <w:strike w:val="0"/>
      <w:dstrike w:val="0"/>
      <w:vanish w:val="0"/>
      <w:color w:val="000000"/>
      <w:spacing w:val="0"/>
      <w:w w:val="100"/>
      <w:position w:val="6"/>
      <w:sz w:val="18"/>
      <w:szCs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QuestionNo">
    <w:name w:val="Question_No"/>
    <w:basedOn w:val="Normal"/>
    <w:qFormat/>
    <w:rsid w:val="008B2E43"/>
    <w:pPr>
      <w:keepNext/>
      <w:keepLines/>
      <w:pageBreakBefore/>
      <w:overflowPunct w:val="0"/>
      <w:autoSpaceDE w:val="0"/>
      <w:autoSpaceDN w:val="0"/>
      <w:adjustRightInd w:val="0"/>
      <w:spacing w:before="360" w:after="120"/>
      <w:jc w:val="center"/>
      <w:textAlignment w:val="baseline"/>
    </w:pPr>
    <w:rPr>
      <w:rFonts w:eastAsia="Times New Roman"/>
      <w:sz w:val="26"/>
      <w:szCs w:val="36"/>
    </w:rPr>
  </w:style>
  <w:style w:type="paragraph" w:customStyle="1" w:styleId="Questiontitle">
    <w:name w:val="Question_title"/>
    <w:basedOn w:val="Normal"/>
    <w:qFormat/>
    <w:rsid w:val="008B2E43"/>
    <w:pPr>
      <w:keepNext/>
      <w:keepLines/>
      <w:overflowPunct w:val="0"/>
      <w:autoSpaceDE w:val="0"/>
      <w:autoSpaceDN w:val="0"/>
      <w:adjustRightInd w:val="0"/>
      <w:spacing w:before="240" w:after="360"/>
      <w:jc w:val="center"/>
      <w:textAlignment w:val="baseline"/>
    </w:pPr>
    <w:rPr>
      <w:b/>
      <w:bCs/>
      <w:sz w:val="28"/>
      <w:szCs w:val="40"/>
    </w:rPr>
  </w:style>
  <w:style w:type="paragraph" w:styleId="FootnoteText">
    <w:name w:val="footnote text"/>
    <w:basedOn w:val="Normal"/>
    <w:link w:val="FootnoteTextChar"/>
    <w:uiPriority w:val="99"/>
    <w:unhideWhenUsed/>
    <w:qFormat/>
    <w:rsid w:val="008B2E43"/>
    <w:pPr>
      <w:tabs>
        <w:tab w:val="left" w:pos="284"/>
        <w:tab w:val="left" w:pos="397"/>
      </w:tabs>
      <w:overflowPunct w:val="0"/>
      <w:autoSpaceDE w:val="0"/>
      <w:autoSpaceDN w:val="0"/>
      <w:adjustRightInd w:val="0"/>
      <w:spacing w:before="60" w:after="120" w:line="168" w:lineRule="auto"/>
      <w:ind w:left="284" w:hanging="284"/>
      <w:textAlignment w:val="baseline"/>
    </w:pPr>
    <w:rPr>
      <w:sz w:val="20"/>
      <w:szCs w:val="26"/>
      <w:lang w:bidi="ar-EG"/>
    </w:rPr>
  </w:style>
  <w:style w:type="character" w:customStyle="1" w:styleId="FootnoteTextChar">
    <w:name w:val="Footnote Text Char"/>
    <w:basedOn w:val="DefaultParagraphFont"/>
    <w:link w:val="FootnoteText"/>
    <w:uiPriority w:val="99"/>
    <w:rsid w:val="008B2E43"/>
    <w:rPr>
      <w:rFonts w:ascii="Calibri" w:eastAsia="SimSun" w:hAnsi="Calibri" w:cs="Traditional Arabic"/>
      <w:sz w:val="20"/>
      <w:szCs w:val="26"/>
      <w:lang w:bidi="ar-EG"/>
    </w:rPr>
  </w:style>
  <w:style w:type="paragraph" w:customStyle="1" w:styleId="Tabletext">
    <w:name w:val="Table_text"/>
    <w:basedOn w:val="Normal"/>
    <w:link w:val="TabletextChar"/>
    <w:qFormat/>
    <w:rsid w:val="008B2E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left"/>
      <w:textAlignment w:val="baseline"/>
    </w:pPr>
    <w:rPr>
      <w:rFonts w:ascii="Times New Roman" w:eastAsia="Times New Roman" w:hAnsi="Times New Roman"/>
      <w:szCs w:val="20"/>
      <w:lang w:val="en-GB" w:eastAsia="en-US"/>
    </w:rPr>
  </w:style>
  <w:style w:type="paragraph" w:customStyle="1" w:styleId="Tablehead">
    <w:name w:val="Table_head"/>
    <w:basedOn w:val="Tabletext"/>
    <w:next w:val="Tabletext"/>
    <w:qFormat/>
    <w:rsid w:val="008B2E43"/>
    <w:pPr>
      <w:keepNext/>
      <w:spacing w:before="80" w:after="80"/>
      <w:jc w:val="center"/>
    </w:pPr>
    <w:rPr>
      <w:b/>
    </w:rPr>
  </w:style>
  <w:style w:type="character" w:customStyle="1" w:styleId="headingbcolorChar">
    <w:name w:val="heading_bcolor Char"/>
    <w:link w:val="headingbcolor"/>
    <w:locked/>
    <w:rsid w:val="008B2E43"/>
    <w:rPr>
      <w:rFonts w:ascii="Calibri" w:eastAsia="SimSun" w:hAnsi="Calibri" w:cs="Traditional Arabic"/>
      <w:b/>
      <w:bCs/>
      <w:position w:val="2"/>
      <w:sz w:val="24"/>
      <w:szCs w:val="32"/>
      <w:lang w:bidi="ar-EG"/>
    </w:rPr>
  </w:style>
  <w:style w:type="character" w:customStyle="1" w:styleId="TabletextChar">
    <w:name w:val="Table_text Char"/>
    <w:link w:val="Tabletext"/>
    <w:locked/>
    <w:rsid w:val="008B2E43"/>
    <w:rPr>
      <w:rFonts w:ascii="Times New Roman" w:eastAsia="Times New Roman" w:hAnsi="Times New Roman" w:cs="Traditional Arabic"/>
      <w:szCs w:val="20"/>
      <w:lang w:val="en-GB" w:eastAsia="en-US"/>
    </w:rPr>
  </w:style>
  <w:style w:type="character" w:customStyle="1" w:styleId="Heading3Char">
    <w:name w:val="Heading 3 Char"/>
    <w:basedOn w:val="DefaultParagraphFont"/>
    <w:link w:val="Heading3"/>
    <w:uiPriority w:val="9"/>
    <w:semiHidden/>
    <w:rsid w:val="008B2E43"/>
    <w:rPr>
      <w:rFonts w:asciiTheme="majorHAnsi" w:eastAsiaTheme="majorEastAsia" w:hAnsiTheme="majorHAnsi" w:cstheme="majorBidi"/>
      <w:b/>
      <w:bCs/>
      <w:color w:val="4F81BD" w:themeColor="accent1"/>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Fahima</dc:creator>
  <cp:lastModifiedBy>Mohamed, Fahima </cp:lastModifiedBy>
  <cp:revision>1</cp:revision>
  <dcterms:created xsi:type="dcterms:W3CDTF">2014-08-19T08:43:00Z</dcterms:created>
  <dcterms:modified xsi:type="dcterms:W3CDTF">2014-08-19T08:43:00Z</dcterms:modified>
</cp:coreProperties>
</file>