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16" w:rsidRPr="00226B91" w:rsidRDefault="007E0416" w:rsidP="007E0416">
      <w:pPr>
        <w:pStyle w:val="QuestionNo"/>
        <w:rPr>
          <w:lang w:val="ru-RU"/>
        </w:rPr>
      </w:pPr>
      <w:bookmarkStart w:id="0" w:name="_Toc393899670"/>
      <w:r w:rsidRPr="00226B91">
        <w:rPr>
          <w:lang w:val="ru-RU"/>
        </w:rPr>
        <w:t>Вопрос 8/2</w:t>
      </w:r>
      <w:bookmarkEnd w:id="0"/>
    </w:p>
    <w:p w:rsidR="007E0416" w:rsidRPr="00226B91" w:rsidRDefault="007E0416" w:rsidP="007E0416">
      <w:pPr>
        <w:pStyle w:val="Questiontitle"/>
        <w:rPr>
          <w:lang w:val="ru-RU"/>
        </w:rPr>
      </w:pPr>
      <w:r w:rsidRPr="00226B91">
        <w:rPr>
          <w:lang w:val="ru-RU"/>
        </w:rPr>
        <w:t>Стратегии и политика, направленные на надлежащие утилизацию или повторное использование отходов, связанных с электросвязью/ИКТ</w:t>
      </w:r>
    </w:p>
    <w:p w:rsidR="007E0416" w:rsidRPr="00226B91" w:rsidRDefault="007E0416" w:rsidP="007E0416">
      <w:pPr>
        <w:pStyle w:val="Heading1"/>
        <w:rPr>
          <w:lang w:val="ru-RU"/>
        </w:rPr>
      </w:pPr>
      <w:r w:rsidRPr="00226B91">
        <w:rPr>
          <w:lang w:val="ru-RU"/>
        </w:rPr>
        <w:t>1</w:t>
      </w:r>
      <w:r w:rsidRPr="00226B91">
        <w:rPr>
          <w:lang w:val="ru-RU"/>
        </w:rPr>
        <w:tab/>
        <w:t>Изложение ситуации или проблемы</w:t>
      </w:r>
    </w:p>
    <w:p w:rsidR="007E0416" w:rsidRPr="00226B91" w:rsidRDefault="007E0416" w:rsidP="007E0416">
      <w:pPr>
        <w:rPr>
          <w:highlight w:val="yellow"/>
          <w:lang w:val="ru-RU"/>
        </w:rPr>
      </w:pPr>
      <w:r w:rsidRPr="00226B91">
        <w:rPr>
          <w:lang w:val="ru-RU"/>
        </w:rPr>
        <w:t xml:space="preserve">В последние годы наблюдается экспоненциальный рост электросвязи/ИКТ, в особенности в развивающихся странах. Например, в период с 2002 по 2007 год проникновение мобильных телефонов в регионе Северной и Южной Америки возросло с 19 до 70 терминалов на 100 жителей. Во всем мире за тот же самый период доля контрактов на использование мобильных телефонов в развивающихся странах увеличилась на 20 процентных пунктов </w:t>
      </w:r>
      <w:r w:rsidRPr="00226B91">
        <w:rPr>
          <w:szCs w:val="22"/>
          <w:lang w:val="ru-RU"/>
        </w:rPr>
        <w:sym w:font="Symbol" w:char="F02D"/>
      </w:r>
      <w:r w:rsidRPr="00226B91">
        <w:rPr>
          <w:lang w:val="ru-RU"/>
        </w:rPr>
        <w:t xml:space="preserve"> с 44% до 64%.</w:t>
      </w:r>
    </w:p>
    <w:p w:rsidR="007E0416" w:rsidRPr="00226B91" w:rsidRDefault="007E0416" w:rsidP="007E0416">
      <w:pPr>
        <w:rPr>
          <w:lang w:val="ru-RU"/>
        </w:rPr>
      </w:pPr>
      <w:r w:rsidRPr="00226B91">
        <w:rPr>
          <w:lang w:val="ru-RU"/>
        </w:rPr>
        <w:t xml:space="preserve">Увеличение количества электрического и электронного оборудования и относящихся к нему периферийных устройств, а также непрерывное совершенствование технологий привело к росту отходов, связанных с электросвязью/ИКТ, которым нельзя пренебречь. Согласно оценкам, каждый год во всем мире создается от 20 до 50 миллионов тонн отходов, связанных с электросвязью/ИКТ. Однако уровень обеспечения переработки и надежной утилизации отходов, связанных с электросвязью/ИКТ, является низким, что затрудняет даже количественную оценку данной проблемы на региональном уровне. </w:t>
      </w:r>
    </w:p>
    <w:p w:rsidR="007E0416" w:rsidRPr="00226B91" w:rsidRDefault="007E0416" w:rsidP="007E0416">
      <w:pPr>
        <w:rPr>
          <w:lang w:val="ru-RU"/>
        </w:rPr>
      </w:pPr>
      <w:r w:rsidRPr="00226B91">
        <w:rPr>
          <w:lang w:val="ru-RU"/>
        </w:rPr>
        <w:t>В результате того что не обеспечивается надлежащая переработка или утилизация, возникают крупные экологические проблемы, в особенности в развивающихся странах.</w:t>
      </w:r>
    </w:p>
    <w:p w:rsidR="007E0416" w:rsidRPr="00226B91" w:rsidRDefault="007E0416" w:rsidP="007E0416">
      <w:pPr>
        <w:rPr>
          <w:lang w:val="ru-RU"/>
        </w:rPr>
      </w:pPr>
      <w:r w:rsidRPr="00226B91">
        <w:rPr>
          <w:lang w:val="ru-RU"/>
        </w:rPr>
        <w:t xml:space="preserve">Экспоненциальный рост терминалов электросвязи/ИКТ, сопровождающийся их высокой обновляемостью, а также развитие технологий обусловливают настоятельную необходимость ускоренного принятия в ближайшем будущем мер по предотвращению экологической катастрофы, которая произойдет в развивающихся странах, если не будет создана соответствующая система регулирования и не будет выработана политика, направленная на решение этой проблемы. </w:t>
      </w:r>
    </w:p>
    <w:p w:rsidR="007E0416" w:rsidRPr="00226B91" w:rsidRDefault="007E0416" w:rsidP="007E0416">
      <w:pPr>
        <w:pStyle w:val="Heading1"/>
        <w:rPr>
          <w:lang w:val="ru-RU"/>
        </w:rPr>
      </w:pPr>
      <w:r w:rsidRPr="00226B91">
        <w:rPr>
          <w:lang w:val="ru-RU"/>
        </w:rPr>
        <w:t>2</w:t>
      </w:r>
      <w:r w:rsidRPr="00226B91">
        <w:rPr>
          <w:lang w:val="ru-RU"/>
        </w:rPr>
        <w:tab/>
        <w:t xml:space="preserve">Вопрос или </w:t>
      </w:r>
      <w:r>
        <w:rPr>
          <w:lang w:val="ru-RU"/>
        </w:rPr>
        <w:t>предмет</w:t>
      </w:r>
      <w:r w:rsidRPr="00226B91">
        <w:rPr>
          <w:lang w:val="ru-RU"/>
        </w:rPr>
        <w:t xml:space="preserve"> для исследования</w:t>
      </w:r>
    </w:p>
    <w:p w:rsidR="007E0416" w:rsidRPr="00226B91" w:rsidRDefault="007E0416" w:rsidP="007E0416">
      <w:pPr>
        <w:rPr>
          <w:lang w:val="ru-RU"/>
        </w:rPr>
      </w:pPr>
      <w:r w:rsidRPr="00226B91">
        <w:rPr>
          <w:lang w:val="ru-RU"/>
        </w:rPr>
        <w:t>Стратегии развития ответственного подхода к проблеме отходов, связанных с электросвязью/ИКТ, и их комплексной обработки: меры в области политики и регулирования, которые требуется принять в развивающихся странах в тесном сотрудничестве с 5-й Исследовательской комиссией МСЭ-Т.</w:t>
      </w:r>
    </w:p>
    <w:p w:rsidR="007E0416" w:rsidRPr="00226B91" w:rsidRDefault="007E0416" w:rsidP="007E0416">
      <w:pPr>
        <w:pStyle w:val="Heading1"/>
        <w:rPr>
          <w:lang w:val="ru-RU"/>
        </w:rPr>
      </w:pPr>
      <w:r w:rsidRPr="00226B91">
        <w:rPr>
          <w:lang w:val="ru-RU"/>
        </w:rPr>
        <w:t>3</w:t>
      </w:r>
      <w:r w:rsidRPr="00226B91">
        <w:rPr>
          <w:lang w:val="ru-RU"/>
        </w:rPr>
        <w:tab/>
        <w:t>Ожидаемые результаты</w:t>
      </w:r>
    </w:p>
    <w:p w:rsidR="007E0416" w:rsidRPr="00226B91" w:rsidRDefault="007E0416" w:rsidP="007E0416">
      <w:pPr>
        <w:rPr>
          <w:highlight w:val="yellow"/>
          <w:lang w:val="ru-RU"/>
        </w:rPr>
      </w:pPr>
      <w:r w:rsidRPr="00226B91">
        <w:rPr>
          <w:lang w:val="ru-RU"/>
        </w:rPr>
        <w:t>Ожидаемые итоговые результаты заключаются в представлении отчета, содержащего рекомендации и меры, которые должны быть приняты развивающимися странами, для того чтобы внедрить всеобъемлющую систему удаления отходов, связанных с электросвязью/ИКТ.</w:t>
      </w:r>
    </w:p>
    <w:p w:rsidR="007E0416" w:rsidRPr="00226B91" w:rsidRDefault="007E0416" w:rsidP="007E0416">
      <w:pPr>
        <w:rPr>
          <w:lang w:val="ru-RU"/>
        </w:rPr>
      </w:pPr>
      <w:r w:rsidRPr="00226B91">
        <w:rPr>
          <w:lang w:val="ru-RU"/>
        </w:rPr>
        <w:t>Данный итоговый отчет должен содержать техническую классификацию электронных отходов, связанных с электросвязью/ИКТ, рекомендации в отношении политики, а также предложения регуляторного характера, экономические модели и методы финансирования, предназначенные для развивающихся стран.</w:t>
      </w:r>
    </w:p>
    <w:p w:rsidR="007E0416" w:rsidRPr="00226B91" w:rsidRDefault="007E0416" w:rsidP="007E0416">
      <w:pPr>
        <w:pStyle w:val="Heading1"/>
        <w:rPr>
          <w:lang w:val="ru-RU"/>
        </w:rPr>
      </w:pPr>
      <w:r w:rsidRPr="00226B91">
        <w:rPr>
          <w:lang w:val="ru-RU"/>
        </w:rPr>
        <w:lastRenderedPageBreak/>
        <w:t>4</w:t>
      </w:r>
      <w:r w:rsidRPr="00226B91">
        <w:rPr>
          <w:lang w:val="ru-RU"/>
        </w:rPr>
        <w:tab/>
        <w:t>График</w:t>
      </w:r>
    </w:p>
    <w:p w:rsidR="007E0416" w:rsidRPr="00226B91" w:rsidRDefault="007E0416" w:rsidP="007E0416">
      <w:pPr>
        <w:rPr>
          <w:lang w:val="ru-RU"/>
        </w:rPr>
      </w:pPr>
      <w:r w:rsidRPr="00226B91">
        <w:rPr>
          <w:lang w:val="ru-RU"/>
        </w:rPr>
        <w:t>Четыре года с представлением промежуточного отчета к 2016 году и итогового отчета к 2018 году.</w:t>
      </w:r>
    </w:p>
    <w:p w:rsidR="007E0416" w:rsidRPr="00226B91" w:rsidRDefault="007E0416" w:rsidP="007E0416">
      <w:pPr>
        <w:pStyle w:val="Heading1"/>
        <w:rPr>
          <w:lang w:val="ru-RU"/>
        </w:rPr>
      </w:pPr>
      <w:r w:rsidRPr="00226B91">
        <w:rPr>
          <w:lang w:val="ru-RU"/>
        </w:rPr>
        <w:t>5</w:t>
      </w:r>
      <w:r w:rsidRPr="00226B91">
        <w:rPr>
          <w:lang w:val="ru-RU"/>
        </w:rPr>
        <w:tab/>
        <w:t>Авторы предложения/спонсоры</w:t>
      </w:r>
    </w:p>
    <w:p w:rsidR="007E0416" w:rsidRPr="00226B91" w:rsidRDefault="007E0416" w:rsidP="007E0416">
      <w:pPr>
        <w:rPr>
          <w:lang w:val="ru-RU"/>
        </w:rPr>
      </w:pPr>
      <w:r w:rsidRPr="00226B91">
        <w:rPr>
          <w:lang w:val="ru-RU"/>
        </w:rPr>
        <w:t>Участники Специальной группы Комитета 3 ВКРЭ-14 по Задаче 5.</w:t>
      </w:r>
    </w:p>
    <w:p w:rsidR="007E0416" w:rsidRPr="00226B91" w:rsidRDefault="007E0416" w:rsidP="007E0416">
      <w:pPr>
        <w:pStyle w:val="Heading1"/>
        <w:rPr>
          <w:lang w:val="ru-RU"/>
        </w:rPr>
      </w:pPr>
      <w:r w:rsidRPr="00226B91">
        <w:rPr>
          <w:lang w:val="ru-RU"/>
        </w:rPr>
        <w:t>6</w:t>
      </w:r>
      <w:r w:rsidRPr="00226B91">
        <w:rPr>
          <w:lang w:val="ru-RU"/>
        </w:rPr>
        <w:tab/>
        <w:t xml:space="preserve">Источники используемых в работе материалов </w:t>
      </w:r>
    </w:p>
    <w:p w:rsidR="007E0416" w:rsidRPr="00226B91" w:rsidRDefault="007E0416" w:rsidP="007E0416">
      <w:pPr>
        <w:pStyle w:val="enumlev1"/>
        <w:rPr>
          <w:lang w:val="ru-RU"/>
        </w:rPr>
      </w:pPr>
      <w:r w:rsidRPr="00226B91">
        <w:rPr>
          <w:lang w:val="ru-RU"/>
        </w:rPr>
        <w:t>−</w:t>
      </w:r>
      <w:r w:rsidRPr="00226B91">
        <w:rPr>
          <w:lang w:val="ru-RU"/>
        </w:rPr>
        <w:tab/>
        <w:t>Государства-Члены.</w:t>
      </w:r>
    </w:p>
    <w:p w:rsidR="007E0416" w:rsidRPr="00226B91" w:rsidRDefault="007E0416" w:rsidP="007E0416">
      <w:pPr>
        <w:pStyle w:val="enumlev1"/>
        <w:rPr>
          <w:lang w:val="ru-RU"/>
        </w:rPr>
      </w:pPr>
      <w:r w:rsidRPr="00226B91">
        <w:rPr>
          <w:lang w:val="ru-RU"/>
        </w:rPr>
        <w:t>−</w:t>
      </w:r>
      <w:r w:rsidRPr="00226B91">
        <w:rPr>
          <w:lang w:val="ru-RU"/>
        </w:rPr>
        <w:tab/>
        <w:t xml:space="preserve">Члены Сектора. </w:t>
      </w:r>
    </w:p>
    <w:p w:rsidR="007E0416" w:rsidRPr="00226B91" w:rsidRDefault="007E0416" w:rsidP="007E0416">
      <w:pPr>
        <w:pStyle w:val="enumlev1"/>
        <w:rPr>
          <w:lang w:val="ru-RU"/>
        </w:rPr>
      </w:pPr>
      <w:r w:rsidRPr="00226B91">
        <w:rPr>
          <w:lang w:val="ru-RU"/>
        </w:rPr>
        <w:t>−</w:t>
      </w:r>
      <w:r w:rsidRPr="00226B91">
        <w:rPr>
          <w:lang w:val="ru-RU"/>
        </w:rPr>
        <w:tab/>
        <w:t>Ассоциированные члены.</w:t>
      </w:r>
    </w:p>
    <w:p w:rsidR="007E0416" w:rsidRPr="00226B91" w:rsidRDefault="007E0416" w:rsidP="007E0416">
      <w:pPr>
        <w:pStyle w:val="Heading1"/>
        <w:rPr>
          <w:lang w:val="ru-RU"/>
        </w:rPr>
      </w:pPr>
      <w:r w:rsidRPr="00226B91">
        <w:rPr>
          <w:lang w:val="ru-RU"/>
        </w:rPr>
        <w:t>7</w:t>
      </w:r>
      <w:r w:rsidRPr="00226B91">
        <w:rPr>
          <w:lang w:val="ru-RU"/>
        </w:rPr>
        <w:tab/>
        <w:t>Целевая аудитория</w:t>
      </w:r>
    </w:p>
    <w:p w:rsidR="007E0416" w:rsidRPr="00226B91" w:rsidRDefault="007E0416" w:rsidP="007E0416">
      <w:pPr>
        <w:keepNext/>
        <w:keepLines/>
        <w:spacing w:before="0"/>
        <w:rPr>
          <w:lang w:val="ru-RU"/>
        </w:rPr>
      </w:pPr>
    </w:p>
    <w:tbl>
      <w:tblPr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25"/>
        <w:gridCol w:w="1984"/>
        <w:gridCol w:w="2482"/>
      </w:tblGrid>
      <w:tr w:rsidR="007E0416" w:rsidRPr="00226B91" w:rsidTr="00C27F96">
        <w:tc>
          <w:tcPr>
            <w:tcW w:w="3625" w:type="dxa"/>
            <w:vAlign w:val="center"/>
          </w:tcPr>
          <w:p w:rsidR="007E0416" w:rsidRPr="00226B91" w:rsidRDefault="007E0416" w:rsidP="00C27F96">
            <w:pPr>
              <w:pStyle w:val="Tablehead"/>
              <w:rPr>
                <w:lang w:val="ru-RU"/>
              </w:rPr>
            </w:pPr>
            <w:r w:rsidRPr="00226B91">
              <w:rPr>
                <w:lang w:val="ru-RU"/>
              </w:rPr>
              <w:t>Целевая аудитория</w:t>
            </w:r>
          </w:p>
        </w:tc>
        <w:tc>
          <w:tcPr>
            <w:tcW w:w="1984" w:type="dxa"/>
            <w:vAlign w:val="center"/>
          </w:tcPr>
          <w:p w:rsidR="007E0416" w:rsidRPr="00226B91" w:rsidRDefault="007E0416" w:rsidP="00C27F96">
            <w:pPr>
              <w:pStyle w:val="Tablehead"/>
              <w:rPr>
                <w:lang w:val="ru-RU"/>
              </w:rPr>
            </w:pPr>
            <w:r w:rsidRPr="00226B91">
              <w:rPr>
                <w:lang w:val="ru-RU"/>
              </w:rPr>
              <w:t>Развитые страны</w:t>
            </w:r>
          </w:p>
        </w:tc>
        <w:tc>
          <w:tcPr>
            <w:tcW w:w="2482" w:type="dxa"/>
            <w:vAlign w:val="center"/>
          </w:tcPr>
          <w:p w:rsidR="007E0416" w:rsidRPr="00226B91" w:rsidRDefault="007E0416" w:rsidP="00C27F96">
            <w:pPr>
              <w:pStyle w:val="Tablehead"/>
              <w:rPr>
                <w:lang w:val="ru-RU"/>
              </w:rPr>
            </w:pPr>
            <w:r w:rsidRPr="00226B91">
              <w:rPr>
                <w:lang w:val="ru-RU"/>
              </w:rPr>
              <w:t>Развивающиеся страны</w:t>
            </w:r>
            <w:r w:rsidRPr="00226B91">
              <w:rPr>
                <w:rStyle w:val="FootnoteReference"/>
                <w:b w:val="0"/>
                <w:bCs/>
                <w:lang w:val="ru-RU"/>
              </w:rPr>
              <w:footnoteReference w:customMarkFollows="1" w:id="1"/>
              <w:t>1</w:t>
            </w:r>
          </w:p>
        </w:tc>
      </w:tr>
      <w:tr w:rsidR="007E0416" w:rsidRPr="00226B91" w:rsidTr="00C27F96">
        <w:tc>
          <w:tcPr>
            <w:tcW w:w="3625" w:type="dxa"/>
          </w:tcPr>
          <w:p w:rsidR="007E0416" w:rsidRPr="00226B91" w:rsidRDefault="007E0416" w:rsidP="00C27F96">
            <w:pPr>
              <w:pStyle w:val="Tabletext"/>
              <w:keepNext/>
              <w:keepLines/>
              <w:rPr>
                <w:lang w:val="ru-RU"/>
              </w:rPr>
            </w:pPr>
            <w:r w:rsidRPr="00226B91">
              <w:rPr>
                <w:lang w:val="ru-RU"/>
              </w:rPr>
              <w:t>Органы, определяющие политику в области электросвязи</w:t>
            </w:r>
          </w:p>
        </w:tc>
        <w:tc>
          <w:tcPr>
            <w:tcW w:w="1984" w:type="dxa"/>
          </w:tcPr>
          <w:p w:rsidR="007E0416" w:rsidRPr="00226B91" w:rsidRDefault="007E0416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  <w:tc>
          <w:tcPr>
            <w:tcW w:w="2482" w:type="dxa"/>
          </w:tcPr>
          <w:p w:rsidR="007E0416" w:rsidRPr="00226B91" w:rsidRDefault="007E0416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</w:tr>
      <w:tr w:rsidR="007E0416" w:rsidRPr="00226B91" w:rsidTr="00C27F96">
        <w:tc>
          <w:tcPr>
            <w:tcW w:w="3625" w:type="dxa"/>
          </w:tcPr>
          <w:p w:rsidR="007E0416" w:rsidRPr="00226B91" w:rsidRDefault="007E0416" w:rsidP="00C27F96">
            <w:pPr>
              <w:pStyle w:val="Tabletext"/>
              <w:keepNext/>
              <w:keepLines/>
              <w:rPr>
                <w:lang w:val="ru-RU"/>
              </w:rPr>
            </w:pPr>
            <w:r w:rsidRPr="00226B91">
              <w:rPr>
                <w:lang w:val="ru-RU"/>
              </w:rPr>
              <w:t>Регуляторные органы электросвязи</w:t>
            </w:r>
          </w:p>
        </w:tc>
        <w:tc>
          <w:tcPr>
            <w:tcW w:w="1984" w:type="dxa"/>
          </w:tcPr>
          <w:p w:rsidR="007E0416" w:rsidRPr="00226B91" w:rsidRDefault="007E0416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  <w:tc>
          <w:tcPr>
            <w:tcW w:w="2482" w:type="dxa"/>
          </w:tcPr>
          <w:p w:rsidR="007E0416" w:rsidRPr="00226B91" w:rsidRDefault="007E0416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</w:tr>
      <w:tr w:rsidR="007E0416" w:rsidRPr="00226B91" w:rsidTr="00C27F96">
        <w:tc>
          <w:tcPr>
            <w:tcW w:w="3625" w:type="dxa"/>
          </w:tcPr>
          <w:p w:rsidR="007E0416" w:rsidRPr="00226B91" w:rsidRDefault="007E0416" w:rsidP="00C27F96">
            <w:pPr>
              <w:pStyle w:val="Tabletext"/>
              <w:keepNext/>
              <w:keepLines/>
              <w:rPr>
                <w:lang w:val="ru-RU"/>
              </w:rPr>
            </w:pPr>
            <w:r w:rsidRPr="00226B91">
              <w:rPr>
                <w:lang w:val="ru-RU"/>
              </w:rPr>
              <w:t>Поставщики услуг/операторы</w:t>
            </w:r>
          </w:p>
        </w:tc>
        <w:tc>
          <w:tcPr>
            <w:tcW w:w="1984" w:type="dxa"/>
          </w:tcPr>
          <w:p w:rsidR="007E0416" w:rsidRPr="00226B91" w:rsidRDefault="007E0416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  <w:tc>
          <w:tcPr>
            <w:tcW w:w="2482" w:type="dxa"/>
          </w:tcPr>
          <w:p w:rsidR="007E0416" w:rsidRPr="00226B91" w:rsidRDefault="007E0416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</w:tr>
      <w:tr w:rsidR="007E0416" w:rsidRPr="00226B91" w:rsidTr="00C27F96">
        <w:tc>
          <w:tcPr>
            <w:tcW w:w="3625" w:type="dxa"/>
          </w:tcPr>
          <w:p w:rsidR="007E0416" w:rsidRPr="00226B91" w:rsidRDefault="007E0416" w:rsidP="00C27F96">
            <w:pPr>
              <w:pStyle w:val="Tabletext"/>
              <w:rPr>
                <w:lang w:val="ru-RU"/>
              </w:rPr>
            </w:pPr>
            <w:r w:rsidRPr="00226B91">
              <w:rPr>
                <w:lang w:val="ru-RU"/>
              </w:rPr>
              <w:t>Производители</w:t>
            </w:r>
          </w:p>
        </w:tc>
        <w:tc>
          <w:tcPr>
            <w:tcW w:w="1984" w:type="dxa"/>
          </w:tcPr>
          <w:p w:rsidR="007E0416" w:rsidRPr="00226B91" w:rsidRDefault="007E0416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  <w:tc>
          <w:tcPr>
            <w:tcW w:w="2482" w:type="dxa"/>
          </w:tcPr>
          <w:p w:rsidR="007E0416" w:rsidRPr="00226B91" w:rsidRDefault="007E0416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</w:tr>
    </w:tbl>
    <w:p w:rsidR="007E0416" w:rsidRPr="00226B91" w:rsidRDefault="007E0416" w:rsidP="007E0416">
      <w:pPr>
        <w:pStyle w:val="Headingb"/>
        <w:rPr>
          <w:lang w:val="ru-RU"/>
        </w:rPr>
      </w:pPr>
      <w:r w:rsidRPr="00226B91">
        <w:rPr>
          <w:lang w:val="ru-RU"/>
        </w:rPr>
        <w:t>a)</w:t>
      </w:r>
      <w:r w:rsidRPr="00226B91">
        <w:rPr>
          <w:lang w:val="ru-RU"/>
        </w:rPr>
        <w:tab/>
        <w:t>Целевая аудитория – кто конкретно будет использовать результаты работы</w:t>
      </w:r>
    </w:p>
    <w:p w:rsidR="007E0416" w:rsidRPr="00226B91" w:rsidRDefault="007E0416" w:rsidP="007E0416">
      <w:pPr>
        <w:rPr>
          <w:lang w:val="ru-RU"/>
        </w:rPr>
      </w:pPr>
      <w:r w:rsidRPr="00226B91">
        <w:rPr>
          <w:lang w:val="ru-RU"/>
        </w:rPr>
        <w:t>Регуляторные органы электросвязи, органы, определяющие политику в области электросвязи, поставщики услуг/операторы и производители, в основном из развивающихся стран и наименее развитых стран (НРС).</w:t>
      </w:r>
    </w:p>
    <w:p w:rsidR="007E0416" w:rsidRPr="00226B91" w:rsidRDefault="007E0416" w:rsidP="007E0416">
      <w:pPr>
        <w:pStyle w:val="Headingb"/>
        <w:rPr>
          <w:lang w:val="ru-RU"/>
        </w:rPr>
      </w:pPr>
      <w:r w:rsidRPr="00226B91">
        <w:rPr>
          <w:lang w:val="ru-RU"/>
        </w:rPr>
        <w:t>b)</w:t>
      </w:r>
      <w:r w:rsidRPr="00226B91">
        <w:rPr>
          <w:lang w:val="ru-RU"/>
        </w:rPr>
        <w:tab/>
        <w:t>Предлагаемые методы распространения результатов</w:t>
      </w:r>
    </w:p>
    <w:p w:rsidR="007E0416" w:rsidRPr="00226B91" w:rsidRDefault="007E0416" w:rsidP="007E0416">
      <w:pPr>
        <w:rPr>
          <w:lang w:val="ru-RU"/>
        </w:rPr>
      </w:pPr>
      <w:r w:rsidRPr="00226B91">
        <w:rPr>
          <w:lang w:val="ru-RU"/>
        </w:rPr>
        <w:t>Набор руководящих указаний и рекомендаций по стратегиям обеспечения надежной и комплексной обработки отходов, связанных с электросвязью/ИКТ: меры в области политики и регулирования, которые требуется принять в развивающихся странах и НРС.</w:t>
      </w:r>
    </w:p>
    <w:p w:rsidR="007E0416" w:rsidRPr="00226B91" w:rsidRDefault="007E0416" w:rsidP="007E0416">
      <w:pPr>
        <w:rPr>
          <w:lang w:val="ru-RU"/>
        </w:rPr>
      </w:pPr>
      <w:r w:rsidRPr="00226B91">
        <w:rPr>
          <w:lang w:val="ru-RU"/>
        </w:rPr>
        <w:t>Настоящее руководство могло бы выполняться развивающимися странами и НРС, а также операторами и производителями при принятии мер по обеспечению надежной и комплексной обработки электронных отходов, связанных с электросвязью/ИКТ.</w:t>
      </w:r>
    </w:p>
    <w:p w:rsidR="007E0416" w:rsidRPr="00226B91" w:rsidRDefault="007E0416" w:rsidP="007E0416">
      <w:pPr>
        <w:pStyle w:val="Heading1"/>
        <w:rPr>
          <w:lang w:val="ru-RU"/>
        </w:rPr>
      </w:pPr>
      <w:r w:rsidRPr="00226B91">
        <w:rPr>
          <w:lang w:val="ru-RU"/>
        </w:rPr>
        <w:t>8</w:t>
      </w:r>
      <w:r w:rsidRPr="00226B91">
        <w:rPr>
          <w:lang w:val="ru-RU"/>
        </w:rPr>
        <w:tab/>
        <w:t>Предлагаемые методы рассмотрения данного Вопроса или предмета</w:t>
      </w:r>
    </w:p>
    <w:p w:rsidR="007E0416" w:rsidRPr="00226B91" w:rsidRDefault="007E0416" w:rsidP="007E0416">
      <w:pPr>
        <w:pStyle w:val="Headingb"/>
        <w:rPr>
          <w:lang w:val="ru-RU"/>
        </w:rPr>
      </w:pPr>
      <w:r w:rsidRPr="00226B91">
        <w:rPr>
          <w:lang w:val="ru-RU"/>
        </w:rPr>
        <w:t>a)</w:t>
      </w:r>
      <w:r w:rsidRPr="00226B91">
        <w:rPr>
          <w:lang w:val="ru-RU"/>
        </w:rPr>
        <w:tab/>
        <w:t>Каким образом?</w:t>
      </w:r>
    </w:p>
    <w:p w:rsidR="007E0416" w:rsidRPr="00226B91" w:rsidRDefault="007E0416" w:rsidP="007E0416">
      <w:pPr>
        <w:pStyle w:val="enumlev1"/>
        <w:rPr>
          <w:lang w:val="ru-RU"/>
        </w:rPr>
      </w:pPr>
      <w:r w:rsidRPr="00226B91">
        <w:rPr>
          <w:lang w:val="ru-RU"/>
        </w:rPr>
        <w:t>1)</w:t>
      </w:r>
      <w:r w:rsidRPr="00226B91">
        <w:rPr>
          <w:lang w:val="ru-RU"/>
        </w:rPr>
        <w:tab/>
        <w:t>В рамках исследовательской комиссии:</w:t>
      </w:r>
    </w:p>
    <w:p w:rsidR="007E0416" w:rsidRPr="00226B91" w:rsidRDefault="007E0416" w:rsidP="007E0416">
      <w:pPr>
        <w:pStyle w:val="enumlev1"/>
        <w:rPr>
          <w:lang w:val="ru-RU"/>
        </w:rPr>
      </w:pPr>
      <w:r w:rsidRPr="00226B91">
        <w:rPr>
          <w:lang w:val="ru-RU"/>
        </w:rPr>
        <w:tab/>
        <w:t>В рамках 1-й Исследовательской комиссии предлагается выполнить следующие задачи:</w:t>
      </w:r>
    </w:p>
    <w:p w:rsidR="007E0416" w:rsidRPr="00226B91" w:rsidRDefault="007E0416" w:rsidP="007E0416">
      <w:pPr>
        <w:pStyle w:val="enumlev2"/>
        <w:rPr>
          <w:lang w:val="ru-RU"/>
        </w:rPr>
      </w:pPr>
      <w:r w:rsidRPr="00226B91">
        <w:rPr>
          <w:lang w:val="ru-RU"/>
        </w:rPr>
        <w:lastRenderedPageBreak/>
        <w:t>i)</w:t>
      </w:r>
      <w:r w:rsidRPr="00226B91">
        <w:rPr>
          <w:lang w:val="ru-RU"/>
        </w:rPr>
        <w:tab/>
        <w:t>техническая классификация отходов, связанных с электросвязью/ИКТ, в зависимости от компонентов и вредных веществ</w:t>
      </w:r>
      <w:r>
        <w:rPr>
          <w:lang w:val="ru-RU"/>
        </w:rPr>
        <w:t>;</w:t>
      </w:r>
    </w:p>
    <w:p w:rsidR="007E0416" w:rsidRPr="00226B91" w:rsidRDefault="007E0416" w:rsidP="007E0416">
      <w:pPr>
        <w:pStyle w:val="enumlev2"/>
        <w:rPr>
          <w:lang w:val="ru-RU"/>
        </w:rPr>
      </w:pPr>
      <w:r w:rsidRPr="00226B91">
        <w:rPr>
          <w:lang w:val="ru-RU"/>
        </w:rPr>
        <w:t>ii)</w:t>
      </w:r>
      <w:r w:rsidRPr="00226B91">
        <w:rPr>
          <w:lang w:val="ru-RU"/>
        </w:rPr>
        <w:tab/>
        <w:t>определение и оценка проблем, с которыми сталкиваются страны и/или регионы при реализации всеобъемлющей системы удаления отходов, связанных с электросвязью/ИКТ</w:t>
      </w:r>
      <w:r>
        <w:rPr>
          <w:lang w:val="ru-RU"/>
        </w:rPr>
        <w:t>;</w:t>
      </w:r>
    </w:p>
    <w:p w:rsidR="007E0416" w:rsidRPr="00226B91" w:rsidRDefault="007E0416" w:rsidP="007E0416">
      <w:pPr>
        <w:pStyle w:val="enumlev2"/>
        <w:rPr>
          <w:lang w:val="ru-RU"/>
        </w:rPr>
      </w:pPr>
      <w:r w:rsidRPr="00226B91">
        <w:rPr>
          <w:lang w:val="ru-RU"/>
        </w:rPr>
        <w:t>iii)</w:t>
      </w:r>
      <w:r w:rsidRPr="00226B91">
        <w:rPr>
          <w:lang w:val="ru-RU"/>
        </w:rPr>
        <w:tab/>
        <w:t>опыт различных развитых и развивающихся стран, а также производителей и операторов в области всеобъемлющего удаления отходов, связанных с электросвязью/ИКТ, включая, в том числе, исследования в области политики, регулирования и экономики, а также методы финансирования</w:t>
      </w:r>
      <w:r>
        <w:rPr>
          <w:lang w:val="ru-RU"/>
        </w:rPr>
        <w:t>;</w:t>
      </w:r>
    </w:p>
    <w:p w:rsidR="007E0416" w:rsidRPr="00226B91" w:rsidRDefault="007E0416" w:rsidP="007E0416">
      <w:pPr>
        <w:pStyle w:val="enumlev2"/>
        <w:rPr>
          <w:lang w:val="ru-RU"/>
        </w:rPr>
      </w:pPr>
      <w:r w:rsidRPr="00226B91">
        <w:rPr>
          <w:lang w:val="ru-RU"/>
        </w:rPr>
        <w:t>iv)</w:t>
      </w:r>
      <w:r w:rsidRPr="00226B91">
        <w:rPr>
          <w:lang w:val="ru-RU"/>
        </w:rPr>
        <w:tab/>
        <w:t>изучение вопроса о том, каким образом передача информации и знаний, профессиональная подготовка и развитие навыков применительно к населению и учреждениям могут повысить способность стран управлять обработкой отходов, связанных с электросвязью/ИКТ. Рассмотрение эффективных систем обмена информацией, способствующих выполнению этих задач.</w:t>
      </w:r>
    </w:p>
    <w:p w:rsidR="007E0416" w:rsidRPr="00226B91" w:rsidRDefault="007E0416" w:rsidP="007E0416">
      <w:pPr>
        <w:rPr>
          <w:lang w:val="ru-RU"/>
        </w:rPr>
      </w:pPr>
      <w:r w:rsidRPr="00226B91">
        <w:rPr>
          <w:lang w:val="ru-RU"/>
        </w:rPr>
        <w:t>2)</w:t>
      </w:r>
      <w:r w:rsidRPr="00226B91">
        <w:rPr>
          <w:lang w:val="ru-RU"/>
        </w:rPr>
        <w:tab/>
        <w:t>В рамках регулярной деятельности БРЭ:</w:t>
      </w:r>
    </w:p>
    <w:p w:rsidR="007E0416" w:rsidRPr="00226B91" w:rsidRDefault="007E0416" w:rsidP="007E0416">
      <w:pPr>
        <w:pStyle w:val="enumlev2"/>
        <w:tabs>
          <w:tab w:val="left" w:pos="8364"/>
        </w:tabs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 xml:space="preserve">Программы </w:t>
      </w:r>
      <w:r w:rsidRPr="00226B91">
        <w:rPr>
          <w:lang w:val="ru-RU"/>
        </w:rPr>
        <w:tab/>
      </w:r>
      <w:r w:rsidRPr="00226B91">
        <w:rPr>
          <w:sz w:val="20"/>
          <w:lang w:val="ru-RU"/>
        </w:rPr>
        <w:sym w:font="Wingdings 2" w:char="F0A3"/>
      </w:r>
    </w:p>
    <w:p w:rsidR="007E0416" w:rsidRPr="00226B91" w:rsidRDefault="007E0416" w:rsidP="007E0416">
      <w:pPr>
        <w:pStyle w:val="enumlev2"/>
        <w:tabs>
          <w:tab w:val="left" w:pos="8364"/>
        </w:tabs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Проекты</w:t>
      </w:r>
      <w:r w:rsidRPr="00226B91">
        <w:rPr>
          <w:lang w:val="ru-RU"/>
        </w:rPr>
        <w:tab/>
      </w:r>
      <w:r w:rsidRPr="00226B91">
        <w:rPr>
          <w:sz w:val="20"/>
          <w:lang w:val="ru-RU"/>
        </w:rPr>
        <w:sym w:font="Wingdings 2" w:char="F0A3"/>
      </w:r>
    </w:p>
    <w:p w:rsidR="007E0416" w:rsidRPr="00226B91" w:rsidRDefault="007E0416" w:rsidP="007E0416">
      <w:pPr>
        <w:pStyle w:val="enumlev2"/>
        <w:tabs>
          <w:tab w:val="left" w:pos="8364"/>
        </w:tabs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Консультанты</w:t>
      </w:r>
      <w:r w:rsidRPr="00226B91">
        <w:rPr>
          <w:lang w:val="ru-RU"/>
        </w:rPr>
        <w:noBreakHyphen/>
        <w:t>эксперты</w:t>
      </w:r>
      <w:r w:rsidRPr="00226B91">
        <w:rPr>
          <w:lang w:val="ru-RU"/>
        </w:rPr>
        <w:tab/>
      </w:r>
      <w:r w:rsidRPr="00226B91">
        <w:rPr>
          <w:sz w:val="20"/>
          <w:lang w:val="ru-RU"/>
        </w:rPr>
        <w:sym w:font="Wingdings 2" w:char="F0A3"/>
      </w:r>
    </w:p>
    <w:p w:rsidR="007E0416" w:rsidRPr="00226B91" w:rsidRDefault="007E0416" w:rsidP="007E0416">
      <w:pPr>
        <w:pStyle w:val="enumlev1"/>
        <w:tabs>
          <w:tab w:val="left" w:pos="8364"/>
        </w:tabs>
        <w:rPr>
          <w:rStyle w:val="CEONormalChar"/>
          <w:lang w:val="ru-RU"/>
        </w:rPr>
      </w:pPr>
      <w:r w:rsidRPr="00226B91">
        <w:rPr>
          <w:lang w:val="ru-RU"/>
        </w:rPr>
        <w:t>3</w:t>
      </w:r>
      <w:r w:rsidRPr="00226B91">
        <w:rPr>
          <w:rStyle w:val="CEONormalChar"/>
          <w:lang w:val="ru-RU"/>
        </w:rPr>
        <w:t>)</w:t>
      </w:r>
      <w:r w:rsidRPr="00226B91">
        <w:rPr>
          <w:rStyle w:val="CEONormalChar"/>
          <w:lang w:val="ru-RU"/>
        </w:rPr>
        <w:tab/>
      </w:r>
      <w:r w:rsidRPr="00226B91">
        <w:rPr>
          <w:lang w:val="ru-RU"/>
        </w:rPr>
        <w:t xml:space="preserve">Иными способами </w:t>
      </w:r>
      <w:r w:rsidRPr="00226B91">
        <w:rPr>
          <w:lang w:val="ru-RU"/>
        </w:rPr>
        <w:sym w:font="Courier New" w:char="2013"/>
      </w:r>
      <w:r w:rsidRPr="00226B91">
        <w:rPr>
          <w:lang w:val="ru-RU"/>
        </w:rPr>
        <w:t xml:space="preserve"> укажите (например, региональный подход, в рамках </w:t>
      </w:r>
      <w:r w:rsidRPr="00226B91">
        <w:rPr>
          <w:lang w:val="ru-RU"/>
        </w:rPr>
        <w:br/>
        <w:t>других организаций, совместно с другими организациями и т. д.)</w:t>
      </w:r>
      <w:r w:rsidRPr="00226B91">
        <w:rPr>
          <w:rStyle w:val="CEONormalChar"/>
          <w:lang w:val="ru-RU"/>
        </w:rPr>
        <w:t xml:space="preserve"> </w:t>
      </w:r>
      <w:r w:rsidRPr="00226B91">
        <w:rPr>
          <w:lang w:val="ru-RU"/>
        </w:rPr>
        <w:tab/>
      </w:r>
      <w:r w:rsidRPr="00226B91">
        <w:rPr>
          <w:sz w:val="20"/>
          <w:lang w:val="ru-RU"/>
        </w:rPr>
        <w:sym w:font="Wingdings 2" w:char="F0A3"/>
      </w:r>
    </w:p>
    <w:p w:rsidR="007E0416" w:rsidRPr="00226B91" w:rsidRDefault="007E0416" w:rsidP="007E0416">
      <w:pPr>
        <w:pStyle w:val="Headingb"/>
        <w:rPr>
          <w:lang w:val="ru-RU"/>
        </w:rPr>
      </w:pPr>
      <w:r w:rsidRPr="00226B91">
        <w:rPr>
          <w:lang w:val="ru-RU"/>
        </w:rPr>
        <w:t>b)</w:t>
      </w:r>
      <w:r w:rsidRPr="00226B91">
        <w:rPr>
          <w:lang w:val="ru-RU"/>
        </w:rPr>
        <w:tab/>
        <w:t xml:space="preserve">Почему? </w:t>
      </w:r>
    </w:p>
    <w:p w:rsidR="007E0416" w:rsidRPr="00226B91" w:rsidRDefault="007E0416" w:rsidP="007E0416">
      <w:pPr>
        <w:rPr>
          <w:lang w:val="ru-RU"/>
        </w:rPr>
      </w:pPr>
      <w:r w:rsidRPr="00226B91">
        <w:rPr>
          <w:lang w:val="ru-RU"/>
        </w:rPr>
        <w:t>Для подготовки такого набора руководящих указаний необходимо располагать опытом разных стран, операторов и производителей, а также различных организаций, занимающихся этой проблематикой, которые могли бы предоставить информацию.</w:t>
      </w:r>
    </w:p>
    <w:p w:rsidR="007E0416" w:rsidRPr="00226B91" w:rsidRDefault="007E0416" w:rsidP="007E0416">
      <w:pPr>
        <w:rPr>
          <w:lang w:val="ru-RU"/>
        </w:rPr>
      </w:pPr>
      <w:r w:rsidRPr="00226B91">
        <w:rPr>
          <w:lang w:val="ru-RU"/>
        </w:rPr>
        <w:t xml:space="preserve">Исследовательская комиссия должна разработать вопросники и набор руководящих указаний. </w:t>
      </w:r>
    </w:p>
    <w:p w:rsidR="007E0416" w:rsidRPr="00226B91" w:rsidRDefault="007E0416" w:rsidP="007E0416">
      <w:pPr>
        <w:pStyle w:val="Heading1"/>
        <w:rPr>
          <w:lang w:val="ru-RU"/>
        </w:rPr>
      </w:pPr>
      <w:r w:rsidRPr="00226B91">
        <w:rPr>
          <w:lang w:val="ru-RU"/>
        </w:rPr>
        <w:t>9</w:t>
      </w:r>
      <w:r w:rsidRPr="00226B91">
        <w:rPr>
          <w:lang w:val="ru-RU"/>
        </w:rPr>
        <w:tab/>
        <w:t>Координация и сотрудничество</w:t>
      </w:r>
    </w:p>
    <w:p w:rsidR="007E0416" w:rsidRPr="00226B91" w:rsidRDefault="007E0416" w:rsidP="007E0416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Регулярная деятельность МСЭ-D.</w:t>
      </w:r>
    </w:p>
    <w:p w:rsidR="007E0416" w:rsidRPr="00226B91" w:rsidRDefault="007E0416" w:rsidP="007E0416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Другие Вопросы или предметы исследовательских комиссий.</w:t>
      </w:r>
    </w:p>
    <w:p w:rsidR="007E0416" w:rsidRPr="00226B91" w:rsidRDefault="007E0416" w:rsidP="007E0416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Региональные организации, в случае необходимости.</w:t>
      </w:r>
    </w:p>
    <w:p w:rsidR="007E0416" w:rsidRPr="00226B91" w:rsidRDefault="007E0416" w:rsidP="007E0416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 xml:space="preserve">Работа, проводимая в других Секторах МСЭ. </w:t>
      </w:r>
    </w:p>
    <w:p w:rsidR="007E0416" w:rsidRPr="00226B91" w:rsidRDefault="007E0416" w:rsidP="007E0416">
      <w:pPr>
        <w:pStyle w:val="Heading1"/>
        <w:rPr>
          <w:lang w:val="ru-RU"/>
        </w:rPr>
      </w:pPr>
      <w:r w:rsidRPr="00226B91">
        <w:rPr>
          <w:lang w:val="ru-RU"/>
        </w:rPr>
        <w:t>10</w:t>
      </w:r>
      <w:r w:rsidRPr="00226B91">
        <w:rPr>
          <w:lang w:val="ru-RU"/>
        </w:rPr>
        <w:tab/>
        <w:t>Прочая относящаяся к теме информация</w:t>
      </w:r>
    </w:p>
    <w:p w:rsidR="007E0416" w:rsidRPr="00226B91" w:rsidRDefault="007E0416" w:rsidP="007E0416">
      <w:pPr>
        <w:rPr>
          <w:lang w:val="ru-RU"/>
        </w:rPr>
      </w:pPr>
      <w:r w:rsidRPr="00226B91">
        <w:rPr>
          <w:lang w:val="ru-RU"/>
        </w:rPr>
        <w:t>–</w:t>
      </w:r>
    </w:p>
    <w:p w:rsidR="007E0416" w:rsidRPr="00226B91" w:rsidRDefault="007E0416" w:rsidP="007E0416">
      <w:pPr>
        <w:rPr>
          <w:lang w:val="ru-RU"/>
        </w:rPr>
      </w:pPr>
    </w:p>
    <w:p w:rsidR="007E0416" w:rsidRPr="00226B91" w:rsidRDefault="007E0416" w:rsidP="007E0416">
      <w:pPr>
        <w:rPr>
          <w:lang w:val="ru-RU"/>
        </w:rPr>
      </w:pPr>
      <w:r w:rsidRPr="00226B91">
        <w:rPr>
          <w:lang w:val="ru-RU"/>
        </w:rPr>
        <w:br w:type="page"/>
      </w:r>
    </w:p>
    <w:p w:rsidR="00C47824" w:rsidRPr="007E0416" w:rsidRDefault="00C47824">
      <w:pPr>
        <w:rPr>
          <w:lang w:val="ru-RU"/>
        </w:rPr>
      </w:pPr>
      <w:bookmarkStart w:id="1" w:name="_GoBack"/>
      <w:bookmarkEnd w:id="1"/>
    </w:p>
    <w:sectPr w:rsidR="00C47824" w:rsidRPr="007E0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B3" w:rsidRDefault="003067B3" w:rsidP="007E0416">
      <w:pPr>
        <w:spacing w:before="0"/>
      </w:pPr>
      <w:r>
        <w:separator/>
      </w:r>
    </w:p>
  </w:endnote>
  <w:endnote w:type="continuationSeparator" w:id="0">
    <w:p w:rsidR="003067B3" w:rsidRDefault="003067B3" w:rsidP="007E04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B3" w:rsidRDefault="003067B3" w:rsidP="007E0416">
      <w:pPr>
        <w:spacing w:before="0"/>
      </w:pPr>
      <w:r>
        <w:separator/>
      </w:r>
    </w:p>
  </w:footnote>
  <w:footnote w:type="continuationSeparator" w:id="0">
    <w:p w:rsidR="003067B3" w:rsidRDefault="003067B3" w:rsidP="007E0416">
      <w:pPr>
        <w:spacing w:before="0"/>
      </w:pPr>
      <w:r>
        <w:continuationSeparator/>
      </w:r>
    </w:p>
  </w:footnote>
  <w:footnote w:id="1">
    <w:p w:rsidR="007E0416" w:rsidRPr="00B91FDD" w:rsidRDefault="007E0416" w:rsidP="007E0416">
      <w:pPr>
        <w:pStyle w:val="FootnoteText"/>
        <w:spacing w:before="80"/>
        <w:rPr>
          <w:lang w:val="ru-RU"/>
        </w:rPr>
      </w:pPr>
      <w:r w:rsidRPr="00B91FDD">
        <w:rPr>
          <w:rStyle w:val="FootnoteReference"/>
          <w:lang w:val="ru-RU"/>
        </w:rPr>
        <w:t>1</w:t>
      </w:r>
      <w:r w:rsidRPr="00B91FDD">
        <w:rPr>
          <w:lang w:val="ru-RU"/>
        </w:rPr>
        <w:t xml:space="preserve"> </w:t>
      </w:r>
      <w:r w:rsidRPr="00B91FDD">
        <w:rPr>
          <w:lang w:val="ru-RU"/>
        </w:rPr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16"/>
    <w:rsid w:val="00011D19"/>
    <w:rsid w:val="000145E8"/>
    <w:rsid w:val="00050DB8"/>
    <w:rsid w:val="00056109"/>
    <w:rsid w:val="000820F9"/>
    <w:rsid w:val="000A0C8B"/>
    <w:rsid w:val="000A548E"/>
    <w:rsid w:val="000F58E3"/>
    <w:rsid w:val="00111135"/>
    <w:rsid w:val="00135C60"/>
    <w:rsid w:val="001367CA"/>
    <w:rsid w:val="001976E8"/>
    <w:rsid w:val="001A636E"/>
    <w:rsid w:val="001B6C10"/>
    <w:rsid w:val="00200B77"/>
    <w:rsid w:val="00202B07"/>
    <w:rsid w:val="002752FB"/>
    <w:rsid w:val="002921BD"/>
    <w:rsid w:val="00295C83"/>
    <w:rsid w:val="002A3982"/>
    <w:rsid w:val="002A577C"/>
    <w:rsid w:val="002B105F"/>
    <w:rsid w:val="002B5516"/>
    <w:rsid w:val="002C1773"/>
    <w:rsid w:val="002D49C8"/>
    <w:rsid w:val="002E7AE4"/>
    <w:rsid w:val="003067B3"/>
    <w:rsid w:val="003123F3"/>
    <w:rsid w:val="0033199B"/>
    <w:rsid w:val="003406CB"/>
    <w:rsid w:val="00357A3C"/>
    <w:rsid w:val="00367B76"/>
    <w:rsid w:val="00395D92"/>
    <w:rsid w:val="003B6C25"/>
    <w:rsid w:val="003C3CDC"/>
    <w:rsid w:val="003E4284"/>
    <w:rsid w:val="003F526C"/>
    <w:rsid w:val="00446A22"/>
    <w:rsid w:val="00481256"/>
    <w:rsid w:val="004967DD"/>
    <w:rsid w:val="004B3517"/>
    <w:rsid w:val="004C2236"/>
    <w:rsid w:val="004C3165"/>
    <w:rsid w:val="004D29FC"/>
    <w:rsid w:val="004F7EC2"/>
    <w:rsid w:val="00502B05"/>
    <w:rsid w:val="00502B18"/>
    <w:rsid w:val="005108DD"/>
    <w:rsid w:val="00516704"/>
    <w:rsid w:val="005532A3"/>
    <w:rsid w:val="005618E1"/>
    <w:rsid w:val="00583400"/>
    <w:rsid w:val="005855C0"/>
    <w:rsid w:val="005D2515"/>
    <w:rsid w:val="005E09F6"/>
    <w:rsid w:val="00643EE8"/>
    <w:rsid w:val="006441EA"/>
    <w:rsid w:val="00656FD6"/>
    <w:rsid w:val="00660BF0"/>
    <w:rsid w:val="006629C6"/>
    <w:rsid w:val="0067629B"/>
    <w:rsid w:val="006B71B4"/>
    <w:rsid w:val="006F7E23"/>
    <w:rsid w:val="00721E17"/>
    <w:rsid w:val="00731F23"/>
    <w:rsid w:val="0073643D"/>
    <w:rsid w:val="00750E72"/>
    <w:rsid w:val="00757243"/>
    <w:rsid w:val="007618CD"/>
    <w:rsid w:val="007971F8"/>
    <w:rsid w:val="007B20C7"/>
    <w:rsid w:val="007B6ECC"/>
    <w:rsid w:val="007E0416"/>
    <w:rsid w:val="007F341D"/>
    <w:rsid w:val="00803FCE"/>
    <w:rsid w:val="0083715B"/>
    <w:rsid w:val="00841DA8"/>
    <w:rsid w:val="008441B6"/>
    <w:rsid w:val="00862127"/>
    <w:rsid w:val="008650A2"/>
    <w:rsid w:val="00897375"/>
    <w:rsid w:val="008A540C"/>
    <w:rsid w:val="008B64E5"/>
    <w:rsid w:val="008D20E2"/>
    <w:rsid w:val="008D5334"/>
    <w:rsid w:val="008E7F19"/>
    <w:rsid w:val="008F6F54"/>
    <w:rsid w:val="0092370B"/>
    <w:rsid w:val="009317DA"/>
    <w:rsid w:val="009418B0"/>
    <w:rsid w:val="00951072"/>
    <w:rsid w:val="00953E98"/>
    <w:rsid w:val="00971C83"/>
    <w:rsid w:val="009B1748"/>
    <w:rsid w:val="009B4B74"/>
    <w:rsid w:val="009E0276"/>
    <w:rsid w:val="009F2F81"/>
    <w:rsid w:val="009F69F6"/>
    <w:rsid w:val="00A246FA"/>
    <w:rsid w:val="00A3770C"/>
    <w:rsid w:val="00A5408C"/>
    <w:rsid w:val="00A614F6"/>
    <w:rsid w:val="00AD24A6"/>
    <w:rsid w:val="00B04FF7"/>
    <w:rsid w:val="00B16E6F"/>
    <w:rsid w:val="00B3406E"/>
    <w:rsid w:val="00B61044"/>
    <w:rsid w:val="00B66088"/>
    <w:rsid w:val="00B709EF"/>
    <w:rsid w:val="00BE58AB"/>
    <w:rsid w:val="00C3667C"/>
    <w:rsid w:val="00C47824"/>
    <w:rsid w:val="00C52650"/>
    <w:rsid w:val="00C66ECB"/>
    <w:rsid w:val="00C67D80"/>
    <w:rsid w:val="00C81F8B"/>
    <w:rsid w:val="00C9415B"/>
    <w:rsid w:val="00CC5571"/>
    <w:rsid w:val="00CF178A"/>
    <w:rsid w:val="00CF2888"/>
    <w:rsid w:val="00D13C04"/>
    <w:rsid w:val="00D34377"/>
    <w:rsid w:val="00D405B0"/>
    <w:rsid w:val="00D44D2D"/>
    <w:rsid w:val="00D51495"/>
    <w:rsid w:val="00D927D7"/>
    <w:rsid w:val="00DA5542"/>
    <w:rsid w:val="00DE129C"/>
    <w:rsid w:val="00DF30D3"/>
    <w:rsid w:val="00E07072"/>
    <w:rsid w:val="00E107C5"/>
    <w:rsid w:val="00E22DD0"/>
    <w:rsid w:val="00E427B2"/>
    <w:rsid w:val="00E71153"/>
    <w:rsid w:val="00EA0973"/>
    <w:rsid w:val="00EB7F47"/>
    <w:rsid w:val="00EC01AC"/>
    <w:rsid w:val="00ED27C7"/>
    <w:rsid w:val="00F01683"/>
    <w:rsid w:val="00F117A6"/>
    <w:rsid w:val="00F1235D"/>
    <w:rsid w:val="00F124D2"/>
    <w:rsid w:val="00F53834"/>
    <w:rsid w:val="00F63223"/>
    <w:rsid w:val="00F81560"/>
    <w:rsid w:val="00F818A6"/>
    <w:rsid w:val="00F84982"/>
    <w:rsid w:val="00F94149"/>
    <w:rsid w:val="00F95879"/>
    <w:rsid w:val="00FC0CC6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16"/>
    <w:pPr>
      <w:tabs>
        <w:tab w:val="left" w:pos="794"/>
      </w:tabs>
      <w:spacing w:before="120" w:after="0" w:line="240" w:lineRule="auto"/>
    </w:pPr>
    <w:rPr>
      <w:rFonts w:ascii="Calibri" w:hAnsi="Calibri" w:cs="Times New Roman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7E0416"/>
    <w:pPr>
      <w:keepNext/>
      <w:keepLines/>
      <w:spacing w:before="360"/>
      <w:outlineLvl w:val="0"/>
    </w:pPr>
    <w:rPr>
      <w:rFonts w:eastAsia="Times New Roman" w:cstheme="minorBidi"/>
      <w:b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0416"/>
    <w:rPr>
      <w:rFonts w:ascii="Calibri" w:eastAsia="Times New Roman" w:hAnsi="Calibri"/>
      <w:b/>
      <w:bCs/>
      <w:sz w:val="26"/>
      <w:szCs w:val="32"/>
      <w:lang w:eastAsia="ja-JP"/>
    </w:rPr>
  </w:style>
  <w:style w:type="character" w:styleId="FootnoteReference">
    <w:name w:val="footnote reference"/>
    <w:basedOn w:val="DefaultParagraphFont"/>
    <w:qFormat/>
    <w:rsid w:val="007E0416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7E0416"/>
    <w:pPr>
      <w:keepLines/>
      <w:tabs>
        <w:tab w:val="left" w:pos="255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55" w:hanging="255"/>
      <w:textAlignment w:val="baseline"/>
    </w:pPr>
    <w:rPr>
      <w:rFonts w:eastAsia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E0416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rsid w:val="007E041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Questiontitle">
    <w:name w:val="Question_title"/>
    <w:basedOn w:val="Normal"/>
    <w:next w:val="Normal"/>
    <w:rsid w:val="007E0416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7E0416"/>
    <w:pPr>
      <w:keepNext/>
      <w:spacing w:before="80" w:after="80"/>
      <w:jc w:val="center"/>
    </w:pPr>
    <w:rPr>
      <w:b/>
    </w:rPr>
  </w:style>
  <w:style w:type="paragraph" w:customStyle="1" w:styleId="enumlev1">
    <w:name w:val="enumlev1"/>
    <w:basedOn w:val="Normal"/>
    <w:link w:val="enumlev1Char"/>
    <w:rsid w:val="007E0416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 w:eastAsia="en-US"/>
    </w:rPr>
  </w:style>
  <w:style w:type="character" w:customStyle="1" w:styleId="enumlev1Char">
    <w:name w:val="enumlev1 Char"/>
    <w:link w:val="enumlev1"/>
    <w:locked/>
    <w:rsid w:val="007E0416"/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7E0416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7E0416"/>
    <w:rPr>
      <w:rFonts w:ascii="Calibri" w:eastAsia="Times New Roman" w:hAnsi="Calibri" w:cs="Times New Roman"/>
      <w:b/>
      <w:szCs w:val="20"/>
      <w:lang w:val="en-GB" w:eastAsia="en-US"/>
    </w:rPr>
  </w:style>
  <w:style w:type="paragraph" w:customStyle="1" w:styleId="enumlev2">
    <w:name w:val="enumlev2"/>
    <w:basedOn w:val="enumlev1"/>
    <w:link w:val="enumlev2Char"/>
    <w:qFormat/>
    <w:rsid w:val="007E0416"/>
    <w:pPr>
      <w:tabs>
        <w:tab w:val="clear" w:pos="1191"/>
        <w:tab w:val="clear" w:pos="1588"/>
        <w:tab w:val="left" w:pos="1361"/>
      </w:tabs>
      <w:ind w:left="1361" w:hanging="567"/>
    </w:pPr>
  </w:style>
  <w:style w:type="character" w:customStyle="1" w:styleId="enumlev2Char">
    <w:name w:val="enumlev2 Char"/>
    <w:link w:val="enumlev2"/>
    <w:locked/>
    <w:rsid w:val="007E0416"/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QuestionNo">
    <w:name w:val="Question_No"/>
    <w:basedOn w:val="Normal"/>
    <w:next w:val="Questiontitle"/>
    <w:rsid w:val="007E0416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6"/>
      <w:szCs w:val="20"/>
      <w:lang w:val="en-GB" w:eastAsia="en-US"/>
    </w:rPr>
  </w:style>
  <w:style w:type="paragraph" w:customStyle="1" w:styleId="CEONormal">
    <w:name w:val="CEO_Normal"/>
    <w:link w:val="CEONormalChar"/>
    <w:rsid w:val="007E0416"/>
    <w:pPr>
      <w:spacing w:before="120" w:after="120" w:line="240" w:lineRule="auto"/>
    </w:pPr>
    <w:rPr>
      <w:rFonts w:ascii="Verdana" w:eastAsia="SimSun" w:hAnsi="Verdana" w:cs="Times New Roman"/>
      <w:sz w:val="19"/>
      <w:szCs w:val="19"/>
      <w:lang w:val="en-GB" w:eastAsia="en-US"/>
    </w:rPr>
  </w:style>
  <w:style w:type="character" w:customStyle="1" w:styleId="CEONormalChar">
    <w:name w:val="CEO_Normal Char"/>
    <w:link w:val="CEONormal"/>
    <w:locked/>
    <w:rsid w:val="007E0416"/>
    <w:rPr>
      <w:rFonts w:ascii="Verdana" w:eastAsia="SimSun" w:hAnsi="Verdana" w:cs="Times New Roman"/>
      <w:sz w:val="19"/>
      <w:szCs w:val="19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7E0416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16"/>
    <w:pPr>
      <w:tabs>
        <w:tab w:val="left" w:pos="794"/>
      </w:tabs>
      <w:spacing w:before="120" w:after="0" w:line="240" w:lineRule="auto"/>
    </w:pPr>
    <w:rPr>
      <w:rFonts w:ascii="Calibri" w:hAnsi="Calibri" w:cs="Times New Roman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7E0416"/>
    <w:pPr>
      <w:keepNext/>
      <w:keepLines/>
      <w:spacing w:before="360"/>
      <w:outlineLvl w:val="0"/>
    </w:pPr>
    <w:rPr>
      <w:rFonts w:eastAsia="Times New Roman" w:cstheme="minorBidi"/>
      <w:b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0416"/>
    <w:rPr>
      <w:rFonts w:ascii="Calibri" w:eastAsia="Times New Roman" w:hAnsi="Calibri"/>
      <w:b/>
      <w:bCs/>
      <w:sz w:val="26"/>
      <w:szCs w:val="32"/>
      <w:lang w:eastAsia="ja-JP"/>
    </w:rPr>
  </w:style>
  <w:style w:type="character" w:styleId="FootnoteReference">
    <w:name w:val="footnote reference"/>
    <w:basedOn w:val="DefaultParagraphFont"/>
    <w:qFormat/>
    <w:rsid w:val="007E0416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7E0416"/>
    <w:pPr>
      <w:keepLines/>
      <w:tabs>
        <w:tab w:val="left" w:pos="255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55" w:hanging="255"/>
      <w:textAlignment w:val="baseline"/>
    </w:pPr>
    <w:rPr>
      <w:rFonts w:eastAsia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E0416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rsid w:val="007E041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Questiontitle">
    <w:name w:val="Question_title"/>
    <w:basedOn w:val="Normal"/>
    <w:next w:val="Normal"/>
    <w:rsid w:val="007E0416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7E0416"/>
    <w:pPr>
      <w:keepNext/>
      <w:spacing w:before="80" w:after="80"/>
      <w:jc w:val="center"/>
    </w:pPr>
    <w:rPr>
      <w:b/>
    </w:rPr>
  </w:style>
  <w:style w:type="paragraph" w:customStyle="1" w:styleId="enumlev1">
    <w:name w:val="enumlev1"/>
    <w:basedOn w:val="Normal"/>
    <w:link w:val="enumlev1Char"/>
    <w:rsid w:val="007E0416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 w:eastAsia="en-US"/>
    </w:rPr>
  </w:style>
  <w:style w:type="character" w:customStyle="1" w:styleId="enumlev1Char">
    <w:name w:val="enumlev1 Char"/>
    <w:link w:val="enumlev1"/>
    <w:locked/>
    <w:rsid w:val="007E0416"/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7E0416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7E0416"/>
    <w:rPr>
      <w:rFonts w:ascii="Calibri" w:eastAsia="Times New Roman" w:hAnsi="Calibri" w:cs="Times New Roman"/>
      <w:b/>
      <w:szCs w:val="20"/>
      <w:lang w:val="en-GB" w:eastAsia="en-US"/>
    </w:rPr>
  </w:style>
  <w:style w:type="paragraph" w:customStyle="1" w:styleId="enumlev2">
    <w:name w:val="enumlev2"/>
    <w:basedOn w:val="enumlev1"/>
    <w:link w:val="enumlev2Char"/>
    <w:qFormat/>
    <w:rsid w:val="007E0416"/>
    <w:pPr>
      <w:tabs>
        <w:tab w:val="clear" w:pos="1191"/>
        <w:tab w:val="clear" w:pos="1588"/>
        <w:tab w:val="left" w:pos="1361"/>
      </w:tabs>
      <w:ind w:left="1361" w:hanging="567"/>
    </w:pPr>
  </w:style>
  <w:style w:type="character" w:customStyle="1" w:styleId="enumlev2Char">
    <w:name w:val="enumlev2 Char"/>
    <w:link w:val="enumlev2"/>
    <w:locked/>
    <w:rsid w:val="007E0416"/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QuestionNo">
    <w:name w:val="Question_No"/>
    <w:basedOn w:val="Normal"/>
    <w:next w:val="Questiontitle"/>
    <w:rsid w:val="007E0416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6"/>
      <w:szCs w:val="20"/>
      <w:lang w:val="en-GB" w:eastAsia="en-US"/>
    </w:rPr>
  </w:style>
  <w:style w:type="paragraph" w:customStyle="1" w:styleId="CEONormal">
    <w:name w:val="CEO_Normal"/>
    <w:link w:val="CEONormalChar"/>
    <w:rsid w:val="007E0416"/>
    <w:pPr>
      <w:spacing w:before="120" w:after="120" w:line="240" w:lineRule="auto"/>
    </w:pPr>
    <w:rPr>
      <w:rFonts w:ascii="Verdana" w:eastAsia="SimSun" w:hAnsi="Verdana" w:cs="Times New Roman"/>
      <w:sz w:val="19"/>
      <w:szCs w:val="19"/>
      <w:lang w:val="en-GB" w:eastAsia="en-US"/>
    </w:rPr>
  </w:style>
  <w:style w:type="character" w:customStyle="1" w:styleId="CEONormalChar">
    <w:name w:val="CEO_Normal Char"/>
    <w:link w:val="CEONormal"/>
    <w:locked/>
    <w:rsid w:val="007E0416"/>
    <w:rPr>
      <w:rFonts w:ascii="Verdana" w:eastAsia="SimSun" w:hAnsi="Verdana" w:cs="Times New Roman"/>
      <w:sz w:val="19"/>
      <w:szCs w:val="19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7E0416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2800</Words>
  <Characters>3080</Characters>
  <Application>Microsoft Office Word</Application>
  <DocSecurity>0</DocSecurity>
  <Lines>146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Mohamed, Fahima</dc:creator>
  <cp:lastModifiedBy>Mohamed, Fahima </cp:lastModifiedBy>
  <cp:revision>1</cp:revision>
  <dcterms:created xsi:type="dcterms:W3CDTF">2014-08-19T09:28:00Z</dcterms:created>
  <dcterms:modified xsi:type="dcterms:W3CDTF">2014-08-19T09:28:00Z</dcterms:modified>
</cp:coreProperties>
</file>